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65E2E" w14:textId="77777777" w:rsidR="00C7375E" w:rsidRDefault="00244E8B">
      <w:pPr>
        <w:widowControl w:val="0"/>
        <w:spacing w:before="20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July </w:t>
      </w:r>
      <w:r>
        <w:rPr>
          <w:rFonts w:ascii="Times New Roman" w:eastAsia="Times New Roman" w:hAnsi="Times New Roman" w:cs="Times New Roman"/>
          <w:sz w:val="24"/>
          <w:szCs w:val="24"/>
          <w:highlight w:val="yellow"/>
        </w:rPr>
        <w:t>XX</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2023</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1665"/>
        <w:gridCol w:w="3645"/>
      </w:tblGrid>
      <w:tr w:rsidR="00C7375E" w14:paraId="2BDCE952" w14:textId="77777777">
        <w:tc>
          <w:tcPr>
            <w:tcW w:w="40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5D7D09F"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Mike Rogers</w:t>
            </w:r>
          </w:p>
          <w:p w14:paraId="636B294B"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Chairman</w:t>
            </w:r>
          </w:p>
          <w:p w14:paraId="211C11AB"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U.S. House of Representatives</w:t>
            </w:r>
          </w:p>
          <w:p w14:paraId="4CDE846B"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20515</w:t>
            </w:r>
          </w:p>
          <w:p w14:paraId="0F8AD8A9" w14:textId="77777777" w:rsidR="00C7375E" w:rsidRDefault="00C7375E">
            <w:pPr>
              <w:widowControl w:val="0"/>
              <w:spacing w:after="0" w:line="240" w:lineRule="auto"/>
              <w:ind w:left="-90"/>
              <w:rPr>
                <w:rFonts w:ascii="Times New Roman" w:eastAsia="Times New Roman" w:hAnsi="Times New Roman" w:cs="Times New Roman"/>
                <w:sz w:val="24"/>
                <w:szCs w:val="24"/>
              </w:rPr>
            </w:pPr>
          </w:p>
          <w:p w14:paraId="5CA6926D"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Kay Granger</w:t>
            </w:r>
          </w:p>
          <w:p w14:paraId="7D4C40ED"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Chairwoman</w:t>
            </w:r>
          </w:p>
          <w:p w14:paraId="7163C26D"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U.S. House of Representatives</w:t>
            </w:r>
          </w:p>
          <w:p w14:paraId="1B26B308"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20515</w:t>
            </w:r>
          </w:p>
          <w:p w14:paraId="36AEEEE2" w14:textId="77777777" w:rsidR="00C7375E" w:rsidRDefault="00C7375E">
            <w:pPr>
              <w:widowControl w:val="0"/>
              <w:spacing w:after="0" w:line="240" w:lineRule="auto"/>
              <w:ind w:left="-90"/>
              <w:rPr>
                <w:rFonts w:ascii="Times New Roman" w:eastAsia="Times New Roman" w:hAnsi="Times New Roman" w:cs="Times New Roman"/>
                <w:sz w:val="24"/>
                <w:szCs w:val="24"/>
              </w:rPr>
            </w:pPr>
          </w:p>
        </w:tc>
        <w:tc>
          <w:tcPr>
            <w:tcW w:w="16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00F17AF" w14:textId="77777777" w:rsidR="00C7375E" w:rsidRDefault="00C7375E">
            <w:pPr>
              <w:widowControl w:val="0"/>
              <w:spacing w:after="0" w:line="240" w:lineRule="auto"/>
              <w:ind w:left="90"/>
              <w:rPr>
                <w:rFonts w:ascii="Times New Roman" w:eastAsia="Times New Roman" w:hAnsi="Times New Roman" w:cs="Times New Roman"/>
                <w:sz w:val="24"/>
                <w:szCs w:val="24"/>
              </w:rPr>
            </w:pPr>
          </w:p>
        </w:tc>
        <w:tc>
          <w:tcPr>
            <w:tcW w:w="36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E0C8EA3"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Adam Smith</w:t>
            </w:r>
          </w:p>
          <w:p w14:paraId="12C8B2A6"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Ranking Member</w:t>
            </w:r>
          </w:p>
          <w:p w14:paraId="387A3CF5"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U.S. House of Representatives</w:t>
            </w:r>
          </w:p>
          <w:p w14:paraId="448154C0"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20515</w:t>
            </w:r>
          </w:p>
          <w:p w14:paraId="309D2A1C" w14:textId="77777777" w:rsidR="00C7375E" w:rsidRDefault="00C7375E">
            <w:pPr>
              <w:widowControl w:val="0"/>
              <w:spacing w:after="0" w:line="240" w:lineRule="auto"/>
              <w:ind w:left="90"/>
              <w:rPr>
                <w:rFonts w:ascii="Times New Roman" w:eastAsia="Times New Roman" w:hAnsi="Times New Roman" w:cs="Times New Roman"/>
                <w:sz w:val="24"/>
                <w:szCs w:val="24"/>
              </w:rPr>
            </w:pPr>
          </w:p>
          <w:p w14:paraId="18653E47"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Rosa DeLauro</w:t>
            </w:r>
          </w:p>
          <w:p w14:paraId="7F12F5EB"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Ranking Member</w:t>
            </w:r>
          </w:p>
          <w:p w14:paraId="15712731"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U.S. House of Representatives</w:t>
            </w:r>
          </w:p>
          <w:p w14:paraId="30F94F27" w14:textId="77777777" w:rsidR="00C7375E" w:rsidRDefault="00244E8B">
            <w:pPr>
              <w:widowControl w:val="0"/>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20515</w:t>
            </w:r>
          </w:p>
          <w:p w14:paraId="675E6887" w14:textId="77777777" w:rsidR="00C7375E" w:rsidRDefault="00C7375E">
            <w:pPr>
              <w:widowControl w:val="0"/>
              <w:spacing w:after="0" w:line="240" w:lineRule="auto"/>
              <w:ind w:left="90"/>
              <w:rPr>
                <w:rFonts w:ascii="Times New Roman" w:eastAsia="Times New Roman" w:hAnsi="Times New Roman" w:cs="Times New Roman"/>
                <w:sz w:val="24"/>
                <w:szCs w:val="24"/>
              </w:rPr>
            </w:pPr>
          </w:p>
        </w:tc>
      </w:tr>
    </w:tbl>
    <w:p w14:paraId="54EFC64E" w14:textId="77777777" w:rsidR="00C7375E" w:rsidRDefault="00244E8B">
      <w:pPr>
        <w:spacing w:before="240" w:after="200"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Chairman Rogers, Chairwoman Granger and Ranking Members Smith and DeLauro:</w:t>
      </w:r>
    </w:p>
    <w:p w14:paraId="0D977E2C" w14:textId="77777777" w:rsidR="00C7375E" w:rsidRDefault="00244E8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[Software in Defense Coalition, the Alliance for Commercial Technology in Government, and the National Venture Capital Association] represent thousands of leading software </w:t>
      </w:r>
      <w:r>
        <w:rPr>
          <w:rFonts w:ascii="Times New Roman" w:eastAsia="Times New Roman" w:hAnsi="Times New Roman" w:cs="Times New Roman"/>
          <w:sz w:val="24"/>
          <w:szCs w:val="24"/>
        </w:rPr>
        <w:t>technology startups and small businesses dedicated to our country’s national security mission. In an era of strategic competition among technologically advanced powers, software will shape the nature of deterrence and military readiness. The urgency to emp</w:t>
      </w:r>
      <w:r>
        <w:rPr>
          <w:rFonts w:ascii="Times New Roman" w:eastAsia="Times New Roman" w:hAnsi="Times New Roman" w:cs="Times New Roman"/>
          <w:sz w:val="24"/>
          <w:szCs w:val="24"/>
        </w:rPr>
        <w:t>ower our defense and national security apparatus across all domains with cutting edge and emerging technology is a strategic imperative to protect lives and secure America and our allies. We stand ready to serve the Department of Defense (“DoD”) and warfig</w:t>
      </w:r>
      <w:r>
        <w:rPr>
          <w:rFonts w:ascii="Times New Roman" w:eastAsia="Times New Roman" w:hAnsi="Times New Roman" w:cs="Times New Roman"/>
          <w:sz w:val="24"/>
          <w:szCs w:val="24"/>
        </w:rPr>
        <w:t>hters by providing the best technology to sustain the United States’ intelligence and security advantage.</w:t>
      </w:r>
    </w:p>
    <w:p w14:paraId="07D01DAD" w14:textId="77777777" w:rsidR="00C7375E" w:rsidRDefault="00244E8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you for key bipartisan measures in </w:t>
      </w:r>
      <w:proofErr w:type="gramStart"/>
      <w:r>
        <w:rPr>
          <w:rFonts w:ascii="Times New Roman" w:eastAsia="Times New Roman" w:hAnsi="Times New Roman" w:cs="Times New Roman"/>
          <w:sz w:val="24"/>
          <w:szCs w:val="24"/>
        </w:rPr>
        <w:t>the H</w:t>
      </w:r>
      <w:proofErr w:type="gramEnd"/>
      <w:r>
        <w:rPr>
          <w:rFonts w:ascii="Times New Roman" w:eastAsia="Times New Roman" w:hAnsi="Times New Roman" w:cs="Times New Roman"/>
          <w:sz w:val="24"/>
          <w:szCs w:val="24"/>
        </w:rPr>
        <w:t>.R. 2670, the FY 2024 House National Defense Authorization Act, and H.R. 4365, the FY 2024 Defense Ap</w:t>
      </w:r>
      <w:r>
        <w:rPr>
          <w:rFonts w:ascii="Times New Roman" w:eastAsia="Times New Roman" w:hAnsi="Times New Roman" w:cs="Times New Roman"/>
          <w:sz w:val="24"/>
          <w:szCs w:val="24"/>
        </w:rPr>
        <w:t>propriations bills. DoD highlighted in its 2023 Software Modernization Implementation Plan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that the Nation’s ability to fight and win “will depend on DoD’s proficiency to deliver resilient software capabilities rapidly and securely.” We believe that the </w:t>
      </w:r>
      <w:r>
        <w:rPr>
          <w:rFonts w:ascii="Times New Roman" w:eastAsia="Times New Roman" w:hAnsi="Times New Roman" w:cs="Times New Roman"/>
          <w:sz w:val="24"/>
          <w:szCs w:val="24"/>
        </w:rPr>
        <w:t>provisions we highlight below will support the culture of innovation and strengthen the funding and acquisition pathways to help commanders and leaders at the Department field the best technology faster and more effectively. It will also increase participa</w:t>
      </w:r>
      <w:r>
        <w:rPr>
          <w:rFonts w:ascii="Times New Roman" w:eastAsia="Times New Roman" w:hAnsi="Times New Roman" w:cs="Times New Roman"/>
          <w:sz w:val="24"/>
          <w:szCs w:val="24"/>
        </w:rPr>
        <w:t xml:space="preserve">tion from American innovators who are acutely focused on building emerging technologies tailor made for the United States Government’s use and advantage. </w:t>
      </w:r>
    </w:p>
    <w:p w14:paraId="560F3875" w14:textId="77777777" w:rsidR="00C7375E" w:rsidRDefault="00244E8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Congress’ attention will facilitate small and medium sized business engagement within the defense ind</w:t>
      </w:r>
      <w:r>
        <w:rPr>
          <w:rFonts w:ascii="Times New Roman" w:eastAsia="Times New Roman" w:hAnsi="Times New Roman" w:cs="Times New Roman"/>
          <w:sz w:val="24"/>
          <w:szCs w:val="24"/>
        </w:rPr>
        <w:t xml:space="preserve">ustrial base. The three areas are: </w:t>
      </w:r>
    </w:p>
    <w:p w14:paraId="20F5CCB4" w14:textId="77777777" w:rsidR="00C7375E" w:rsidRDefault="00244E8B">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Fostering a culture of buying readily available commercial </w:t>
      </w:r>
      <w:proofErr w:type="gramStart"/>
      <w:r>
        <w:rPr>
          <w:rFonts w:ascii="Times New Roman" w:eastAsia="Times New Roman" w:hAnsi="Times New Roman" w:cs="Times New Roman"/>
          <w:sz w:val="24"/>
          <w:szCs w:val="24"/>
        </w:rPr>
        <w:t>offerings;</w:t>
      </w:r>
      <w:proofErr w:type="gramEnd"/>
    </w:p>
    <w:p w14:paraId="10BAD3F5" w14:textId="77777777" w:rsidR="00C7375E" w:rsidRDefault="00244E8B">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Easing small business burdens by lowering the time and cost associated with issuance of authorizations; and</w:t>
      </w:r>
    </w:p>
    <w:p w14:paraId="6A622B2E" w14:textId="77777777" w:rsidR="00C7375E" w:rsidRDefault="00244E8B">
      <w:pPr>
        <w:numPr>
          <w:ilvl w:val="0"/>
          <w:numId w:val="1"/>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Allowing the DoD flexible use of already e</w:t>
      </w:r>
      <w:r>
        <w:rPr>
          <w:rFonts w:ascii="Times New Roman" w:eastAsia="Times New Roman" w:hAnsi="Times New Roman" w:cs="Times New Roman"/>
          <w:sz w:val="24"/>
          <w:szCs w:val="24"/>
        </w:rPr>
        <w:t>xisting appropriations authority for buying readily available commercial software offerings that best support defense modernization and encourage broader understanding of software products.</w:t>
      </w:r>
    </w:p>
    <w:p w14:paraId="531F60FF" w14:textId="77777777" w:rsidR="00C7375E" w:rsidRDefault="00244E8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also strongly support the recommendations by the Atlantic Counc</w:t>
      </w:r>
      <w:r>
        <w:rPr>
          <w:rFonts w:ascii="Times New Roman" w:eastAsia="Times New Roman" w:hAnsi="Times New Roman" w:cs="Times New Roman"/>
          <w:sz w:val="24"/>
          <w:szCs w:val="24"/>
        </w:rPr>
        <w:t>il Commission on Defense Innovation Adoption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to modernize DoD to align with the 21st century industrial base, to create bridge funds for successfully demonstrated technologies, and increase incentives and reduce barriers for technology companies to do bu</w:t>
      </w:r>
      <w:r>
        <w:rPr>
          <w:rFonts w:ascii="Times New Roman" w:eastAsia="Times New Roman" w:hAnsi="Times New Roman" w:cs="Times New Roman"/>
          <w:sz w:val="24"/>
          <w:szCs w:val="24"/>
        </w:rPr>
        <w:t xml:space="preserve">siness with the Department. The long timelines to deliver new capabilities not only hurt the warfighters who may operate with outdated systems, but also start-ups and small businesses who struggle to deal with long timelines for contracting and budgeting. </w:t>
      </w:r>
      <w:r>
        <w:rPr>
          <w:rFonts w:ascii="Times New Roman" w:eastAsia="Times New Roman" w:hAnsi="Times New Roman" w:cs="Times New Roman"/>
          <w:sz w:val="24"/>
          <w:szCs w:val="24"/>
        </w:rPr>
        <w:t xml:space="preserve">We also see huge opportunities missed to leverage successful commercial solutions and prototypes by integrating them into new or existing acquisition programs to produce at scale. </w:t>
      </w:r>
    </w:p>
    <w:p w14:paraId="75D8F5F1" w14:textId="457B7674" w:rsidR="00C7375E" w:rsidRDefault="00244E8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the above themes, and the proposals identified in the Ma</w:t>
      </w:r>
      <w:r>
        <w:rPr>
          <w:rFonts w:ascii="Times New Roman" w:eastAsia="Times New Roman" w:hAnsi="Times New Roman" w:cs="Times New Roman"/>
          <w:sz w:val="24"/>
          <w:szCs w:val="24"/>
        </w:rPr>
        <w:t xml:space="preserve">y 31, </w:t>
      </w:r>
      <w:r w:rsidR="00337E1E">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letter to the Senate Armed Services Committee (attached hereto for ease of reference), we hope the following sections can be retained during conference:  </w:t>
      </w:r>
    </w:p>
    <w:p w14:paraId="1F60208E" w14:textId="77777777" w:rsidR="00C7375E" w:rsidRDefault="00244E8B">
      <w:pPr>
        <w:spacing w:after="20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u w:val="single"/>
        </w:rPr>
        <w:t>1. Foster a culture of buying readily available commercial offerings.</w:t>
      </w:r>
      <w:r>
        <w:rPr>
          <w:rFonts w:ascii="Times New Roman" w:eastAsia="Times New Roman" w:hAnsi="Times New Roman" w:cs="Times New Roman"/>
          <w:b/>
          <w:i/>
          <w:sz w:val="24"/>
          <w:szCs w:val="24"/>
        </w:rPr>
        <w:t xml:space="preserve"> </w:t>
      </w:r>
    </w:p>
    <w:p w14:paraId="45CDA0C2"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 805—Pilot Program for Prototype Projects for Anything-As-A-Service. House FY24 NDAA. This provision creates a 3-year pilot program focused on promoting continuous competition and allows the Secretary of Defense to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transactions to carry out </w:t>
      </w:r>
      <w:r>
        <w:rPr>
          <w:rFonts w:ascii="Times New Roman" w:eastAsia="Times New Roman" w:hAnsi="Times New Roman" w:cs="Times New Roman"/>
          <w:sz w:val="24"/>
          <w:szCs w:val="24"/>
        </w:rPr>
        <w:t xml:space="preserve">prototype projects for Anything-as-a-Service using competitive </w:t>
      </w:r>
      <w:proofErr w:type="spellStart"/>
      <w:r>
        <w:rPr>
          <w:rFonts w:ascii="Times New Roman" w:eastAsia="Times New Roman" w:hAnsi="Times New Roman" w:cs="Times New Roman"/>
          <w:sz w:val="24"/>
          <w:szCs w:val="24"/>
        </w:rPr>
        <w:t>multisourcing</w:t>
      </w:r>
      <w:proofErr w:type="spellEnd"/>
      <w:r>
        <w:rPr>
          <w:rFonts w:ascii="Times New Roman" w:eastAsia="Times New Roman" w:hAnsi="Times New Roman" w:cs="Times New Roman"/>
          <w:sz w:val="24"/>
          <w:szCs w:val="24"/>
        </w:rPr>
        <w:t>.</w:t>
      </w:r>
    </w:p>
    <w:p w14:paraId="7C9CFCA7"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 881—Entrepreneurial Innovation Project Designations. House FY24 NDAA. This provision requires the Secretary of each military department to identify at least 5 eligible proje</w:t>
      </w:r>
      <w:r>
        <w:rPr>
          <w:rFonts w:ascii="Times New Roman" w:eastAsia="Times New Roman" w:hAnsi="Times New Roman" w:cs="Times New Roman"/>
          <w:sz w:val="24"/>
          <w:szCs w:val="24"/>
        </w:rPr>
        <w:t xml:space="preserve">cts from either the SBIR or STTR programs for inclusion in future budgets and plans.  </w:t>
      </w:r>
    </w:p>
    <w:p w14:paraId="2D958C21"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 882—Extension and Modification of Domestic Investment Pilot Program. House FY24 NDAA. This provision extends the domestic investment pilot program under the SBIR pr</w:t>
      </w:r>
      <w:r>
        <w:rPr>
          <w:rFonts w:ascii="Times New Roman" w:eastAsia="Times New Roman" w:hAnsi="Times New Roman" w:cs="Times New Roman"/>
          <w:sz w:val="24"/>
          <w:szCs w:val="24"/>
        </w:rPr>
        <w:t xml:space="preserve">ogram until September 30, 2027.  </w:t>
      </w:r>
    </w:p>
    <w:p w14:paraId="5D2D9265"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 to Improve Contracting Officer Knowledge of SBIR Phase III Direct Award, House FY24 NDAA, Directive Report Language. This language directs the Secretary of Defense to assess the feasibility of establishing training </w:t>
      </w:r>
      <w:r>
        <w:rPr>
          <w:rFonts w:ascii="Times New Roman" w:eastAsia="Times New Roman" w:hAnsi="Times New Roman" w:cs="Times New Roman"/>
          <w:sz w:val="24"/>
          <w:szCs w:val="24"/>
        </w:rPr>
        <w:t xml:space="preserve">for acquisition professionals on the goals of the SBIR program, including how and when Phase III direct awards may be used. </w:t>
      </w:r>
    </w:p>
    <w:p w14:paraId="385626AD" w14:textId="77777777" w:rsidR="00C7375E" w:rsidRDefault="00244E8B">
      <w:pPr>
        <w:numPr>
          <w:ilvl w:val="0"/>
          <w:numId w:val="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Non-Traditional Innovation Fielding Enterprise, HAC-D Bill Report. We join the Atlantic Council in applauding the Secretary of </w:t>
      </w:r>
      <w:r>
        <w:rPr>
          <w:rFonts w:ascii="Times New Roman" w:eastAsia="Times New Roman" w:hAnsi="Times New Roman" w:cs="Times New Roman"/>
          <w:sz w:val="24"/>
          <w:szCs w:val="24"/>
        </w:rPr>
        <w:t xml:space="preserve">Defense’s decision to elevate DIU as a direct report and the support from the Committee to better resource and empower DIU with a hedge portfolio. This recommendation is critical to cross the valley of death and deliver at speed and scale required to meet </w:t>
      </w:r>
      <w:r>
        <w:rPr>
          <w:rFonts w:ascii="Times New Roman" w:eastAsia="Times New Roman" w:hAnsi="Times New Roman" w:cs="Times New Roman"/>
          <w:sz w:val="24"/>
          <w:szCs w:val="24"/>
        </w:rPr>
        <w:t xml:space="preserve">the critical national security threats. As the commercial sector operates, those companies who demonstrate success and provide valuable solutions to their customers should have the capital to rapidly scale to meet market demand. We invest millions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resea</w:t>
      </w:r>
      <w:r>
        <w:rPr>
          <w:rFonts w:ascii="Times New Roman" w:eastAsia="Times New Roman" w:hAnsi="Times New Roman" w:cs="Times New Roman"/>
          <w:sz w:val="24"/>
          <w:szCs w:val="24"/>
        </w:rPr>
        <w:t xml:space="preserve">rch, prototype, and demonstrate capabilities </w:t>
      </w:r>
      <w:r>
        <w:rPr>
          <w:rFonts w:ascii="Times New Roman" w:eastAsia="Times New Roman" w:hAnsi="Times New Roman" w:cs="Times New Roman"/>
          <w:sz w:val="24"/>
          <w:szCs w:val="24"/>
        </w:rPr>
        <w:lastRenderedPageBreak/>
        <w:t>in operational exercises – to only wait years following successful demonstrations to compete for follow-on work. This fund will focus more software technology companies to focus on defense solutions for higher a</w:t>
      </w:r>
      <w:r>
        <w:rPr>
          <w:rFonts w:ascii="Times New Roman" w:eastAsia="Times New Roman" w:hAnsi="Times New Roman" w:cs="Times New Roman"/>
          <w:sz w:val="24"/>
          <w:szCs w:val="24"/>
        </w:rPr>
        <w:t>nd faster returns on their investments. It will accelerate speed of delivery at scale to the warfighters.</w:t>
      </w:r>
    </w:p>
    <w:p w14:paraId="5C168999" w14:textId="77777777" w:rsidR="00C7375E" w:rsidRDefault="00244E8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ask that Congress consider additional reforms related to:</w:t>
      </w:r>
    </w:p>
    <w:p w14:paraId="67A988BF"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Clarifying a common definition of Software-as-a-Service (“SaaS”)</w:t>
      </w:r>
      <w:r>
        <w:rPr>
          <w:rFonts w:ascii="Times New Roman" w:eastAsia="Times New Roman" w:hAnsi="Times New Roman" w:cs="Times New Roman"/>
          <w:sz w:val="24"/>
          <w:szCs w:val="24"/>
        </w:rPr>
        <w:t>. Open standards SaaS bus</w:t>
      </w:r>
      <w:r>
        <w:rPr>
          <w:rFonts w:ascii="Times New Roman" w:eastAsia="Times New Roman" w:hAnsi="Times New Roman" w:cs="Times New Roman"/>
          <w:sz w:val="24"/>
          <w:szCs w:val="24"/>
        </w:rPr>
        <w:t>iness models, for example, enable DoD to acquire best-in-class solutions from the most capable and advanced software providers. And yet, barriers still exist that block wide adoption and use of SaaS products within the DoD. One of the challenges associated</w:t>
      </w:r>
      <w:r>
        <w:rPr>
          <w:rFonts w:ascii="Times New Roman" w:eastAsia="Times New Roman" w:hAnsi="Times New Roman" w:cs="Times New Roman"/>
          <w:sz w:val="24"/>
          <w:szCs w:val="24"/>
        </w:rPr>
        <w:t xml:space="preserve"> with software is the lack of consistency in how the United States Government and industry define SaaS. Small businesses often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alter the way they refer to their products because of lack of understanding within DoD of what SaaS means. SaaS solutions</w:t>
      </w:r>
      <w:r>
        <w:rPr>
          <w:rFonts w:ascii="Times New Roman" w:eastAsia="Times New Roman" w:hAnsi="Times New Roman" w:cs="Times New Roman"/>
          <w:sz w:val="24"/>
          <w:szCs w:val="24"/>
        </w:rPr>
        <w:t xml:space="preserve"> should be viewed as products and not as services. A common definition of SaaS would be instructive and help ease barriers for small businesses that build emerging technology for Government use.</w:t>
      </w:r>
    </w:p>
    <w:p w14:paraId="6DF0033E"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Increasing knowledge and use of other transaction authority (</w:t>
      </w:r>
      <w:r>
        <w:rPr>
          <w:rFonts w:ascii="Times New Roman" w:eastAsia="Times New Roman" w:hAnsi="Times New Roman" w:cs="Times New Roman"/>
          <w:i/>
          <w:sz w:val="24"/>
          <w:szCs w:val="24"/>
        </w:rPr>
        <w:t>“OTA”)</w:t>
      </w:r>
      <w:r>
        <w:rPr>
          <w:rFonts w:ascii="Times New Roman" w:eastAsia="Times New Roman" w:hAnsi="Times New Roman" w:cs="Times New Roman"/>
          <w:sz w:val="24"/>
          <w:szCs w:val="24"/>
        </w:rPr>
        <w:t xml:space="preserve">. OTA gives federal civilian agencies and the DoD a flexible procurement pathway to engage with industry and academia on researching and prototyping activities. However, the United States Government (including the DoD) does not utilize OTAs to their </w:t>
      </w:r>
      <w:r>
        <w:rPr>
          <w:rFonts w:ascii="Times New Roman" w:eastAsia="Times New Roman" w:hAnsi="Times New Roman" w:cs="Times New Roman"/>
          <w:sz w:val="24"/>
          <w:szCs w:val="24"/>
        </w:rPr>
        <w:t>fullest extent. As such, we recommend Congress consider: (1) requiring a report from a third-party such as the Comptroller General, Defense Innovation Board or Defense Science Board to the congressional defense committees to examine the utilization, succes</w:t>
      </w:r>
      <w:r>
        <w:rPr>
          <w:rFonts w:ascii="Times New Roman" w:eastAsia="Times New Roman" w:hAnsi="Times New Roman" w:cs="Times New Roman"/>
          <w:sz w:val="24"/>
          <w:szCs w:val="24"/>
        </w:rPr>
        <w:t xml:space="preserve">s rates, and use cases on the benefits of OTA; and (2) increasing training across the enterprise - from contracting officers to budget and legal officers - on how to best utilize OTA as an acquisition tool. Existing authorities already are in </w:t>
      </w:r>
      <w:proofErr w:type="gramStart"/>
      <w:r>
        <w:rPr>
          <w:rFonts w:ascii="Times New Roman" w:eastAsia="Times New Roman" w:hAnsi="Times New Roman" w:cs="Times New Roman"/>
          <w:sz w:val="24"/>
          <w:szCs w:val="24"/>
        </w:rPr>
        <w:t>place</w:t>
      </w:r>
      <w:proofErr w:type="gramEnd"/>
      <w:r>
        <w:rPr>
          <w:rFonts w:ascii="Times New Roman" w:eastAsia="Times New Roman" w:hAnsi="Times New Roman" w:cs="Times New Roman"/>
          <w:sz w:val="24"/>
          <w:szCs w:val="24"/>
        </w:rPr>
        <w:t xml:space="preserve"> but lac</w:t>
      </w:r>
      <w:r>
        <w:rPr>
          <w:rFonts w:ascii="Times New Roman" w:eastAsia="Times New Roman" w:hAnsi="Times New Roman" w:cs="Times New Roman"/>
          <w:sz w:val="24"/>
          <w:szCs w:val="24"/>
        </w:rPr>
        <w:t>k of awareness and training contribute to under-leveraging this valuable tool, undermining the original intent to pilot capabilities developed by non-traditional defense contractors. We also recommend harmonizing OT authority policies and procedures in the</w:t>
      </w:r>
      <w:r>
        <w:rPr>
          <w:rFonts w:ascii="Times New Roman" w:eastAsia="Times New Roman" w:hAnsi="Times New Roman" w:cs="Times New Roman"/>
          <w:sz w:val="24"/>
          <w:szCs w:val="24"/>
        </w:rPr>
        <w:t xml:space="preserve"> Intelligence Community with that in the Department of Defense. </w:t>
      </w:r>
    </w:p>
    <w:p w14:paraId="2BB94508" w14:textId="77777777" w:rsidR="00C7375E" w:rsidRDefault="00244E8B">
      <w:pPr>
        <w:numPr>
          <w:ilvl w:val="0"/>
          <w:numId w:val="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Increasing SBIR eligibility and program participation for companies with greater than 50% venture capital investment</w:t>
      </w:r>
      <w:r>
        <w:rPr>
          <w:rFonts w:ascii="Times New Roman" w:eastAsia="Times New Roman" w:hAnsi="Times New Roman" w:cs="Times New Roman"/>
          <w:sz w:val="24"/>
          <w:szCs w:val="24"/>
        </w:rPr>
        <w:t>. Allowing eligibility for venture-backed companies across all agencies and</w:t>
      </w:r>
      <w:r>
        <w:rPr>
          <w:rFonts w:ascii="Times New Roman" w:eastAsia="Times New Roman" w:hAnsi="Times New Roman" w:cs="Times New Roman"/>
          <w:sz w:val="24"/>
          <w:szCs w:val="24"/>
        </w:rPr>
        <w:t xml:space="preserve"> departments will remove another barrier to entry for innovative technology companies seeking to work with the government. Venture capital funding provides small, innovative companies with the ability to conduct research and development to reach commercial</w:t>
      </w:r>
      <w:r>
        <w:rPr>
          <w:rFonts w:ascii="Times New Roman" w:eastAsia="Times New Roman" w:hAnsi="Times New Roman" w:cs="Times New Roman"/>
          <w:sz w:val="24"/>
          <w:szCs w:val="24"/>
        </w:rPr>
        <w:t>ization; providing SBIR opportunities for these companies is a smart investment for the government.</w:t>
      </w:r>
    </w:p>
    <w:p w14:paraId="7D99FFC5" w14:textId="77777777" w:rsidR="00C7375E" w:rsidRDefault="00244E8B">
      <w:pPr>
        <w:spacing w:before="200"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 Ease small business burden by lowering the time and cost associated with issuance of authorizations.</w:t>
      </w:r>
    </w:p>
    <w:p w14:paraId="17F62DCB" w14:textId="77777777" w:rsidR="00C7375E" w:rsidRDefault="00C7375E">
      <w:pPr>
        <w:spacing w:before="200" w:after="0" w:line="240" w:lineRule="auto"/>
        <w:rPr>
          <w:rFonts w:ascii="Times New Roman" w:eastAsia="Times New Roman" w:hAnsi="Times New Roman" w:cs="Times New Roman"/>
          <w:b/>
          <w:sz w:val="24"/>
          <w:szCs w:val="24"/>
          <w:u w:val="single"/>
        </w:rPr>
      </w:pPr>
    </w:p>
    <w:p w14:paraId="5A4776B9"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on the Impact of Small Businesses through Au</w:t>
      </w:r>
      <w:r>
        <w:rPr>
          <w:rFonts w:ascii="Times New Roman" w:eastAsia="Times New Roman" w:hAnsi="Times New Roman" w:cs="Times New Roman"/>
          <w:sz w:val="24"/>
          <w:szCs w:val="24"/>
        </w:rPr>
        <w:t xml:space="preserve">thorization to Operate Processes, House FY24 NDAA, Directive Report Language. This language directs the Secretary of Defense to submit a report detailing the unique costs and potential burdens incurred by </w:t>
      </w:r>
      <w:r>
        <w:rPr>
          <w:rFonts w:ascii="Times New Roman" w:eastAsia="Times New Roman" w:hAnsi="Times New Roman" w:cs="Times New Roman"/>
          <w:sz w:val="24"/>
          <w:szCs w:val="24"/>
        </w:rPr>
        <w:lastRenderedPageBreak/>
        <w:t>emerging technology companies as companies are requ</w:t>
      </w:r>
      <w:r>
        <w:rPr>
          <w:rFonts w:ascii="Times New Roman" w:eastAsia="Times New Roman" w:hAnsi="Times New Roman" w:cs="Times New Roman"/>
          <w:sz w:val="24"/>
          <w:szCs w:val="24"/>
        </w:rPr>
        <w:t xml:space="preserve">ired to obtain authorizations to operate as they move through the different Department of Defense impact levels. </w:t>
      </w:r>
    </w:p>
    <w:p w14:paraId="02A276F8" w14:textId="77777777" w:rsidR="00C7375E" w:rsidRDefault="00244E8B">
      <w:pPr>
        <w:numPr>
          <w:ilvl w:val="0"/>
          <w:numId w:val="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on Secure Spaces for Small Businesses, House FY24 NDAA, Directive Report Language. This language requires the Secretary of Defense to l</w:t>
      </w:r>
      <w:r>
        <w:rPr>
          <w:rFonts w:ascii="Times New Roman" w:eastAsia="Times New Roman" w:hAnsi="Times New Roman" w:cs="Times New Roman"/>
          <w:sz w:val="24"/>
          <w:szCs w:val="24"/>
        </w:rPr>
        <w:t xml:space="preserve">ook at the options for granting access to </w:t>
      </w:r>
      <w:proofErr w:type="gramStart"/>
      <w:r>
        <w:rPr>
          <w:rFonts w:ascii="Times New Roman" w:eastAsia="Times New Roman" w:hAnsi="Times New Roman" w:cs="Times New Roman"/>
          <w:sz w:val="24"/>
          <w:szCs w:val="24"/>
        </w:rPr>
        <w:t>government-owned</w:t>
      </w:r>
      <w:proofErr w:type="gramEnd"/>
      <w:r>
        <w:rPr>
          <w:rFonts w:ascii="Times New Roman" w:eastAsia="Times New Roman" w:hAnsi="Times New Roman" w:cs="Times New Roman"/>
          <w:sz w:val="24"/>
          <w:szCs w:val="24"/>
        </w:rPr>
        <w:t xml:space="preserve"> SCIF space to small companies that have been issued a facility clearance and selected for work requiring performance in secured facilities, among other elements. </w:t>
      </w:r>
    </w:p>
    <w:p w14:paraId="2DBAC0D1" w14:textId="77777777" w:rsidR="00C7375E" w:rsidRDefault="00244E8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ask that Congress consider addi</w:t>
      </w:r>
      <w:r>
        <w:rPr>
          <w:rFonts w:ascii="Times New Roman" w:eastAsia="Times New Roman" w:hAnsi="Times New Roman" w:cs="Times New Roman"/>
          <w:sz w:val="24"/>
          <w:szCs w:val="24"/>
        </w:rPr>
        <w:t>tional reforms related to:</w:t>
      </w:r>
    </w:p>
    <w:p w14:paraId="7083D8A8"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Harmonizing ATO standards across the Department</w:t>
      </w:r>
      <w:r>
        <w:rPr>
          <w:rFonts w:ascii="Times New Roman" w:eastAsia="Times New Roman" w:hAnsi="Times New Roman" w:cs="Times New Roman"/>
          <w:sz w:val="24"/>
          <w:szCs w:val="24"/>
        </w:rPr>
        <w:t>. Some military departments have policies that require ATO reciprocity among their systems. Most recently, the Department released updated July 2022 guidance for the “DoD Information</w:t>
      </w:r>
      <w:r>
        <w:rPr>
          <w:rFonts w:ascii="Times New Roman" w:eastAsia="Times New Roman" w:hAnsi="Times New Roman" w:cs="Times New Roman"/>
          <w:sz w:val="24"/>
          <w:szCs w:val="24"/>
        </w:rPr>
        <w:t xml:space="preserve"> Enterprise to use cybersecurity reciprocity” and for Authorizing Officers to “promote reciprocity as much as possible.” We strongly support continued efforts and execution of these policies across Services and components to help improve the process and cy</w:t>
      </w:r>
      <w:r>
        <w:rPr>
          <w:rFonts w:ascii="Times New Roman" w:eastAsia="Times New Roman" w:hAnsi="Times New Roman" w:cs="Times New Roman"/>
          <w:sz w:val="24"/>
          <w:szCs w:val="24"/>
        </w:rPr>
        <w:t>cle time of lengthy sequential certification processes. However, there are repeated past indications that such policies are unevenly instituted and executed across DoD and broader government. With the evolution from static ATO to continuous ATO, the need f</w:t>
      </w:r>
      <w:r>
        <w:rPr>
          <w:rFonts w:ascii="Times New Roman" w:eastAsia="Times New Roman" w:hAnsi="Times New Roman" w:cs="Times New Roman"/>
          <w:sz w:val="24"/>
          <w:szCs w:val="24"/>
        </w:rPr>
        <w:t>or consistency and portability will increase as systems and software move into continuous evaluation and approval.</w:t>
      </w:r>
    </w:p>
    <w:p w14:paraId="0D1BA7DC" w14:textId="77777777" w:rsidR="00C7375E" w:rsidRDefault="00244E8B">
      <w:pPr>
        <w:numPr>
          <w:ilvl w:val="0"/>
          <w:numId w:val="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Accelerating technological advancement in the National Technology Industrial Base by removing obstacles for research and development within A</w:t>
      </w:r>
      <w:r>
        <w:rPr>
          <w:rFonts w:ascii="Times New Roman" w:eastAsia="Times New Roman" w:hAnsi="Times New Roman" w:cs="Times New Roman"/>
          <w:i/>
          <w:sz w:val="24"/>
          <w:szCs w:val="24"/>
        </w:rPr>
        <w:t>UKUS/FVEY countries</w:t>
      </w:r>
      <w:r>
        <w:rPr>
          <w:rFonts w:ascii="Times New Roman" w:eastAsia="Times New Roman" w:hAnsi="Times New Roman" w:cs="Times New Roman"/>
          <w:sz w:val="24"/>
          <w:szCs w:val="24"/>
        </w:rPr>
        <w:t>. The Export Administration Regulations has a license exception that facilitates defense technology collaboration between the United States and our closest Allies by eliminating the need for pre-approval across a defined and enforced set</w:t>
      </w:r>
      <w:r>
        <w:rPr>
          <w:rFonts w:ascii="Times New Roman" w:eastAsia="Times New Roman" w:hAnsi="Times New Roman" w:cs="Times New Roman"/>
          <w:sz w:val="24"/>
          <w:szCs w:val="24"/>
        </w:rPr>
        <w:t xml:space="preserve"> of technologies and countries. We recommend Congress consider applying a version of the same exception to the International Traffic in Arms Regulations to surgically eliminate obstacles for research and development specifically within </w:t>
      </w:r>
      <w:proofErr w:type="gramStart"/>
      <w:r>
        <w:rPr>
          <w:rFonts w:ascii="Times New Roman" w:eastAsia="Times New Roman" w:hAnsi="Times New Roman" w:cs="Times New Roman"/>
          <w:sz w:val="24"/>
          <w:szCs w:val="24"/>
        </w:rPr>
        <w:t>the Australia</w:t>
      </w:r>
      <w:proofErr w:type="gramEnd"/>
      <w:r>
        <w:rPr>
          <w:rFonts w:ascii="Times New Roman" w:eastAsia="Times New Roman" w:hAnsi="Times New Roman" w:cs="Times New Roman"/>
          <w:sz w:val="24"/>
          <w:szCs w:val="24"/>
        </w:rPr>
        <w:t>, the U</w:t>
      </w:r>
      <w:r>
        <w:rPr>
          <w:rFonts w:ascii="Times New Roman" w:eastAsia="Times New Roman" w:hAnsi="Times New Roman" w:cs="Times New Roman"/>
          <w:sz w:val="24"/>
          <w:szCs w:val="24"/>
        </w:rPr>
        <w:t>nited Kingdom, and the United States framework in support of a National Technology and Industrial Base that can respond to emerging threats to our collective security.</w:t>
      </w:r>
    </w:p>
    <w:p w14:paraId="79035C17" w14:textId="77777777" w:rsidR="00C7375E" w:rsidRDefault="00244E8B">
      <w:pPr>
        <w:spacing w:before="200"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Support targeted budget flexibility using existing authorities to field commercial so</w:t>
      </w:r>
      <w:r>
        <w:rPr>
          <w:rFonts w:ascii="Times New Roman" w:eastAsia="Times New Roman" w:hAnsi="Times New Roman" w:cs="Times New Roman"/>
          <w:b/>
          <w:sz w:val="24"/>
          <w:szCs w:val="24"/>
          <w:u w:val="single"/>
        </w:rPr>
        <w:t>ftware offerings that best support defense modernization.</w:t>
      </w:r>
    </w:p>
    <w:p w14:paraId="10F0CEE7" w14:textId="77777777" w:rsidR="00C7375E" w:rsidRDefault="00C7375E">
      <w:pPr>
        <w:spacing w:before="200" w:after="0" w:line="240" w:lineRule="auto"/>
        <w:rPr>
          <w:rFonts w:ascii="Times New Roman" w:eastAsia="Times New Roman" w:hAnsi="Times New Roman" w:cs="Times New Roman"/>
          <w:b/>
          <w:sz w:val="24"/>
          <w:szCs w:val="24"/>
          <w:u w:val="single"/>
        </w:rPr>
      </w:pPr>
    </w:p>
    <w:p w14:paraId="013E20CE" w14:textId="77777777" w:rsidR="00C7375E" w:rsidRDefault="00244E8B">
      <w:pPr>
        <w:numPr>
          <w:ilvl w:val="0"/>
          <w:numId w:val="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Capability Portfolio Model Budget Pilots, House FY24 NDAA, Items of Special Interest. We support HASC’s position that a modernized portfolio acquisition model “would more effectively identify leadi</w:t>
      </w:r>
      <w:r>
        <w:rPr>
          <w:rFonts w:ascii="Times New Roman" w:eastAsia="Times New Roman" w:hAnsi="Times New Roman" w:cs="Times New Roman"/>
          <w:sz w:val="24"/>
          <w:szCs w:val="24"/>
        </w:rPr>
        <w:t>ng technologies, solutions, and companies that can address priority portfolio needs and improve mission impact measures.” We hope this position is strengthened during conference negotiations.</w:t>
      </w:r>
    </w:p>
    <w:p w14:paraId="477D2ABE" w14:textId="77777777" w:rsidR="00C7375E" w:rsidRDefault="00244E8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ask that Congress consider additional reforms related to:</w:t>
      </w:r>
    </w:p>
    <w:p w14:paraId="27DDA5CD" w14:textId="77777777" w:rsidR="00C7375E" w:rsidRDefault="00244E8B">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Inc</w:t>
      </w:r>
      <w:r>
        <w:rPr>
          <w:rFonts w:ascii="Times New Roman" w:eastAsia="Times New Roman" w:hAnsi="Times New Roman" w:cs="Times New Roman"/>
          <w:i/>
          <w:sz w:val="24"/>
          <w:szCs w:val="24"/>
        </w:rPr>
        <w:t>entivizing the DoD to identify underspend and convert underspend to available funds within the Defense Modernization Account for software spend</w:t>
      </w:r>
      <w:r>
        <w:rPr>
          <w:rFonts w:ascii="Times New Roman" w:eastAsia="Times New Roman" w:hAnsi="Times New Roman" w:cs="Times New Roman"/>
          <w:sz w:val="24"/>
          <w:szCs w:val="24"/>
        </w:rPr>
        <w:t xml:space="preserve">. 10 U.S.C. § 3136, also known as the Defense Modernization Account, was developed in 1996 to provide the </w:t>
      </w:r>
      <w:r>
        <w:rPr>
          <w:rFonts w:ascii="Times New Roman" w:eastAsia="Times New Roman" w:hAnsi="Times New Roman" w:cs="Times New Roman"/>
          <w:sz w:val="24"/>
          <w:szCs w:val="24"/>
        </w:rPr>
        <w:lastRenderedPageBreak/>
        <w:t>DoD wit</w:t>
      </w:r>
      <w:r>
        <w:rPr>
          <w:rFonts w:ascii="Times New Roman" w:eastAsia="Times New Roman" w:hAnsi="Times New Roman" w:cs="Times New Roman"/>
          <w:sz w:val="24"/>
          <w:szCs w:val="24"/>
        </w:rPr>
        <w:t>h acquisition flexibility so that unexpired funds could be reallocated for modernization initiatives. However, the Account has been underutilized since its inception. We recommend that Congress incentivize the DoD to identify unallocated dollars, so that f</w:t>
      </w:r>
      <w:r>
        <w:rPr>
          <w:rFonts w:ascii="Times New Roman" w:eastAsia="Times New Roman" w:hAnsi="Times New Roman" w:cs="Times New Roman"/>
          <w:sz w:val="24"/>
          <w:szCs w:val="24"/>
        </w:rPr>
        <w:t>unds can be transferred to the Defense Modernization Account used specifically for initiatives and projects that operationalize concepts and required capabilities outlined by the operative Software Modernization Strategy. This will allow the DoD to further</w:t>
      </w:r>
      <w:r>
        <w:rPr>
          <w:rFonts w:ascii="Times New Roman" w:eastAsia="Times New Roman" w:hAnsi="Times New Roman" w:cs="Times New Roman"/>
          <w:sz w:val="24"/>
          <w:szCs w:val="24"/>
        </w:rPr>
        <w:t xml:space="preserve"> its efforts to transition from legacy systems to modern, innovative, and secure commercial platforms, thereby strengthening our defense ecosystem and helping small businesses and non-traditional defense contractors to bridge the valley of death.</w:t>
      </w:r>
    </w:p>
    <w:p w14:paraId="7D2E6231" w14:textId="77777777" w:rsidR="00C7375E" w:rsidRDefault="00244E8B">
      <w:pPr>
        <w:numPr>
          <w:ilvl w:val="0"/>
          <w:numId w:val="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Reform me</w:t>
      </w:r>
      <w:r>
        <w:rPr>
          <w:rFonts w:ascii="Times New Roman" w:eastAsia="Times New Roman" w:hAnsi="Times New Roman" w:cs="Times New Roman"/>
          <w:i/>
          <w:sz w:val="24"/>
          <w:szCs w:val="24"/>
        </w:rPr>
        <w:t>trics used to assess success of pilot projects under budget activity 8</w:t>
      </w:r>
      <w:r>
        <w:rPr>
          <w:rFonts w:ascii="Times New Roman" w:eastAsia="Times New Roman" w:hAnsi="Times New Roman" w:cs="Times New Roman"/>
          <w:sz w:val="24"/>
          <w:szCs w:val="24"/>
        </w:rPr>
        <w:t>. We appreciate the foundational thinking behind the development of the Research, Development, Test and Evaluation Software and Digital Technology Pilot Program budget activity 8 (“BA 08</w:t>
      </w:r>
      <w:r>
        <w:rPr>
          <w:rFonts w:ascii="Times New Roman" w:eastAsia="Times New Roman" w:hAnsi="Times New Roman" w:cs="Times New Roman"/>
          <w:sz w:val="24"/>
          <w:szCs w:val="24"/>
        </w:rPr>
        <w:t>”). BA 08 was premised on the idea that defense software innovation would be further enhanced by funding qualified programs as a single budget item consistent with an iterative and continuous software development process. After a promising start, the pilot</w:t>
      </w:r>
      <w:r>
        <w:rPr>
          <w:rFonts w:ascii="Times New Roman" w:eastAsia="Times New Roman" w:hAnsi="Times New Roman" w:cs="Times New Roman"/>
          <w:sz w:val="24"/>
          <w:szCs w:val="24"/>
        </w:rPr>
        <w:t xml:space="preserve"> has been held at status quo in part due to insufficient reporting on program performance. It is too early to close the door on this critical program. Congress requires sufficient visibility and oversight of BA 08, while DoD requires innovative and flexibl</w:t>
      </w:r>
      <w:r>
        <w:rPr>
          <w:rFonts w:ascii="Times New Roman" w:eastAsia="Times New Roman" w:hAnsi="Times New Roman" w:cs="Times New Roman"/>
          <w:sz w:val="24"/>
          <w:szCs w:val="24"/>
        </w:rPr>
        <w:t xml:space="preserve">e procurement pathways. As BA 08 builds a track record towards providing cost, </w:t>
      </w:r>
      <w:proofErr w:type="gramStart"/>
      <w:r>
        <w:rPr>
          <w:rFonts w:ascii="Times New Roman" w:eastAsia="Times New Roman" w:hAnsi="Times New Roman" w:cs="Times New Roman"/>
          <w:sz w:val="24"/>
          <w:szCs w:val="24"/>
        </w:rPr>
        <w:t>schedule</w:t>
      </w:r>
      <w:proofErr w:type="gramEnd"/>
      <w:r>
        <w:rPr>
          <w:rFonts w:ascii="Times New Roman" w:eastAsia="Times New Roman" w:hAnsi="Times New Roman" w:cs="Times New Roman"/>
          <w:sz w:val="24"/>
          <w:szCs w:val="24"/>
        </w:rPr>
        <w:t xml:space="preserve"> and performance, we recommend interim metrics that focus on its ability to support innovative projects and a plan to capture and report the required information, pursua</w:t>
      </w:r>
      <w:r>
        <w:rPr>
          <w:rFonts w:ascii="Times New Roman" w:eastAsia="Times New Roman" w:hAnsi="Times New Roman" w:cs="Times New Roman"/>
          <w:sz w:val="24"/>
          <w:szCs w:val="24"/>
        </w:rPr>
        <w:t xml:space="preserve">nt to the original law. </w:t>
      </w:r>
    </w:p>
    <w:p w14:paraId="7779DEE5" w14:textId="77777777" w:rsidR="00C7375E" w:rsidRDefault="00244E8B">
      <w:p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believe adopting the above provisions in conference, as well as taking a close look at other opportunity areas for further reform, would significantly ease barriers to entry for start-up companies and small businesses dedicated </w:t>
      </w:r>
      <w:r>
        <w:rPr>
          <w:rFonts w:ascii="Times New Roman" w:eastAsia="Times New Roman" w:hAnsi="Times New Roman" w:cs="Times New Roman"/>
          <w:sz w:val="24"/>
          <w:szCs w:val="24"/>
        </w:rPr>
        <w:t>to building mission-focused software and allow them the opportunity to break through the valley of death more quickly. Doing so will significantly increase innovation and technological superiority for the DoD.  Thank you so much for your service and your c</w:t>
      </w:r>
      <w:r>
        <w:rPr>
          <w:rFonts w:ascii="Times New Roman" w:eastAsia="Times New Roman" w:hAnsi="Times New Roman" w:cs="Times New Roman"/>
          <w:sz w:val="24"/>
          <w:szCs w:val="24"/>
        </w:rPr>
        <w:t xml:space="preserve">ontinued accomplishments in the 118th Congress. </w:t>
      </w:r>
    </w:p>
    <w:p w14:paraId="1968E304" w14:textId="77777777" w:rsidR="00C7375E" w:rsidRDefault="00244E8B">
      <w:p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tbl>
      <w:tblPr>
        <w:tblStyle w:val="a0"/>
        <w:tblW w:w="9675" w:type="dxa"/>
        <w:tblBorders>
          <w:top w:val="nil"/>
          <w:left w:val="nil"/>
          <w:bottom w:val="nil"/>
          <w:right w:val="nil"/>
          <w:insideH w:val="nil"/>
          <w:insideV w:val="nil"/>
        </w:tblBorders>
        <w:tblLayout w:type="fixed"/>
        <w:tblLook w:val="0600" w:firstRow="0" w:lastRow="0" w:firstColumn="0" w:lastColumn="0" w:noHBand="1" w:noVBand="1"/>
      </w:tblPr>
      <w:tblGrid>
        <w:gridCol w:w="3255"/>
        <w:gridCol w:w="3390"/>
        <w:gridCol w:w="3030"/>
      </w:tblGrid>
      <w:tr w:rsidR="00C7375E" w14:paraId="5ED6EA53" w14:textId="77777777">
        <w:trPr>
          <w:cantSplit/>
          <w:trHeight w:val="1339"/>
        </w:trPr>
        <w:tc>
          <w:tcPr>
            <w:tcW w:w="3255" w:type="dxa"/>
            <w:tcBorders>
              <w:top w:val="nil"/>
              <w:left w:val="nil"/>
              <w:bottom w:val="nil"/>
              <w:right w:val="nil"/>
            </w:tcBorders>
            <w:tcMar>
              <w:top w:w="72" w:type="dxa"/>
              <w:left w:w="72" w:type="dxa"/>
              <w:bottom w:w="72" w:type="dxa"/>
              <w:right w:w="72" w:type="dxa"/>
            </w:tcMar>
          </w:tcPr>
          <w:p w14:paraId="67D9D29D" w14:textId="77777777" w:rsidR="00C7375E" w:rsidRDefault="00244E8B">
            <w:pPr>
              <w:spacing w:after="0" w:line="300" w:lineRule="auto"/>
              <w:rPr>
                <w:rFonts w:ascii="Times New Roman" w:eastAsia="Times New Roman" w:hAnsi="Times New Roman" w:cs="Times New Roman"/>
                <w:color w:val="161516"/>
                <w:sz w:val="24"/>
                <w:szCs w:val="24"/>
              </w:rPr>
            </w:pPr>
            <w:r>
              <w:rPr>
                <w:rFonts w:ascii="Times New Roman" w:eastAsia="Times New Roman" w:hAnsi="Times New Roman" w:cs="Times New Roman"/>
                <w:color w:val="161516"/>
                <w:sz w:val="24"/>
                <w:szCs w:val="24"/>
              </w:rPr>
              <w:t>Software in Defense Coalition</w:t>
            </w:r>
          </w:p>
          <w:p w14:paraId="2A71B9C9" w14:textId="77777777" w:rsidR="00C7375E" w:rsidRDefault="00C7375E">
            <w:pPr>
              <w:spacing w:after="0" w:line="300" w:lineRule="auto"/>
              <w:rPr>
                <w:rFonts w:ascii="Times New Roman" w:eastAsia="Times New Roman" w:hAnsi="Times New Roman" w:cs="Times New Roman"/>
                <w:b/>
                <w:color w:val="1D1C1D"/>
                <w:sz w:val="24"/>
                <w:szCs w:val="24"/>
              </w:rPr>
            </w:pPr>
          </w:p>
        </w:tc>
        <w:tc>
          <w:tcPr>
            <w:tcW w:w="3390" w:type="dxa"/>
            <w:tcBorders>
              <w:top w:val="nil"/>
              <w:left w:val="nil"/>
              <w:bottom w:val="nil"/>
              <w:right w:val="nil"/>
            </w:tcBorders>
            <w:tcMar>
              <w:top w:w="72" w:type="dxa"/>
              <w:left w:w="72" w:type="dxa"/>
              <w:bottom w:w="72" w:type="dxa"/>
              <w:right w:w="72" w:type="dxa"/>
            </w:tcMar>
          </w:tcPr>
          <w:p w14:paraId="67F12B4F" w14:textId="77777777" w:rsidR="00C7375E" w:rsidRDefault="00244E8B">
            <w:pPr>
              <w:spacing w:after="0" w:line="300" w:lineRule="auto"/>
              <w:rPr>
                <w:rFonts w:ascii="Times New Roman" w:eastAsia="Times New Roman" w:hAnsi="Times New Roman" w:cs="Times New Roman"/>
                <w:b/>
                <w:color w:val="1D1C1D"/>
                <w:sz w:val="24"/>
                <w:szCs w:val="24"/>
              </w:rPr>
            </w:pPr>
            <w:r>
              <w:rPr>
                <w:rFonts w:ascii="Times New Roman" w:eastAsia="Times New Roman" w:hAnsi="Times New Roman" w:cs="Times New Roman"/>
                <w:color w:val="161516"/>
                <w:sz w:val="24"/>
                <w:szCs w:val="24"/>
              </w:rPr>
              <w:t>Alliance for Commercial Technology in Government</w:t>
            </w:r>
          </w:p>
        </w:tc>
        <w:tc>
          <w:tcPr>
            <w:tcW w:w="3030" w:type="dxa"/>
            <w:tcBorders>
              <w:top w:val="nil"/>
              <w:left w:val="nil"/>
              <w:bottom w:val="nil"/>
              <w:right w:val="nil"/>
            </w:tcBorders>
            <w:tcMar>
              <w:top w:w="72" w:type="dxa"/>
              <w:left w:w="72" w:type="dxa"/>
              <w:bottom w:w="72" w:type="dxa"/>
              <w:right w:w="72" w:type="dxa"/>
            </w:tcMar>
          </w:tcPr>
          <w:p w14:paraId="2A1766FE" w14:textId="77777777" w:rsidR="00C7375E" w:rsidRDefault="00244E8B">
            <w:pPr>
              <w:spacing w:after="0" w:line="300" w:lineRule="auto"/>
              <w:ind w:right="30"/>
              <w:rPr>
                <w:rFonts w:ascii="Times New Roman" w:eastAsia="Times New Roman" w:hAnsi="Times New Roman" w:cs="Times New Roman"/>
                <w:b/>
                <w:color w:val="161516"/>
                <w:sz w:val="24"/>
                <w:szCs w:val="24"/>
              </w:rPr>
            </w:pPr>
            <w:r>
              <w:rPr>
                <w:rFonts w:ascii="Times New Roman" w:eastAsia="Times New Roman" w:hAnsi="Times New Roman" w:cs="Times New Roman"/>
                <w:color w:val="161516"/>
                <w:sz w:val="24"/>
                <w:szCs w:val="24"/>
              </w:rPr>
              <w:t>National Venture Capital Association</w:t>
            </w:r>
          </w:p>
        </w:tc>
      </w:tr>
    </w:tbl>
    <w:p w14:paraId="75E85A00" w14:textId="77777777" w:rsidR="00C7375E" w:rsidRDefault="00C7375E">
      <w:pPr>
        <w:rPr>
          <w:rFonts w:ascii="Times New Roman" w:eastAsia="Times New Roman" w:hAnsi="Times New Roman" w:cs="Times New Roman"/>
          <w:sz w:val="24"/>
          <w:szCs w:val="24"/>
        </w:rPr>
      </w:pPr>
    </w:p>
    <w:p w14:paraId="6DD1A8C2" w14:textId="77777777" w:rsidR="00C7375E" w:rsidRDefault="00244E8B">
      <w:pPr>
        <w:rPr>
          <w:rFonts w:ascii="Times New Roman" w:eastAsia="Times New Roman" w:hAnsi="Times New Roman" w:cs="Times New Roman"/>
          <w:color w:val="161516"/>
          <w:sz w:val="24"/>
          <w:szCs w:val="24"/>
          <w:highlight w:val="yellow"/>
        </w:rPr>
      </w:pPr>
      <w:r>
        <w:rPr>
          <w:rFonts w:ascii="Times New Roman" w:eastAsia="Times New Roman" w:hAnsi="Times New Roman" w:cs="Times New Roman"/>
          <w:color w:val="161516"/>
          <w:sz w:val="24"/>
          <w:szCs w:val="24"/>
        </w:rPr>
        <w:t>cc:</w:t>
      </w:r>
      <w:r>
        <w:rPr>
          <w:rFonts w:ascii="Times New Roman" w:eastAsia="Times New Roman" w:hAnsi="Times New Roman" w:cs="Times New Roman"/>
          <w:color w:val="161516"/>
          <w:sz w:val="24"/>
          <w:szCs w:val="24"/>
          <w:highlight w:val="yellow"/>
        </w:rPr>
        <w:t xml:space="preserve"> House Small Business Committee</w:t>
      </w:r>
    </w:p>
    <w:p w14:paraId="1F4416EF" w14:textId="77777777" w:rsidR="00C7375E" w:rsidRDefault="00244E8B">
      <w:pPr>
        <w:ind w:left="360"/>
        <w:rPr>
          <w:rFonts w:ascii="Times New Roman" w:eastAsia="Times New Roman" w:hAnsi="Times New Roman" w:cs="Times New Roman"/>
          <w:color w:val="161516"/>
          <w:sz w:val="24"/>
          <w:szCs w:val="24"/>
          <w:highlight w:val="yellow"/>
        </w:rPr>
      </w:pPr>
      <w:r>
        <w:rPr>
          <w:rFonts w:ascii="Times New Roman" w:eastAsia="Times New Roman" w:hAnsi="Times New Roman" w:cs="Times New Roman"/>
          <w:color w:val="161516"/>
          <w:sz w:val="24"/>
          <w:szCs w:val="24"/>
          <w:highlight w:val="yellow"/>
        </w:rPr>
        <w:t>XXXX</w:t>
      </w:r>
    </w:p>
    <w:sectPr w:rsidR="00C7375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1603" w14:textId="77777777" w:rsidR="00000000" w:rsidRDefault="00244E8B">
      <w:pPr>
        <w:spacing w:after="0" w:line="240" w:lineRule="auto"/>
      </w:pPr>
      <w:r>
        <w:separator/>
      </w:r>
    </w:p>
  </w:endnote>
  <w:endnote w:type="continuationSeparator" w:id="0">
    <w:p w14:paraId="791359E1" w14:textId="77777777" w:rsidR="00000000" w:rsidRDefault="0024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A653" w14:textId="77777777" w:rsidR="00C7375E" w:rsidRDefault="00244E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337E1E">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9D6D" w14:textId="77777777" w:rsidR="00000000" w:rsidRDefault="00244E8B">
      <w:pPr>
        <w:spacing w:after="0" w:line="240" w:lineRule="auto"/>
      </w:pPr>
      <w:r>
        <w:separator/>
      </w:r>
    </w:p>
  </w:footnote>
  <w:footnote w:type="continuationSeparator" w:id="0">
    <w:p w14:paraId="162270C1" w14:textId="77777777" w:rsidR="00000000" w:rsidRDefault="00244E8B">
      <w:pPr>
        <w:spacing w:after="0" w:line="240" w:lineRule="auto"/>
      </w:pPr>
      <w:r>
        <w:continuationSeparator/>
      </w:r>
    </w:p>
  </w:footnote>
  <w:footnote w:id="1">
    <w:p w14:paraId="64040CE5" w14:textId="77777777" w:rsidR="00C7375E" w:rsidRDefault="00244E8B">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https://dodcio.defense.gov/Portals/0/Documents/Library/SW-Mod-I-PlanExecutiveSummary.pdf</w:t>
        </w:r>
      </w:hyperlink>
      <w:r>
        <w:rPr>
          <w:sz w:val="20"/>
          <w:szCs w:val="20"/>
        </w:rPr>
        <w:t xml:space="preserve"> </w:t>
      </w:r>
    </w:p>
  </w:footnote>
  <w:footnote w:id="2">
    <w:p w14:paraId="0A6F9B44" w14:textId="77777777" w:rsidR="00C7375E" w:rsidRDefault="00244E8B">
      <w:pPr>
        <w:spacing w:after="0" w:line="240" w:lineRule="auto"/>
        <w:rPr>
          <w:sz w:val="20"/>
          <w:szCs w:val="20"/>
        </w:rPr>
      </w:pPr>
      <w:r>
        <w:rPr>
          <w:vertAlign w:val="superscript"/>
        </w:rPr>
        <w:footnoteRef/>
      </w:r>
      <w:r>
        <w:rPr>
          <w:sz w:val="20"/>
          <w:szCs w:val="20"/>
        </w:rPr>
        <w:t>https://www.atlanticcounci</w:t>
      </w:r>
      <w:r>
        <w:rPr>
          <w:sz w:val="20"/>
          <w:szCs w:val="20"/>
        </w:rPr>
        <w:t>l.org/in-depth-research-reports/report/atlantic-council-commission-on-defense-innovation-adoption-interim-report/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E4A6" w14:textId="77777777" w:rsidR="00C7375E" w:rsidRDefault="00244E8B">
    <w:pPr>
      <w:ind w:left="-180"/>
    </w:pPr>
    <w:r>
      <w:rPr>
        <w:noProof/>
      </w:rPr>
      <w:drawing>
        <wp:inline distT="114300" distB="114300" distL="114300" distR="114300" wp14:anchorId="5F3FF7A7" wp14:editId="340CA433">
          <wp:extent cx="2158389" cy="481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8389" cy="4810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78F9"/>
    <w:multiLevelType w:val="multilevel"/>
    <w:tmpl w:val="7EF0452C"/>
    <w:lvl w:ilvl="0">
      <w:start w:val="1"/>
      <w:numFmt w:val="bullet"/>
      <w:lvlText w:val="●"/>
      <w:lvlJc w:val="left"/>
      <w:pPr>
        <w:ind w:left="720" w:hanging="360"/>
      </w:pPr>
      <w:rPr>
        <w:i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56A5AD3"/>
    <w:multiLevelType w:val="multilevel"/>
    <w:tmpl w:val="46A47B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1990931">
    <w:abstractNumId w:val="1"/>
  </w:num>
  <w:num w:numId="2" w16cid:durableId="137484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5E"/>
    <w:rsid w:val="00244E8B"/>
    <w:rsid w:val="00337E1E"/>
    <w:rsid w:val="00C7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B594"/>
  <w15:docId w15:val="{87FCD341-CAA8-4D8E-A3C8-C7510E6B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dcio.defense.gov/Portals/0/Documents/Library/SW-Mod-I-PlanExecutiveSumma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2149</Words>
  <Characters>12252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Gillian Carney</cp:lastModifiedBy>
  <cp:revision>2</cp:revision>
  <dcterms:created xsi:type="dcterms:W3CDTF">2023-07-25T21:53:00Z</dcterms:created>
  <dcterms:modified xsi:type="dcterms:W3CDTF">2023-07-25T21:53:00Z</dcterms:modified>
</cp:coreProperties>
</file>