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4E3C" w14:textId="77777777" w:rsidR="009D2311" w:rsidRPr="00623780" w:rsidRDefault="009D2311" w:rsidP="00BE19F4">
      <w:pPr>
        <w:widowControl/>
        <w:shd w:val="clear" w:color="auto" w:fill="auto"/>
        <w:tabs>
          <w:tab w:val="center" w:pos="4680"/>
          <w:tab w:val="left" w:pos="8090"/>
        </w:tabs>
        <w:autoSpaceDE/>
        <w:autoSpaceDN/>
        <w:adjustRightInd/>
        <w:rPr>
          <w:b/>
          <w:i/>
        </w:rPr>
      </w:pPr>
      <w:bookmarkStart w:id="0" w:name="_9kP1qJ9mv35E"/>
      <w:bookmarkStart w:id="1" w:name="_dxtcompanion_actionscomplete"/>
      <w:bookmarkEnd w:id="0"/>
      <w:r>
        <w:rPr>
          <w:b/>
          <w:i/>
        </w:rPr>
        <w:t>Preliminary Note</w:t>
      </w:r>
    </w:p>
    <w:p w14:paraId="00804445" w14:textId="267FFFFD" w:rsidR="009D2311" w:rsidRPr="00623780" w:rsidRDefault="009D2311" w:rsidP="005D7048">
      <w:pPr>
        <w:widowControl/>
        <w:shd w:val="clear" w:color="auto" w:fill="auto"/>
        <w:autoSpaceDE/>
        <w:autoSpaceDN/>
        <w:adjustRightInd/>
        <w:jc w:val="both"/>
        <w:rPr>
          <w:i/>
        </w:rPr>
      </w:pPr>
      <w:r>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Pr>
          <w:i/>
          <w:u w:val="single"/>
        </w:rPr>
        <w:t>not</w:t>
      </w:r>
      <w:r>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other than just the Company and the investors in this round of financing and are usually embodied in separate agreements to which those others persons are parties, or in some cases in the Certificate of Incorporation). The main items of negotiation in the Stock Purchase Agreement are the representations and warranties that the Company must make to the investors and the closing conditions for the transaction.</w:t>
      </w:r>
    </w:p>
    <w:p w14:paraId="53C7B0E8" w14:textId="32776196" w:rsidR="009D2311" w:rsidRPr="00623780" w:rsidRDefault="009D2311" w:rsidP="000E2BB5">
      <w:pPr>
        <w:widowControl/>
        <w:shd w:val="clear" w:color="auto" w:fill="auto"/>
        <w:tabs>
          <w:tab w:val="left" w:pos="-720"/>
        </w:tabs>
        <w:autoSpaceDE/>
        <w:autoSpaceDN/>
        <w:adjustRightInd/>
        <w:jc w:val="center"/>
        <w:rPr>
          <w:b/>
        </w:rPr>
      </w:pPr>
      <w:r>
        <w:rPr>
          <w:b/>
        </w:rPr>
        <w:t>SERIES [___] PREFERRED STOCK PURCHASE AGREEMENT</w:t>
      </w:r>
    </w:p>
    <w:p w14:paraId="2EDA83B5" w14:textId="21029F92" w:rsidR="009D2311" w:rsidRPr="00623780" w:rsidRDefault="009D2311" w:rsidP="00CB50B6">
      <w:pPr>
        <w:pStyle w:val="BodyText"/>
        <w:ind w:firstLine="0"/>
      </w:pPr>
      <w:r>
        <w:t>THIS SERIES [___] PREFERRED STOCK PURCHASE AGREEMENT (this “</w:t>
      </w:r>
      <w:r>
        <w:rPr>
          <w:b/>
        </w:rPr>
        <w:t>Agreement</w:t>
      </w:r>
      <w:r>
        <w:t>”), is made as of [________], 20[__], by and among [____________], a Delaware corporation (the “</w:t>
      </w:r>
      <w:r>
        <w:rPr>
          <w:b/>
        </w:rPr>
        <w:t>Company</w:t>
      </w:r>
      <w:r>
        <w:t xml:space="preserve">”), and the investors listed on </w:t>
      </w:r>
      <w:r>
        <w:rPr>
          <w:u w:val="single"/>
        </w:rPr>
        <w:fldChar w:fldCharType="begin"/>
      </w:r>
      <w:r>
        <w:rPr>
          <w:u w:val="single"/>
        </w:rPr>
        <w:instrText xml:space="preserve"> REF _Ref137575642 \r \h  \* MERGEFORMAT </w:instrText>
      </w:r>
      <w:r>
        <w:rPr>
          <w:u w:val="single"/>
        </w:rPr>
      </w:r>
      <w:r>
        <w:rPr>
          <w:u w:val="single"/>
        </w:rPr>
        <w:fldChar w:fldCharType="separate"/>
      </w:r>
      <w:r w:rsidR="008E009B">
        <w:rPr>
          <w:u w:val="single"/>
        </w:rPr>
        <w:t>Exhibit A</w:t>
      </w:r>
      <w:r>
        <w:rPr>
          <w:u w:val="single"/>
        </w:rPr>
        <w:fldChar w:fldCharType="end"/>
      </w:r>
      <w:r>
        <w:t xml:space="preserve"> </w:t>
      </w:r>
      <w:bookmarkStart w:id="2" w:name="_Hlk140266142"/>
      <w:r>
        <w:t xml:space="preserve">attached </w:t>
      </w:r>
      <w:bookmarkEnd w:id="2"/>
      <w:r>
        <w:t>to this Agreement (each a “</w:t>
      </w:r>
      <w:r>
        <w:rPr>
          <w:b/>
        </w:rPr>
        <w:t>Purchaser</w:t>
      </w:r>
      <w:r>
        <w:t>” and together the “</w:t>
      </w:r>
      <w:r>
        <w:rPr>
          <w:b/>
        </w:rPr>
        <w:t>Purchasers</w:t>
      </w:r>
      <w:r>
        <w:t>”).</w:t>
      </w:r>
    </w:p>
    <w:p w14:paraId="0FFB8A61" w14:textId="77777777" w:rsidR="009D2311" w:rsidRPr="00623780" w:rsidRDefault="009D2311" w:rsidP="00CB50B6">
      <w:pPr>
        <w:pStyle w:val="BodyText"/>
        <w:ind w:firstLine="0"/>
      </w:pPr>
      <w:r>
        <w:t>The parties hereby agree as follows:</w:t>
      </w:r>
    </w:p>
    <w:p w14:paraId="3FF853A0" w14:textId="7DBFBB5C" w:rsidR="009D2311" w:rsidRPr="00623780" w:rsidRDefault="009D2311" w:rsidP="00802C4B">
      <w:pPr>
        <w:pStyle w:val="Heading1"/>
        <w:rPr>
          <w:szCs w:val="22"/>
        </w:rPr>
      </w:pPr>
      <w:bookmarkStart w:id="3" w:name="_Ref146111739"/>
      <w:r>
        <w:rPr>
          <w:szCs w:val="22"/>
          <w:u w:val="single"/>
        </w:rPr>
        <w:t>Purchase and Sale of Preferred Stock</w:t>
      </w:r>
      <w:r>
        <w:rPr>
          <w:szCs w:val="22"/>
        </w:rPr>
        <w:t>.</w:t>
      </w:r>
      <w:bookmarkEnd w:id="3"/>
    </w:p>
    <w:p w14:paraId="34ACF74B" w14:textId="3F83B840" w:rsidR="009D2311" w:rsidRPr="00623780" w:rsidRDefault="009D2311" w:rsidP="00771F9D">
      <w:pPr>
        <w:pStyle w:val="Heading2"/>
        <w:keepNext/>
        <w:rPr>
          <w:szCs w:val="22"/>
        </w:rPr>
      </w:pPr>
      <w:r>
        <w:rPr>
          <w:szCs w:val="22"/>
          <w:u w:val="single"/>
        </w:rPr>
        <w:t>Sale and Issuance of Preferred Stock</w:t>
      </w:r>
      <w:r>
        <w:rPr>
          <w:szCs w:val="22"/>
        </w:rPr>
        <w:t>.</w:t>
      </w:r>
    </w:p>
    <w:p w14:paraId="6A97CDBD" w14:textId="2699516C" w:rsidR="009D2311" w:rsidRPr="00623780" w:rsidRDefault="009D2311" w:rsidP="00B37ECF">
      <w:pPr>
        <w:pStyle w:val="Heading3"/>
        <w:rPr>
          <w:szCs w:val="22"/>
        </w:rPr>
      </w:pPr>
      <w:r>
        <w:rPr>
          <w:szCs w:val="22"/>
        </w:rPr>
        <w:t>The Company shall have adopted and filed with the Secretary of State of the State of Delaware on or before the Initial Closing</w:t>
      </w:r>
      <w:r>
        <w:rPr>
          <w:rStyle w:val="FootnoteReference"/>
          <w:szCs w:val="22"/>
        </w:rPr>
        <w:footnoteReference w:id="2"/>
      </w:r>
      <w:r>
        <w:rPr>
          <w:szCs w:val="22"/>
        </w:rPr>
        <w:t xml:space="preserve"> (as defined below) the Amended and Restated Certificate of Incorporation in the form of </w:t>
      </w:r>
      <w:r>
        <w:rPr>
          <w:szCs w:val="22"/>
          <w:u w:val="single"/>
        </w:rPr>
        <w:fldChar w:fldCharType="begin"/>
      </w:r>
      <w:r>
        <w:rPr>
          <w:szCs w:val="22"/>
          <w:u w:val="single"/>
        </w:rPr>
        <w:instrText xml:space="preserve"> REF _Ref137575743 \r \h  \* MERGEFORMAT </w:instrText>
      </w:r>
      <w:r>
        <w:rPr>
          <w:szCs w:val="22"/>
          <w:u w:val="single"/>
        </w:rPr>
      </w:r>
      <w:r>
        <w:rPr>
          <w:szCs w:val="22"/>
          <w:u w:val="single"/>
        </w:rPr>
        <w:fldChar w:fldCharType="separate"/>
      </w:r>
      <w:r w:rsidR="008E009B">
        <w:rPr>
          <w:szCs w:val="22"/>
          <w:u w:val="single"/>
        </w:rPr>
        <w:t>Exhibit B</w:t>
      </w:r>
      <w:r>
        <w:rPr>
          <w:szCs w:val="22"/>
          <w:u w:val="single"/>
        </w:rPr>
        <w:fldChar w:fldCharType="end"/>
      </w:r>
      <w:r>
        <w:rPr>
          <w:szCs w:val="22"/>
        </w:rPr>
        <w:t xml:space="preserve"> attached to this Agreement (the “</w:t>
      </w:r>
      <w:r>
        <w:rPr>
          <w:b/>
          <w:szCs w:val="22"/>
        </w:rPr>
        <w:t>Restated Certificate</w:t>
      </w:r>
      <w:r>
        <w:rPr>
          <w:szCs w:val="22"/>
        </w:rPr>
        <w:t>”).</w:t>
      </w:r>
    </w:p>
    <w:p w14:paraId="5CBCAF2A" w14:textId="47DB8C00" w:rsidR="009D2311" w:rsidRPr="00623780" w:rsidRDefault="009D2311" w:rsidP="00771F9D">
      <w:pPr>
        <w:pStyle w:val="Heading3"/>
        <w:rPr>
          <w:szCs w:val="22"/>
        </w:rPr>
      </w:pPr>
      <w:r>
        <w:rPr>
          <w:szCs w:val="22"/>
        </w:rPr>
        <w:t>Subject to the terms and conditions of this Agreement, each Purchaser agrees to purchase, and the Company agrees to sell and issue to each Purchaser, at the [applicable] Closing (as defined below) that number of shares of Series [___] Preferred Stock, $[__] par value per share (the “</w:t>
      </w:r>
      <w:r>
        <w:rPr>
          <w:b/>
          <w:szCs w:val="22"/>
        </w:rPr>
        <w:t>Series [___] Preferred Stock</w:t>
      </w:r>
      <w:r>
        <w:rPr>
          <w:szCs w:val="22"/>
        </w:rPr>
        <w:t xml:space="preserve">”), set forth opposite each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[with respect to such Closing], at a purchase price of $[__] per share [or, as applicable, a purchase price of $[___] per share with respect to the shares of Series [</w:t>
      </w:r>
      <w:r w:rsidR="00336D5B">
        <w:rPr>
          <w:szCs w:val="22"/>
        </w:rPr>
        <w:t>____</w:t>
      </w:r>
      <w:r>
        <w:rPr>
          <w:szCs w:val="22"/>
        </w:rPr>
        <w:t xml:space="preserve">] Preferred Stock being issued [in the Initial Closing] pursuant to any cancellation or conversion of Convertible Securities (as defined below) as set forth in </w:t>
      </w:r>
      <w:r>
        <w:rPr>
          <w:szCs w:val="22"/>
          <w:u w:val="single"/>
        </w:rPr>
        <w:t xml:space="preserve">Section </w:t>
      </w:r>
      <w:r>
        <w:rPr>
          <w:szCs w:val="22"/>
          <w:u w:val="single"/>
        </w:rPr>
        <w:fldChar w:fldCharType="begin"/>
      </w:r>
      <w:r>
        <w:rPr>
          <w:szCs w:val="22"/>
          <w:u w:val="single"/>
        </w:rPr>
        <w:instrText xml:space="preserve"> REF _Ref137597524 \r \h  \* MERGEFORMAT </w:instrText>
      </w:r>
      <w:r>
        <w:rPr>
          <w:szCs w:val="22"/>
          <w:u w:val="single"/>
        </w:rPr>
      </w:r>
      <w:r>
        <w:rPr>
          <w:szCs w:val="22"/>
          <w:u w:val="single"/>
        </w:rPr>
        <w:fldChar w:fldCharType="separate"/>
      </w:r>
      <w:r w:rsidR="008E009B">
        <w:rPr>
          <w:szCs w:val="22"/>
          <w:u w:val="single"/>
        </w:rPr>
        <w:t>1.3</w:t>
      </w:r>
      <w:r>
        <w:rPr>
          <w:szCs w:val="22"/>
          <w:u w:val="single"/>
        </w:rPr>
        <w:fldChar w:fldCharType="end"/>
      </w:r>
      <w:r>
        <w:rPr>
          <w:szCs w:val="22"/>
        </w:rPr>
        <w:t xml:space="preserve"> below], subject to adjustment of such per share amounts for stock splits, stock combinations, stock dividends, and the like that occur between the date of this Agreement and the applicable Closing (as defined below). The shares of Series [___] Preferred Stock issued to the Purchasers pursuant to this Agreement shall be referred </w:t>
      </w:r>
      <w:r>
        <w:rPr>
          <w:szCs w:val="22"/>
        </w:rPr>
        <w:lastRenderedPageBreak/>
        <w:t>to in this Agreement as the “</w:t>
      </w:r>
      <w:r>
        <w:rPr>
          <w:b/>
          <w:szCs w:val="22"/>
        </w:rPr>
        <w:t>Shares</w:t>
      </w:r>
      <w:r>
        <w:rPr>
          <w:szCs w:val="22"/>
        </w:rPr>
        <w:t>.” In the event there is more than one closing, the term “</w:t>
      </w:r>
      <w:r>
        <w:rPr>
          <w:b/>
          <w:szCs w:val="22"/>
        </w:rPr>
        <w:t>Closing</w:t>
      </w:r>
      <w:r>
        <w:rPr>
          <w:szCs w:val="22"/>
        </w:rPr>
        <w:t>” shall apply to each such closing unless otherwise specified.</w:t>
      </w:r>
    </w:p>
    <w:p w14:paraId="4D98C07D" w14:textId="4E5E064A" w:rsidR="009D2311" w:rsidRPr="00623780" w:rsidRDefault="009D2311" w:rsidP="00771F9D">
      <w:pPr>
        <w:pStyle w:val="Heading2"/>
        <w:keepNext/>
        <w:rPr>
          <w:szCs w:val="22"/>
        </w:rPr>
      </w:pPr>
      <w:bookmarkStart w:id="4" w:name="_Hlk34163555"/>
      <w:r>
        <w:rPr>
          <w:szCs w:val="22"/>
          <w:u w:val="single"/>
        </w:rPr>
        <w:t>Closing[s]; Delivery</w:t>
      </w:r>
      <w:r>
        <w:rPr>
          <w:szCs w:val="22"/>
        </w:rPr>
        <w:t>.</w:t>
      </w:r>
    </w:p>
    <w:bookmarkEnd w:id="4"/>
    <w:p w14:paraId="781D5A44" w14:textId="33277894" w:rsidR="009D2311" w:rsidRPr="00623780" w:rsidRDefault="0028610C" w:rsidP="00771F9D">
      <w:pPr>
        <w:pStyle w:val="Heading3"/>
        <w:rPr>
          <w:szCs w:val="22"/>
        </w:rPr>
      </w:pPr>
      <w:r>
        <w:rPr>
          <w:szCs w:val="22"/>
        </w:rPr>
        <w:t>[</w:t>
      </w:r>
      <w:r>
        <w:rPr>
          <w:szCs w:val="22"/>
          <w:u w:val="single"/>
        </w:rPr>
        <w:t>Initial Closing</w:t>
      </w:r>
      <w:r>
        <w:rPr>
          <w:szCs w:val="22"/>
        </w:rPr>
        <w:t>.] The</w:t>
      </w:r>
      <w:r>
        <w:rPr>
          <w:b/>
          <w:szCs w:val="22"/>
        </w:rPr>
        <w:t xml:space="preserve"> [</w:t>
      </w:r>
      <w:r>
        <w:rPr>
          <w:szCs w:val="22"/>
        </w:rPr>
        <w:t>initial] purchase and sale of the Shares shall take place remotely via the exchange of documents and signatures, on the date of this Agreement at such time as is mutually agreed upon, orally or in writing, by the Company and the Purchasers (the consummation of such purchase and sale being designated as the “[</w:t>
      </w:r>
      <w:r>
        <w:rPr>
          <w:b/>
          <w:szCs w:val="22"/>
        </w:rPr>
        <w:t>Initial] Closing</w:t>
      </w:r>
      <w:r>
        <w:rPr>
          <w:szCs w:val="22"/>
        </w:rPr>
        <w:t>”).</w:t>
      </w:r>
      <w:r w:rsidR="00E243DD" w:rsidRPr="00E243DD">
        <w:rPr>
          <w:rStyle w:val="FootnoteReference"/>
        </w:rPr>
        <w:t xml:space="preserve"> </w:t>
      </w:r>
      <w:r w:rsidR="00E243DD">
        <w:rPr>
          <w:rStyle w:val="FootnoteReference"/>
        </w:rPr>
        <w:footnoteReference w:id="3"/>
      </w:r>
      <w:r w:rsidR="00E243DD">
        <w:t>,</w:t>
      </w:r>
      <w:r>
        <w:rPr>
          <w:rStyle w:val="FootnoteReference"/>
          <w:szCs w:val="22"/>
        </w:rPr>
        <w:footnoteReference w:id="4"/>
      </w:r>
      <w:r>
        <w:rPr>
          <w:szCs w:val="22"/>
        </w:rPr>
        <w:t xml:space="preserve"> [Each Purchaser at the Initial Closing shall be obligated to purchase that number of Tranche Closing Shares (as defined below) as is set forth opposite such Purchaser’s name on </w:t>
      </w:r>
      <w:r w:rsidRPr="00DA7381">
        <w:rPr>
          <w:szCs w:val="22"/>
          <w:u w:val="single"/>
        </w:rPr>
        <w:t>Exhibit A</w:t>
      </w:r>
      <w:r>
        <w:rPr>
          <w:szCs w:val="22"/>
        </w:rPr>
        <w:t xml:space="preserve"> under the heading “Tranche Closing Shares” (as to any Purchaser, its “</w:t>
      </w:r>
      <w:r>
        <w:rPr>
          <w:b/>
          <w:bCs/>
          <w:szCs w:val="22"/>
        </w:rPr>
        <w:t>Tranche Closing Shares</w:t>
      </w:r>
      <w:r>
        <w:rPr>
          <w:szCs w:val="22"/>
        </w:rPr>
        <w:t xml:space="preserve">”), as provided in </w:t>
      </w:r>
      <w:r>
        <w:rPr>
          <w:szCs w:val="22"/>
          <w:u w:val="single"/>
        </w:rPr>
        <w:t>Section [1.2(c)]</w:t>
      </w:r>
      <w:r>
        <w:rPr>
          <w:szCs w:val="22"/>
        </w:rPr>
        <w:t xml:space="preserve"> below.]</w:t>
      </w:r>
      <w:r>
        <w:rPr>
          <w:rStyle w:val="FootnoteReference"/>
          <w:szCs w:val="22"/>
        </w:rPr>
        <w:footnoteReference w:id="5"/>
      </w:r>
    </w:p>
    <w:p w14:paraId="517947F0" w14:textId="4A3B6843" w:rsidR="0090274F" w:rsidRPr="00623780" w:rsidRDefault="0090274F" w:rsidP="00771F9D">
      <w:pPr>
        <w:pStyle w:val="Heading3"/>
        <w:rPr>
          <w:szCs w:val="22"/>
        </w:rPr>
      </w:pPr>
      <w:bookmarkStart w:id="5" w:name="_Ref170227063"/>
      <w:r>
        <w:rPr>
          <w:szCs w:val="22"/>
        </w:rPr>
        <w:t>[</w:t>
      </w:r>
      <w:r>
        <w:rPr>
          <w:szCs w:val="22"/>
          <w:u w:val="single"/>
        </w:rPr>
        <w:t>Additional Closings</w:t>
      </w:r>
      <w:r>
        <w:rPr>
          <w:rStyle w:val="FootnoteReference"/>
          <w:szCs w:val="22"/>
        </w:rPr>
        <w:footnoteReference w:id="6"/>
      </w:r>
      <w:r>
        <w:rPr>
          <w:szCs w:val="22"/>
        </w:rPr>
        <w:t>. After the Initial Closing and on or before [date], the Company may sell, on the same terms and conditions as those contained in this Agreement, any unsold shares [up to [_________] additional shares (subject to appropriate adjustment in the event of any stock dividend, stock split, combination or similar recapitalization affecting such shares)] of Series [___] Preferred Stock (the “</w:t>
      </w:r>
      <w:r>
        <w:rPr>
          <w:b/>
          <w:szCs w:val="22"/>
        </w:rPr>
        <w:t>Additional Shares</w:t>
      </w:r>
      <w:r>
        <w:rPr>
          <w:szCs w:val="22"/>
        </w:rPr>
        <w:t>”), to one or more purchasers (the “</w:t>
      </w:r>
      <w:r>
        <w:rPr>
          <w:b/>
          <w:szCs w:val="22"/>
        </w:rPr>
        <w:t>Additional Purchasers</w:t>
      </w:r>
      <w:r>
        <w:rPr>
          <w:szCs w:val="22"/>
        </w:rPr>
        <w:t>”) [reasonably acceptable to Purchasers holding a [</w:t>
      </w:r>
      <w:r>
        <w:rPr>
          <w:i/>
          <w:szCs w:val="22"/>
        </w:rPr>
        <w:t>specify percentage</w:t>
      </w:r>
      <w:r>
        <w:rPr>
          <w:szCs w:val="22"/>
        </w:rPr>
        <w:t>] of the then outstanding Shares</w:t>
      </w:r>
      <w:r>
        <w:rPr>
          <w:rStyle w:val="FootnoteReference"/>
          <w:szCs w:val="22"/>
        </w:rPr>
        <w:footnoteReference w:id="7"/>
      </w:r>
      <w:r>
        <w:rPr>
          <w:szCs w:val="22"/>
        </w:rPr>
        <w:t>] in any number of Closings (each an “</w:t>
      </w:r>
      <w:r>
        <w:rPr>
          <w:b/>
          <w:bCs/>
          <w:szCs w:val="22"/>
        </w:rPr>
        <w:t>Additional Closing</w:t>
      </w:r>
      <w:r>
        <w:rPr>
          <w:szCs w:val="22"/>
        </w:rPr>
        <w:t xml:space="preserve">”), </w:t>
      </w:r>
      <w:r>
        <w:rPr>
          <w:szCs w:val="22"/>
          <w:u w:val="single"/>
        </w:rPr>
        <w:t>provided</w:t>
      </w:r>
      <w:r>
        <w:rPr>
          <w:szCs w:val="22"/>
        </w:rPr>
        <w:t xml:space="preserve"> that [(i)]  each Additional Purchaser becomes a party to the Investors’ Rights Agreement, the Voting Agreement, and the Right of First Refusal and Co-Sale Agreement, each as defined below, by executing and delivering a counterpart signature page to each of such Transaction Agreements [and (ii) each Additional Purchaser in an Additional Closing occurring prior to the Tranche Closing shall be obligated to purchase such Purchaser’s Tranche Closing Shares, as provided in </w:t>
      </w:r>
      <w:r>
        <w:rPr>
          <w:szCs w:val="22"/>
          <w:u w:val="single"/>
        </w:rPr>
        <w:t>Section [1.2(c)]</w:t>
      </w:r>
      <w:r>
        <w:rPr>
          <w:szCs w:val="22"/>
        </w:rPr>
        <w:t xml:space="preserve"> below]</w:t>
      </w:r>
      <w:r>
        <w:rPr>
          <w:rStyle w:val="FootnoteReference"/>
          <w:szCs w:val="22"/>
        </w:rPr>
        <w:footnoteReference w:id="8"/>
      </w:r>
      <w:r>
        <w:rPr>
          <w:szCs w:val="22"/>
        </w:rPr>
        <w:t xml:space="preserve">.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to this Agreement shall be updated to reflect [(i)] the number of Additional Shares purchased at each such Closing and the parties purchasing such Additional Shares [and (ii) the number of Tranche Closing Shares, if applicable, required to be purchased by each Additional Purchaser.]</w:t>
      </w:r>
      <w:r>
        <w:rPr>
          <w:rStyle w:val="FootnoteReference"/>
          <w:szCs w:val="22"/>
        </w:rPr>
        <w:t xml:space="preserve"> </w:t>
      </w:r>
    </w:p>
    <w:p w14:paraId="1518C451" w14:textId="0FEDF0F4" w:rsidR="00055896" w:rsidRPr="00623780" w:rsidRDefault="00806902" w:rsidP="00806902">
      <w:pPr>
        <w:pStyle w:val="Heading3"/>
        <w:rPr>
          <w:szCs w:val="22"/>
        </w:rPr>
      </w:pPr>
      <w:r>
        <w:rPr>
          <w:szCs w:val="22"/>
        </w:rPr>
        <w:lastRenderedPageBreak/>
        <w:t>[Tranche Closing</w:t>
      </w:r>
      <w:r>
        <w:rPr>
          <w:rStyle w:val="FootnoteReference"/>
          <w:szCs w:val="22"/>
        </w:rPr>
        <w:footnoteReference w:id="9"/>
      </w:r>
      <w:r>
        <w:rPr>
          <w:szCs w:val="22"/>
        </w:rPr>
        <w:t xml:space="preserve">. </w:t>
      </w:r>
    </w:p>
    <w:p w14:paraId="42F332E2" w14:textId="2418954F" w:rsidR="00806902" w:rsidRPr="00623780" w:rsidRDefault="00C91885" w:rsidP="00055896">
      <w:pPr>
        <w:pStyle w:val="Heading4"/>
        <w:rPr>
          <w:szCs w:val="22"/>
        </w:rPr>
      </w:pPr>
      <w:r>
        <w:rPr>
          <w:szCs w:val="22"/>
          <w:u w:val="single"/>
        </w:rPr>
        <w:t>Tranche Closing</w:t>
      </w:r>
      <w:r>
        <w:rPr>
          <w:szCs w:val="22"/>
        </w:rPr>
        <w:t>. If, on or before [date] (the “</w:t>
      </w:r>
      <w:r>
        <w:rPr>
          <w:b/>
          <w:bCs/>
          <w:szCs w:val="22"/>
        </w:rPr>
        <w:t>Outside Date</w:t>
      </w:r>
      <w:r>
        <w:rPr>
          <w:szCs w:val="22"/>
        </w:rPr>
        <w:t xml:space="preserve">”), the Tranche Closing Condition (as defined below) is satisfied, then (A) the Company shall </w:t>
      </w:r>
      <w:r w:rsidR="000E62D2">
        <w:rPr>
          <w:szCs w:val="22"/>
        </w:rPr>
        <w:t xml:space="preserve">promptly </w:t>
      </w:r>
      <w:r>
        <w:rPr>
          <w:szCs w:val="22"/>
        </w:rPr>
        <w:t>deliver a written notice to the Purchasers (the “</w:t>
      </w:r>
      <w:r>
        <w:rPr>
          <w:b/>
          <w:bCs/>
          <w:szCs w:val="22"/>
        </w:rPr>
        <w:t>Tranche Closing Notice</w:t>
      </w:r>
      <w:r>
        <w:rPr>
          <w:szCs w:val="22"/>
        </w:rPr>
        <w:t xml:space="preserve">”) confirming the satisfaction of the Tranche Closing Condition and specifying the Tranche Closing Date (as defined below) and (B) each Purchaser that has purchased Shares prior to the Tranche Closing Date shall be obligated to purchase (together with its Affiliates but without duplication) its Tranche Closing Shares (as adjusted pursuant to </w:t>
      </w:r>
      <w:r w:rsidRPr="00F5268A">
        <w:rPr>
          <w:szCs w:val="22"/>
          <w:u w:val="single"/>
        </w:rPr>
        <w:t>Section 1.</w:t>
      </w:r>
      <w:r w:rsidR="00C54A2A" w:rsidRPr="00F5268A">
        <w:rPr>
          <w:szCs w:val="22"/>
          <w:u w:val="single"/>
        </w:rPr>
        <w:t>2</w:t>
      </w:r>
      <w:r w:rsidRPr="00F5268A">
        <w:rPr>
          <w:szCs w:val="22"/>
          <w:u w:val="single"/>
        </w:rPr>
        <w:t>(c)(ii)</w:t>
      </w:r>
      <w:r>
        <w:rPr>
          <w:szCs w:val="22"/>
        </w:rPr>
        <w:t>) in an additional closing on the Tranche Closing Date (the “</w:t>
      </w:r>
      <w:r>
        <w:rPr>
          <w:b/>
          <w:bCs/>
          <w:szCs w:val="22"/>
        </w:rPr>
        <w:t>Tranche Closing</w:t>
      </w:r>
      <w:r>
        <w:rPr>
          <w:szCs w:val="22"/>
        </w:rPr>
        <w:t xml:space="preserve">”). At the Tranche Closing, the Company shall sell to each Purchaser, and each Purchaser shall purchase from the Company, such Purchaser’s Tranche Closing Shares. </w:t>
      </w:r>
      <w:r>
        <w:rPr>
          <w:szCs w:val="22"/>
          <w:u w:val="single"/>
        </w:rPr>
        <w:t>Exhibit A</w:t>
      </w:r>
      <w:r>
        <w:rPr>
          <w:szCs w:val="22"/>
        </w:rPr>
        <w:t xml:space="preserve"> to this Agreement shall be updated to reflect the number of any Tranche Closing Shares purchased by such Purchaser at the Tranche Closing, if consummated.</w:t>
      </w:r>
    </w:p>
    <w:p w14:paraId="06F3EAB6" w14:textId="5E24AD92" w:rsidR="00806902" w:rsidRPr="00623780" w:rsidRDefault="00806902" w:rsidP="00AE4F80">
      <w:pPr>
        <w:pStyle w:val="Heading4"/>
        <w:rPr>
          <w:szCs w:val="22"/>
        </w:rPr>
      </w:pPr>
      <w:r>
        <w:rPr>
          <w:szCs w:val="22"/>
        </w:rPr>
        <w:t>[</w:t>
      </w:r>
      <w:r>
        <w:rPr>
          <w:szCs w:val="22"/>
          <w:u w:val="single"/>
        </w:rPr>
        <w:t>Elective Closings</w:t>
      </w:r>
      <w:r>
        <w:rPr>
          <w:szCs w:val="22"/>
        </w:rPr>
        <w:t xml:space="preserve">. Each Purchaser may elect to purchase from the Company up to the full number of its Tranche Closing Shares at any time prior to the Tranche Closing, in one or more closings to occur pursuant to this </w:t>
      </w:r>
      <w:r>
        <w:rPr>
          <w:szCs w:val="22"/>
          <w:u w:val="single"/>
        </w:rPr>
        <w:t>Section 1.2(c)</w:t>
      </w:r>
      <w:r>
        <w:rPr>
          <w:szCs w:val="22"/>
        </w:rPr>
        <w:t xml:space="preserve"> (each, an “</w:t>
      </w:r>
      <w:r>
        <w:rPr>
          <w:b/>
          <w:bCs/>
          <w:szCs w:val="22"/>
        </w:rPr>
        <w:t>Elective Closing</w:t>
      </w:r>
      <w:r>
        <w:rPr>
          <w:szCs w:val="22"/>
        </w:rPr>
        <w:t>”), subject, in each case, to such Purchaser providing the Company with at least [3] business days’ prior written notice</w:t>
      </w:r>
      <w:r w:rsidR="00DB3DE0">
        <w:rPr>
          <w:szCs w:val="22"/>
        </w:rPr>
        <w:t xml:space="preserve"> (an “</w:t>
      </w:r>
      <w:r w:rsidR="00DB3DE0" w:rsidRPr="00DB3DE0">
        <w:rPr>
          <w:b/>
          <w:bCs/>
          <w:szCs w:val="22"/>
        </w:rPr>
        <w:t>Elective Notice</w:t>
      </w:r>
      <w:r w:rsidR="00DB3DE0">
        <w:rPr>
          <w:szCs w:val="22"/>
        </w:rPr>
        <w:t>”)</w:t>
      </w:r>
      <w:r>
        <w:rPr>
          <w:szCs w:val="22"/>
        </w:rPr>
        <w:t xml:space="preserve"> of the date on which such Purchaser shall purchase such Tranche Closing Shares. </w:t>
      </w:r>
      <w:r w:rsidR="00DB3DE0">
        <w:rPr>
          <w:szCs w:val="22"/>
        </w:rPr>
        <w:t xml:space="preserve">Promptly following receipt of any Elective Notice the Company shall provide a copy of such Elective Notice to each other Purchaser that did not submit a substantially concurrent Elective Notice.  </w:t>
      </w:r>
      <w:r>
        <w:rPr>
          <w:szCs w:val="22"/>
        </w:rPr>
        <w:t xml:space="preserve">Any purchase of such Tranche Closing Shares by such Purchaser at an Elective Closing shall proportionately reduce such Purchaser’s obligation to purchase its Tranche Closing Shares at the Tranche Closing. </w:t>
      </w:r>
      <w:r>
        <w:rPr>
          <w:szCs w:val="22"/>
          <w:u w:val="single"/>
        </w:rPr>
        <w:t>Exhibit A</w:t>
      </w:r>
      <w:r>
        <w:rPr>
          <w:szCs w:val="22"/>
        </w:rPr>
        <w:t xml:space="preserve"> to this Agreement shall be updated to reflect the number of any Tranche Closing Shares purchased by such Purchaser at any Elective Closing.]</w:t>
      </w:r>
      <w:r>
        <w:rPr>
          <w:rStyle w:val="FootnoteReference"/>
          <w:szCs w:val="22"/>
        </w:rPr>
        <w:footnoteReference w:id="10"/>
      </w:r>
    </w:p>
    <w:p w14:paraId="5D6FBB90" w14:textId="4561D6BF" w:rsidR="00FC6A40" w:rsidRPr="004C2F2B" w:rsidRDefault="00FC6A40" w:rsidP="004C2F2B">
      <w:pPr>
        <w:pStyle w:val="Heading4"/>
        <w:rPr>
          <w:szCs w:val="22"/>
        </w:rPr>
      </w:pPr>
      <w:r>
        <w:rPr>
          <w:u w:val="single"/>
        </w:rPr>
        <w:t>Shortfall Closing</w:t>
      </w:r>
      <w:r>
        <w:t>. If any Tranche Shares remain unpurchased immediately following the Tranche Closing (the “</w:t>
      </w:r>
      <w:r>
        <w:rPr>
          <w:b/>
          <w:bCs/>
        </w:rPr>
        <w:t>Shortfall Shares</w:t>
      </w:r>
      <w:r>
        <w:t>”), the Company shall, within five business days following the Tranche Closing Date, provide written notice to each Purchaser that is not a Defaulting Purchaser (each, a “</w:t>
      </w:r>
      <w:r>
        <w:rPr>
          <w:b/>
          <w:bCs/>
        </w:rPr>
        <w:t>Complying Purchaser</w:t>
      </w:r>
      <w:r>
        <w:t>,” and such notice, the “</w:t>
      </w:r>
      <w:r>
        <w:rPr>
          <w:b/>
          <w:bCs/>
        </w:rPr>
        <w:t>Shortfall Notice</w:t>
      </w:r>
      <w:r>
        <w:t>”), setting forth the total number of Shortfall Shares and the date for the Shortfall Closing (as defined below). Each Complying Purchaser will have the right, but not the obligation, to purchase the Shortfall Shares on a pro rata basis based on the number of Shares then held by such Complying Purchaser compared to the total number of Shares then held by all Complying Purchasers electing to purchase Shortfall Shares at a Closing (a “</w:t>
      </w:r>
      <w:r>
        <w:rPr>
          <w:b/>
          <w:bCs/>
        </w:rPr>
        <w:t>Shortfall Closing</w:t>
      </w:r>
      <w:r>
        <w:t>”), exercisable by delivering written notice to the Company within [5] business days after the Company’s delivery of the Shortfall Notice, which notice shall also specify the maximum number of Shortfall Shares, if any, such Complying Purchaser wishes to purchase in excess of such Complying Purchaser’s pro rata percentage (the “</w:t>
      </w:r>
      <w:r>
        <w:rPr>
          <w:b/>
          <w:bCs/>
        </w:rPr>
        <w:t>Excess Amount</w:t>
      </w:r>
      <w:r>
        <w:t>”) (each Complying Purchaser electing to purchase being referred to herein as a “</w:t>
      </w:r>
      <w:r>
        <w:rPr>
          <w:b/>
          <w:bCs/>
        </w:rPr>
        <w:t>Participating Purchaser</w:t>
      </w:r>
      <w:r>
        <w:t>”). Any Shortfall Shares not elected to be purchased by a Complying Purchaser shall automatically be deemed elected to be purchased by the Participating Purchasers who specified an Excess Amount in their respective notices delivered to the Company, and allocated among such Participating Purchasers in proportion to their respective pro rata percentages; provided, that in no event shall an amount greater than a Participating Purchaser’s Excess Amount be allocated to such Participating Purchaser. The procedure set forth in the preceding sentence shall be applied on an iterative basis until the entire Excess Amount of each Participating Purchaser has been satisfied or until all Shortfall Shares shall have been allocated</w:t>
      </w:r>
      <w:r w:rsidRPr="003856E4">
        <w:t xml:space="preserve">. In no event shall a Complying Purchaser be deemed to be a Defaulting Purchaser as a result of such Complying Purchaser’s failure to purchase shares at a Shortfall </w:t>
      </w:r>
      <w:r w:rsidRPr="003856E4">
        <w:lastRenderedPageBreak/>
        <w:t>Closing.</w:t>
      </w:r>
      <w:r>
        <w:t xml:space="preserve"> Any Shortfall Closing shall occur on the date specified in the Shortfall Notice, which date shall be not less than [15] business days after and not more [20] business days after the date on which the Shortfall Notice is delivered to the Complying Purchasers. </w:t>
      </w:r>
      <w:r>
        <w:rPr>
          <w:szCs w:val="22"/>
          <w:u w:val="single"/>
        </w:rPr>
        <w:t>Exhibit A</w:t>
      </w:r>
      <w:r>
        <w:rPr>
          <w:szCs w:val="22"/>
        </w:rPr>
        <w:t xml:space="preserve"> to this Agreement shall be updated to reflect the number of any Shortfall Shares (if any) purchased by each Purchaser at the Shortfall Closing.</w:t>
      </w:r>
    </w:p>
    <w:p w14:paraId="4D0719E8" w14:textId="610B9812" w:rsidR="00690D6E" w:rsidRPr="00623780" w:rsidRDefault="00690D6E" w:rsidP="00690D6E">
      <w:pPr>
        <w:pStyle w:val="Heading4"/>
        <w:rPr>
          <w:szCs w:val="22"/>
        </w:rPr>
      </w:pPr>
      <w:r>
        <w:rPr>
          <w:szCs w:val="22"/>
        </w:rPr>
        <w:t>[</w:t>
      </w:r>
      <w:r>
        <w:rPr>
          <w:szCs w:val="22"/>
          <w:u w:val="single"/>
        </w:rPr>
        <w:t>Special Mandatory Conversion</w:t>
      </w:r>
      <w:r>
        <w:rPr>
          <w:szCs w:val="22"/>
        </w:rPr>
        <w:t>.</w:t>
      </w:r>
      <w:r w:rsidRPr="00C50132">
        <w:rPr>
          <w:rStyle w:val="FootnoteReference"/>
          <w:szCs w:val="22"/>
        </w:rPr>
        <w:footnoteReference w:id="11"/>
      </w:r>
      <w:r w:rsidRPr="00C50132">
        <w:rPr>
          <w:rStyle w:val="FootnoteReference"/>
          <w:szCs w:val="22"/>
        </w:rPr>
        <w:t xml:space="preserve"> </w:t>
      </w:r>
      <w:r>
        <w:rPr>
          <w:szCs w:val="22"/>
        </w:rPr>
        <w:t xml:space="preserve"> </w:t>
      </w:r>
    </w:p>
    <w:p w14:paraId="449193B1" w14:textId="1D622267" w:rsidR="00690D6E" w:rsidRPr="00623780" w:rsidRDefault="00690D6E" w:rsidP="00690D6E">
      <w:pPr>
        <w:pStyle w:val="Heading5"/>
        <w:ind w:left="0" w:firstLine="2880"/>
        <w:rPr>
          <w:szCs w:val="22"/>
        </w:rPr>
      </w:pPr>
      <w:r>
        <w:rPr>
          <w:szCs w:val="22"/>
        </w:rPr>
        <w:t xml:space="preserve">Except as otherwise specified in this Agreement or the Restated Certificate, and unless this </w:t>
      </w:r>
      <w:r w:rsidRPr="00F5268A">
        <w:rPr>
          <w:szCs w:val="22"/>
          <w:u w:val="single"/>
        </w:rPr>
        <w:t>Section 1.2(c)(iv)</w:t>
      </w:r>
      <w:r>
        <w:rPr>
          <w:szCs w:val="22"/>
        </w:rPr>
        <w:t xml:space="preserve"> is waived in writing by the Requisite Purchasers with respect to all Purchasers, if any Purchaser, together with such Purchaser’s Affiliates, fails to purchase its required number of Tranche Closing Shares at the Tranche Closing (including for calculation purposes all Tranche Closing Shares purchased at any Elective Closing)  (any such Purchaser, a “</w:t>
      </w:r>
      <w:r>
        <w:rPr>
          <w:b/>
          <w:bCs/>
          <w:szCs w:val="22"/>
        </w:rPr>
        <w:t>Defaulting Purchaser</w:t>
      </w:r>
      <w:r>
        <w:rPr>
          <w:szCs w:val="22"/>
        </w:rPr>
        <w:t>”), then each Share</w:t>
      </w:r>
      <w:r>
        <w:rPr>
          <w:rStyle w:val="FootnoteReference"/>
          <w:szCs w:val="22"/>
        </w:rPr>
        <w:footnoteReference w:id="12"/>
      </w:r>
      <w:r>
        <w:rPr>
          <w:szCs w:val="22"/>
        </w:rPr>
        <w:t xml:space="preserve"> held by such Defaulting Purchaser as of immediately prior to the Tranche Closing (the “</w:t>
      </w:r>
      <w:r>
        <w:rPr>
          <w:b/>
          <w:bCs/>
          <w:szCs w:val="22"/>
        </w:rPr>
        <w:t>Subject Preferred Stock</w:t>
      </w:r>
      <w:r>
        <w:rPr>
          <w:szCs w:val="22"/>
        </w:rPr>
        <w:t>”) shall automatically, and without any further action on the part of such Defaulting Purchaser, the Company or any other Person, be converted into fully paid and nonassessable shares of the Company’s common stock, $0.0001 par value per share (the “</w:t>
      </w:r>
      <w:r>
        <w:rPr>
          <w:b/>
          <w:bCs/>
          <w:szCs w:val="22"/>
        </w:rPr>
        <w:t>Common Stock</w:t>
      </w:r>
      <w:r>
        <w:rPr>
          <w:szCs w:val="22"/>
        </w:rPr>
        <w:t>”) at the rate of [one-tenth]</w:t>
      </w:r>
      <w:r>
        <w:rPr>
          <w:rStyle w:val="FootnoteReference"/>
          <w:szCs w:val="22"/>
        </w:rPr>
        <w:footnoteReference w:id="13"/>
      </w:r>
      <w:r>
        <w:rPr>
          <w:szCs w:val="22"/>
        </w:rPr>
        <w:t xml:space="preserve"> of a share of Common Stock for each one share of the Subject Preferred Stock, all pursuant to, and as further provided in, Article Fourth, Part B, Section [5</w:t>
      </w:r>
      <w:r w:rsidR="003D6626">
        <w:rPr>
          <w:szCs w:val="22"/>
        </w:rPr>
        <w:t>A</w:t>
      </w:r>
      <w:r>
        <w:rPr>
          <w:szCs w:val="22"/>
        </w:rPr>
        <w:t>.</w:t>
      </w:r>
      <w:r w:rsidR="003D6626">
        <w:rPr>
          <w:szCs w:val="22"/>
        </w:rPr>
        <w:t>1</w:t>
      </w:r>
      <w:r>
        <w:rPr>
          <w:szCs w:val="22"/>
        </w:rPr>
        <w:t>] of the Restated Certificate (a “</w:t>
      </w:r>
      <w:r>
        <w:rPr>
          <w:b/>
          <w:bCs/>
          <w:szCs w:val="22"/>
        </w:rPr>
        <w:t>Special Mandatory Conversion</w:t>
      </w:r>
      <w:r>
        <w:rPr>
          <w:szCs w:val="22"/>
        </w:rPr>
        <w:t>”)</w:t>
      </w:r>
      <w:r>
        <w:rPr>
          <w:rStyle w:val="FootnoteReference"/>
          <w:szCs w:val="22"/>
        </w:rPr>
        <w:footnoteReference w:id="14"/>
      </w:r>
      <w:r>
        <w:rPr>
          <w:szCs w:val="22"/>
        </w:rPr>
        <w:t xml:space="preserve">. </w:t>
      </w:r>
    </w:p>
    <w:p w14:paraId="4FAAA539" w14:textId="377748E8" w:rsidR="00493EAF" w:rsidRPr="00623780" w:rsidRDefault="00623780" w:rsidP="00493EAF">
      <w:pPr>
        <w:pStyle w:val="Heading5"/>
        <w:ind w:left="0" w:firstLine="2880"/>
        <w:rPr>
          <w:szCs w:val="22"/>
        </w:rPr>
      </w:pPr>
      <w:r>
        <w:rPr>
          <w:szCs w:val="22"/>
        </w:rPr>
        <w:t>Upon a Special Mandatory Conversion, all rights with respect to the Series [</w:t>
      </w:r>
      <w:r w:rsidR="00336D5B">
        <w:rPr>
          <w:szCs w:val="22"/>
        </w:rPr>
        <w:t>___</w:t>
      </w:r>
      <w:r>
        <w:rPr>
          <w:szCs w:val="22"/>
        </w:rPr>
        <w:t xml:space="preserve">] Preferred Stock converted pursuant to such Special Mandatory Conversion, including the rights, if any, to receive notices and </w:t>
      </w:r>
      <w:r>
        <w:rPr>
          <w:snapToGrid w:val="0"/>
          <w:szCs w:val="22"/>
        </w:rPr>
        <w:t>vote</w:t>
      </w:r>
      <w:r>
        <w:rPr>
          <w:szCs w:val="22"/>
        </w:rPr>
        <w:t xml:space="preserve"> (other than as a holder of Common Stock), will terminate  (notwithstanding the failure of the holder or holders thereof to surrender the certificates for such shares on or prior to such time), except for the rights of the holders thereof, upon surrender of the certificate or certificates therefor, to receive a certificate or certificates for the number of shares of Common Stock issuable on such conversion. In addition, any Defaulting Purchaser’s (i) right to designate a member of the Board and/or an observer to meetings of the Board</w:t>
      </w:r>
      <w:r w:rsidR="0026693B">
        <w:rPr>
          <w:szCs w:val="22"/>
        </w:rPr>
        <w:t xml:space="preserve"> (if such conversion results </w:t>
      </w:r>
      <w:r w:rsidR="00E15E9A">
        <w:rPr>
          <w:szCs w:val="22"/>
        </w:rPr>
        <w:t>in such Defaulting Purchaser’s holdings falling below requisite levels)</w:t>
      </w:r>
      <w:r w:rsidR="006775F8">
        <w:rPr>
          <w:rStyle w:val="FootnoteReference"/>
        </w:rPr>
        <w:footnoteReference w:id="15"/>
      </w:r>
      <w:r>
        <w:rPr>
          <w:szCs w:val="22"/>
        </w:rPr>
        <w:t>, (ii) with respect to the Common Stock issued pursuant to a Special Mandatory Conversion only, registration rights and rights to purchase future issuances of equity of the Company under the Investors’ Rights Agreement, as defined below, and (iii) with respect to the Common Stock issued pursuant to a Special Mandatory Conversion only, rights of first refusal and co-sale under the Right of First Refusal and Co-Sale Agreement, as defined below, in each case pursuant to any agreement with the Company</w:t>
      </w:r>
      <w:r w:rsidR="00784DA9">
        <w:rPr>
          <w:szCs w:val="22"/>
        </w:rPr>
        <w:t>,</w:t>
      </w:r>
      <w:r>
        <w:rPr>
          <w:szCs w:val="22"/>
        </w:rPr>
        <w:t xml:space="preserve"> shall all automatically terminate upon such conversion, effective upon, subject to, and concurrently with, the consummation of the Tranche Closing. Any Defaulting Purchaser </w:t>
      </w:r>
      <w:r>
        <w:rPr>
          <w:szCs w:val="22"/>
        </w:rPr>
        <w:lastRenderedPageBreak/>
        <w:t>hereby agrees to execute and deliver any additional documents and instruments and perform any additional acts that may be necessary or appropriate to confirm any of the foregoing as reasonably requested by the Company.</w:t>
      </w:r>
    </w:p>
    <w:p w14:paraId="748651D9" w14:textId="0FFBA395" w:rsidR="00493EAF" w:rsidRPr="00623780" w:rsidRDefault="00690D6E" w:rsidP="00493EAF">
      <w:pPr>
        <w:pStyle w:val="Heading5"/>
        <w:ind w:left="0" w:firstLine="2880"/>
        <w:rPr>
          <w:szCs w:val="22"/>
        </w:rPr>
      </w:pPr>
      <w:r>
        <w:rPr>
          <w:szCs w:val="22"/>
        </w:rPr>
        <w:t xml:space="preserve">The Company and the Purchasers agree that the Special Mandatory Conversion provisions of this </w:t>
      </w:r>
      <w:r>
        <w:rPr>
          <w:snapToGrid w:val="0"/>
          <w:szCs w:val="22"/>
        </w:rPr>
        <w:t>Agreement</w:t>
      </w:r>
      <w:r>
        <w:rPr>
          <w:szCs w:val="22"/>
        </w:rPr>
        <w:t xml:space="preserve"> and Article Fourth, Part B, Section 5.</w:t>
      </w:r>
      <w:r w:rsidR="00E40F8F">
        <w:rPr>
          <w:szCs w:val="22"/>
        </w:rPr>
        <w:t>A</w:t>
      </w:r>
      <w:r>
        <w:rPr>
          <w:szCs w:val="22"/>
        </w:rPr>
        <w:t xml:space="preserve"> of the Restated Certificate shall be the sole and exclusive remedy under this Agreement for the Company or any other Purchaser against any Defaulting Purchaser for the failure to purchase its Tranche Closing Shares at the Tranche Closing.</w:t>
      </w:r>
    </w:p>
    <w:p w14:paraId="0A0BAE4E" w14:textId="5EA9FC5F" w:rsidR="007F4497" w:rsidRPr="00623780" w:rsidRDefault="00690D6E" w:rsidP="00B776D7">
      <w:pPr>
        <w:pStyle w:val="Heading5"/>
        <w:ind w:left="0" w:firstLine="2880"/>
        <w:rPr>
          <w:szCs w:val="22"/>
        </w:rPr>
      </w:pPr>
      <w:r>
        <w:rPr>
          <w:szCs w:val="22"/>
        </w:rPr>
        <w:t>As a condition to any transfer of a Purchaser’s Series [</w:t>
      </w:r>
      <w:r w:rsidR="00336D5B">
        <w:rPr>
          <w:szCs w:val="22"/>
        </w:rPr>
        <w:t>___</w:t>
      </w:r>
      <w:r>
        <w:rPr>
          <w:szCs w:val="22"/>
        </w:rPr>
        <w:t xml:space="preserve">] Preferred Stock (or Common Stock issued upon conversion thereof pursuant to </w:t>
      </w:r>
      <w:r w:rsidR="00AF5952">
        <w:rPr>
          <w:szCs w:val="22"/>
        </w:rPr>
        <w:t xml:space="preserve">Article Fourth, Part B, </w:t>
      </w:r>
      <w:r>
        <w:rPr>
          <w:szCs w:val="22"/>
        </w:rPr>
        <w:t xml:space="preserve">Section 4 of the Restated Certificate), the transferee must agree to receive such </w:t>
      </w:r>
      <w:r>
        <w:rPr>
          <w:snapToGrid w:val="0"/>
          <w:szCs w:val="22"/>
        </w:rPr>
        <w:t>Series</w:t>
      </w:r>
      <w:r>
        <w:rPr>
          <w:szCs w:val="22"/>
        </w:rPr>
        <w:t xml:space="preserve"> </w:t>
      </w:r>
      <w:r w:rsidR="00001C64">
        <w:rPr>
          <w:szCs w:val="22"/>
        </w:rPr>
        <w:t>[__]</w:t>
      </w:r>
      <w:r>
        <w:rPr>
          <w:szCs w:val="22"/>
        </w:rPr>
        <w:t xml:space="preserve"> Preferred Stock subject to the provisions and upon the conditions specified in this Agreement, including this </w:t>
      </w:r>
      <w:r>
        <w:rPr>
          <w:szCs w:val="22"/>
          <w:u w:val="single"/>
        </w:rPr>
        <w:t>Section 1.2</w:t>
      </w:r>
    </w:p>
    <w:p w14:paraId="1E01302C" w14:textId="78F07721" w:rsidR="007F4DD1" w:rsidRPr="00623780" w:rsidRDefault="00806902" w:rsidP="00AE4F80">
      <w:pPr>
        <w:pStyle w:val="Heading4"/>
        <w:rPr>
          <w:szCs w:val="22"/>
        </w:rPr>
      </w:pPr>
      <w:r>
        <w:rPr>
          <w:szCs w:val="22"/>
          <w:u w:val="single"/>
        </w:rPr>
        <w:t>Termination of</w:t>
      </w:r>
      <w:r>
        <w:rPr>
          <w:szCs w:val="22"/>
        </w:rPr>
        <w:t xml:space="preserve"> </w:t>
      </w:r>
      <w:r>
        <w:rPr>
          <w:szCs w:val="22"/>
          <w:u w:val="single"/>
        </w:rPr>
        <w:t>Section 1.2(c)</w:t>
      </w:r>
      <w:r>
        <w:rPr>
          <w:szCs w:val="22"/>
        </w:rPr>
        <w:t xml:space="preserve">.  This </w:t>
      </w:r>
      <w:r>
        <w:rPr>
          <w:szCs w:val="22"/>
          <w:u w:val="single"/>
        </w:rPr>
        <w:t>Section 1.2(c)</w:t>
      </w:r>
      <w:r>
        <w:rPr>
          <w:szCs w:val="22"/>
        </w:rPr>
        <w:t xml:space="preserve"> shall terminate and be of no further force and effect as of the first to occur of (i) the Outside Date, (ii) the consummation of the Company’s first underwritten public offering of its Common Stock, under the Securities Act, or (iii) a Deemed Liquidation Event (as defined in the Restated Certificate) (each, a “</w:t>
      </w:r>
      <w:r>
        <w:rPr>
          <w:b/>
          <w:bCs/>
          <w:szCs w:val="22"/>
        </w:rPr>
        <w:t>Termination Event</w:t>
      </w:r>
      <w:r>
        <w:rPr>
          <w:szCs w:val="22"/>
        </w:rPr>
        <w:t>”). The Company shall provide each Purchaser with at least 10 business days’ prior written notice of any Termination Event to enable each Purchaser to consummate an Elective Closing prior to such Termination Event.]</w:t>
      </w:r>
    </w:p>
    <w:p w14:paraId="191CE142" w14:textId="3C171F8E" w:rsidR="009D2311" w:rsidRPr="00623780" w:rsidRDefault="0008200F" w:rsidP="00771F9D">
      <w:pPr>
        <w:pStyle w:val="Heading3"/>
        <w:rPr>
          <w:szCs w:val="22"/>
        </w:rPr>
      </w:pPr>
      <w:r>
        <w:rPr>
          <w:szCs w:val="22"/>
          <w:u w:val="single"/>
        </w:rPr>
        <w:t>Closing Deliverables</w:t>
      </w:r>
      <w:r w:rsidR="00623780">
        <w:rPr>
          <w:szCs w:val="22"/>
        </w:rPr>
        <w:t>.  At each Closing, the Company shall deliver to each Purchaser a certificate</w:t>
      </w:r>
      <w:r w:rsidR="00623780">
        <w:rPr>
          <w:rStyle w:val="FootnoteReference"/>
          <w:szCs w:val="22"/>
        </w:rPr>
        <w:footnoteReference w:id="16"/>
      </w:r>
      <w:r w:rsidR="00623780">
        <w:rPr>
          <w:szCs w:val="22"/>
        </w:rPr>
        <w:t xml:space="preserve"> 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00623780">
        <w:rPr>
          <w:rStyle w:val="FootnoteReference"/>
          <w:szCs w:val="22"/>
        </w:rPr>
        <w:footnoteReference w:id="17"/>
      </w:r>
      <w:r w:rsidR="00623780">
        <w:rPr>
          <w:szCs w:val="22"/>
        </w:rPr>
        <w:t>], or by any combination of such methods.</w:t>
      </w:r>
      <w:bookmarkStart w:id="6" w:name="_Ref146361085"/>
      <w:bookmarkStart w:id="7" w:name="_Ref146362163"/>
      <w:bookmarkEnd w:id="5"/>
    </w:p>
    <w:p w14:paraId="2ACBED60" w14:textId="7A36D4E8" w:rsidR="00976D7B" w:rsidRPr="00623780" w:rsidRDefault="00C67F63" w:rsidP="002E174A">
      <w:pPr>
        <w:pStyle w:val="Heading2"/>
        <w:rPr>
          <w:szCs w:val="22"/>
        </w:rPr>
      </w:pPr>
      <w:bookmarkStart w:id="8" w:name="_Toc525893016"/>
      <w:bookmarkStart w:id="9" w:name="_Ref137597524"/>
      <w:r>
        <w:rPr>
          <w:szCs w:val="22"/>
          <w:u w:val="single"/>
        </w:rPr>
        <w:t>Conversion and Termination of Convertible Securities</w:t>
      </w:r>
      <w:r>
        <w:rPr>
          <w:szCs w:val="22"/>
        </w:rPr>
        <w:t>.</w:t>
      </w:r>
      <w:bookmarkEnd w:id="8"/>
      <w:bookmarkEnd w:id="9"/>
    </w:p>
    <w:p w14:paraId="15486E7B" w14:textId="453528AB" w:rsidR="00C67F63" w:rsidRPr="00623780" w:rsidRDefault="00C67F63" w:rsidP="00976D7B">
      <w:pPr>
        <w:pStyle w:val="Heading3"/>
        <w:rPr>
          <w:szCs w:val="22"/>
        </w:rPr>
      </w:pPr>
      <w:r>
        <w:rPr>
          <w:szCs w:val="22"/>
        </w:rPr>
        <w:t>By executing and delivering this Agreement, each Purchaser holding one or more [simple agreements for future equity and/or convertible notes] issued by the Company prior to the date of this Agreement (each, regardless of whether held by a Purchaser or not, a “</w:t>
      </w:r>
      <w:r>
        <w:rPr>
          <w:b/>
          <w:szCs w:val="22"/>
        </w:rPr>
        <w:t>Convertible Security</w:t>
      </w:r>
      <w:r>
        <w:rPr>
          <w:szCs w:val="22"/>
        </w:rPr>
        <w:t>” and, collectively, regardless of whether held by a Purchaser or not, the “</w:t>
      </w:r>
      <w:r>
        <w:rPr>
          <w:b/>
          <w:szCs w:val="22"/>
        </w:rPr>
        <w:t>Convertible Securities</w:t>
      </w:r>
      <w:r>
        <w:rPr>
          <w:szCs w:val="22"/>
        </w:rPr>
        <w:t>”) hereby irrevocably agrees that:</w:t>
      </w:r>
    </w:p>
    <w:p w14:paraId="3047AA0C" w14:textId="176C5292" w:rsidR="00C67F63" w:rsidRPr="00623780" w:rsidRDefault="00C67F63" w:rsidP="00976D7B">
      <w:pPr>
        <w:pStyle w:val="Heading4"/>
        <w:rPr>
          <w:szCs w:val="22"/>
        </w:rPr>
      </w:pPr>
      <w:r>
        <w:rPr>
          <w:szCs w:val="22"/>
        </w:rPr>
        <w:t xml:space="preserve">The aggregate face amount of all </w:t>
      </w:r>
      <w:r>
        <w:rPr>
          <w:bCs/>
          <w:szCs w:val="22"/>
        </w:rPr>
        <w:t>Convertible Securities</w:t>
      </w:r>
      <w:r>
        <w:rPr>
          <w:b/>
          <w:szCs w:val="22"/>
        </w:rPr>
        <w:t xml:space="preserve"> </w:t>
      </w:r>
      <w:r>
        <w:rPr>
          <w:szCs w:val="22"/>
        </w:rPr>
        <w:t xml:space="preserve">held by such Purchaser is set forth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under the column heading “Convertible Securities”;</w:t>
      </w:r>
    </w:p>
    <w:p w14:paraId="636EF291" w14:textId="267A9A62" w:rsidR="00C67F63" w:rsidRPr="00623780" w:rsidRDefault="00C67F63" w:rsidP="00976D7B">
      <w:pPr>
        <w:pStyle w:val="Heading4"/>
        <w:rPr>
          <w:szCs w:val="22"/>
        </w:rPr>
      </w:pPr>
      <w:r>
        <w:rPr>
          <w:szCs w:val="22"/>
        </w:rPr>
        <w:t xml:space="preserve">Such Purchaser is the sole owner of all right, title and interest in and to the Convertible Securities corresponding to the amounts shown opposite such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p>
    <w:p w14:paraId="57A7B5DD" w14:textId="24F46E94" w:rsidR="00C67F63" w:rsidRPr="00623780" w:rsidRDefault="00C67F63" w:rsidP="00976D7B">
      <w:pPr>
        <w:pStyle w:val="Heading4"/>
        <w:rPr>
          <w:szCs w:val="22"/>
        </w:rPr>
      </w:pPr>
      <w:r>
        <w:rPr>
          <w:szCs w:val="22"/>
        </w:rPr>
        <w:lastRenderedPageBreak/>
        <w:t>At the Initial Closing, all of such Purchaser’s Convertible Securities will automatically and without any action on the part of such Purchaser convert into the number of shares of Series [</w:t>
      </w:r>
      <w:r w:rsidR="00336D5B">
        <w:rPr>
          <w:szCs w:val="22"/>
        </w:rPr>
        <w:t>___</w:t>
      </w:r>
      <w:r>
        <w:rPr>
          <w:szCs w:val="22"/>
        </w:rPr>
        <w:t xml:space="preserve">] Preferred Stock set forth opposite such Purchaser’s name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to any Purchaser, such shares being such Purchaser’s “</w:t>
      </w:r>
      <w:r>
        <w:rPr>
          <w:b/>
          <w:bCs/>
          <w:szCs w:val="22"/>
        </w:rPr>
        <w:t>Convertible Security Shares</w:t>
      </w:r>
      <w:r>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 and</w:t>
      </w:r>
    </w:p>
    <w:p w14:paraId="57F8CB2E" w14:textId="515F4B25" w:rsidR="00C67F63" w:rsidRPr="00623780" w:rsidRDefault="00C67F63" w:rsidP="00976D7B">
      <w:pPr>
        <w:pStyle w:val="Heading4"/>
        <w:rPr>
          <w:szCs w:val="22"/>
        </w:rPr>
      </w:pPr>
      <w:r>
        <w:rPr>
          <w:szCs w:val="22"/>
        </w:rPr>
        <w:t>As to such Purchaser, such Purchaser’s Convertible Security Shares are issued in full and complete discharge and satisfaction of all obligations of the Company (including outstanding principal, interest or any other amounts) under such Purchaser’s Convertible Securities, and such Convertible Securities will be terminated and of no further force or effect automatically immediately upon the Initial Closing.</w:t>
      </w:r>
    </w:p>
    <w:p w14:paraId="03420747" w14:textId="3067AA44" w:rsidR="00E95E70" w:rsidRPr="00623780" w:rsidRDefault="00E95E70" w:rsidP="00573D3C">
      <w:pPr>
        <w:pStyle w:val="Heading3"/>
        <w:rPr>
          <w:szCs w:val="22"/>
        </w:rPr>
      </w:pPr>
      <w:bookmarkStart w:id="10" w:name="_Ref145427900"/>
      <w:r>
        <w:rPr>
          <w:szCs w:val="22"/>
        </w:rPr>
        <w:t xml:space="preserve">[The Company and its Affiliates and agents shall be entitled to deduct and withhold from the amounts deliverable pursuant to Purchaser’s Convertible Securities (including any Convertible Security Shares otherwise issuable with respect thereto) such amounts, if any, as are required to be deducted and withheld under the Code or any other applicable tax law. To the extent that amounts are so deducted and withheld and duly paid over to the appropriate tax authority, such withheld amounts shall be treated for all purposes of the Transaction Agreements as having been delivered to the person in respect of whom such deduction and withholding was made. Each person holding Convertible Securities shall, upon request, use its commercially reasonable efforts to provide the applicable withholding agent with all necessary tax forms, including a duly executed IRS Form W-9 or appropriate version of IRS Form W-8, as applicable. Prior to withholding any amounts pursuant to this </w:t>
      </w:r>
      <w:r>
        <w:rPr>
          <w:szCs w:val="22"/>
          <w:u w:val="single"/>
        </w:rPr>
        <w:t xml:space="preserve">Section </w:t>
      </w:r>
      <w:r>
        <w:rPr>
          <w:szCs w:val="22"/>
          <w:u w:val="single"/>
        </w:rPr>
        <w:fldChar w:fldCharType="begin"/>
      </w:r>
      <w:r>
        <w:rPr>
          <w:szCs w:val="22"/>
          <w:u w:val="single"/>
        </w:rPr>
        <w:instrText xml:space="preserve"> REF _Ref145427900 \w \h  \* MERGEFORMAT </w:instrText>
      </w:r>
      <w:r>
        <w:rPr>
          <w:szCs w:val="22"/>
          <w:u w:val="single"/>
        </w:rPr>
      </w:r>
      <w:r>
        <w:rPr>
          <w:szCs w:val="22"/>
          <w:u w:val="single"/>
        </w:rPr>
        <w:fldChar w:fldCharType="separate"/>
      </w:r>
      <w:r w:rsidR="008E009B">
        <w:rPr>
          <w:szCs w:val="22"/>
          <w:u w:val="single"/>
        </w:rPr>
        <w:t>1.3(b)</w:t>
      </w:r>
      <w:r>
        <w:rPr>
          <w:szCs w:val="22"/>
          <w:u w:val="single"/>
        </w:rPr>
        <w:fldChar w:fldCharType="end"/>
      </w:r>
      <w:r>
        <w:rPr>
          <w:szCs w:val="22"/>
        </w:rPr>
        <w:t>, the Company (and its Affiliates and agents) shall use commercially reasonable efforts to notify Purchaser, and the Company and Purchaser shall cooperate in good faith to reduce or eliminate any such withholding.]</w:t>
      </w:r>
      <w:r>
        <w:rPr>
          <w:rStyle w:val="FootnoteReference"/>
          <w:szCs w:val="22"/>
        </w:rPr>
        <w:footnoteReference w:id="18"/>
      </w:r>
      <w:bookmarkEnd w:id="10"/>
    </w:p>
    <w:p w14:paraId="21BC32CA" w14:textId="398D3417" w:rsidR="00C67F63" w:rsidRPr="00623780" w:rsidRDefault="00976D7B" w:rsidP="002E174A">
      <w:pPr>
        <w:pStyle w:val="Heading3"/>
        <w:rPr>
          <w:szCs w:val="22"/>
        </w:rPr>
      </w:pPr>
      <w:r>
        <w:rPr>
          <w:szCs w:val="22"/>
        </w:rPr>
        <w:t>The Company and each Purchaser holding a Convertible Security hereby agree[, on behalf of themselves and all holders of Convertible Securities,]</w:t>
      </w:r>
      <w:r w:rsidR="00F84569">
        <w:rPr>
          <w:rStyle w:val="FootnoteReference"/>
          <w:szCs w:val="22"/>
        </w:rPr>
        <w:footnoteReference w:id="19"/>
      </w:r>
      <w:r>
        <w:rPr>
          <w:szCs w:val="22"/>
        </w:rPr>
        <w:t xml:space="preserve"> that [</w:t>
      </w:r>
      <w:r w:rsidR="00001C64">
        <w:rPr>
          <w:szCs w:val="22"/>
        </w:rPr>
        <w:t>such/</w:t>
      </w:r>
      <w:r>
        <w:rPr>
          <w:szCs w:val="22"/>
        </w:rPr>
        <w:t>all] Convertible Securities hereby are and will be deemed for all purposes to have been amended and modified by virtue hereof to the full extent necessary to permit and facilitate their conversion as provided in this Agreement into Convertible Security Shares, to fix the conversion price</w:t>
      </w:r>
      <w:r>
        <w:rPr>
          <w:rStyle w:val="FootnoteReference"/>
          <w:szCs w:val="22"/>
        </w:rPr>
        <w:footnoteReference w:id="20"/>
      </w:r>
      <w:r>
        <w:rPr>
          <w:szCs w:val="22"/>
        </w:rPr>
        <w:t xml:space="preserve"> (as defined therein) at $[___] per share, and, immediately upon the Initial Closing, </w:t>
      </w:r>
      <w:r w:rsidR="00A244EC">
        <w:rPr>
          <w:szCs w:val="22"/>
        </w:rPr>
        <w:t xml:space="preserve">all </w:t>
      </w:r>
      <w:r>
        <w:rPr>
          <w:szCs w:val="22"/>
        </w:rPr>
        <w:t xml:space="preserve">Convertible Securities shall be deemed terminated in full and null, void and of no further force or effect; </w:t>
      </w:r>
      <w:r>
        <w:rPr>
          <w:szCs w:val="22"/>
          <w:u w:val="single"/>
        </w:rPr>
        <w:t>provided</w:t>
      </w:r>
      <w:r>
        <w:rPr>
          <w:szCs w:val="22"/>
        </w:rPr>
        <w:t xml:space="preserve"> that the foregoing will not impair the right of the holder of a Convertible </w:t>
      </w:r>
      <w:r>
        <w:rPr>
          <w:szCs w:val="22"/>
        </w:rPr>
        <w:lastRenderedPageBreak/>
        <w:t xml:space="preserve">Security to receive the applicable number of Convertible Security Shares shown opposite such </w:t>
      </w:r>
      <w:r w:rsidR="009235BA">
        <w:rPr>
          <w:szCs w:val="22"/>
        </w:rPr>
        <w:t xml:space="preserve">holder’s </w:t>
      </w:r>
      <w:r>
        <w:rPr>
          <w:szCs w:val="22"/>
        </w:rPr>
        <w:t xml:space="preserve">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0052035C">
        <w:rPr>
          <w:szCs w:val="22"/>
          <w:u w:val="single"/>
        </w:rPr>
        <w:t>-1</w:t>
      </w:r>
      <w:r w:rsidR="008E4FBB">
        <w:rPr>
          <w:rStyle w:val="FootnoteReference"/>
          <w:u w:val="single"/>
        </w:rPr>
        <w:footnoteReference w:id="21"/>
      </w:r>
      <w:r>
        <w:rPr>
          <w:szCs w:val="22"/>
        </w:rPr>
        <w:t>.</w:t>
      </w:r>
    </w:p>
    <w:bookmarkEnd w:id="6"/>
    <w:bookmarkEnd w:id="7"/>
    <w:p w14:paraId="22945B87" w14:textId="2F7CB06B" w:rsidR="00183D8F" w:rsidRPr="00623780" w:rsidRDefault="009D2311" w:rsidP="00547453">
      <w:pPr>
        <w:pStyle w:val="Heading2"/>
        <w:rPr>
          <w:b/>
          <w:bCs/>
          <w:i/>
          <w:iCs/>
          <w:vanish/>
          <w:szCs w:val="22"/>
          <w:specVanish/>
        </w:rPr>
      </w:pPr>
      <w:r>
        <w:rPr>
          <w:szCs w:val="22"/>
          <w:u w:val="single"/>
        </w:rPr>
        <w:t>Defined Terms Used in this Agreement</w:t>
      </w:r>
    </w:p>
    <w:p w14:paraId="604A100E" w14:textId="6F4BC400" w:rsidR="00666D11" w:rsidRPr="00623780" w:rsidRDefault="009244B2" w:rsidP="00150A0F">
      <w:pPr>
        <w:pStyle w:val="HeadingPara2"/>
        <w:rPr>
          <w:b/>
          <w:bCs/>
          <w:i/>
          <w:iCs/>
          <w:szCs w:val="22"/>
        </w:rPr>
      </w:pPr>
      <w:r>
        <w:rPr>
          <w:szCs w:val="22"/>
        </w:rPr>
        <w:t>. In addition to the terms defined above, the following terms used in this Agreement shall be construed to have the meanings set forth or referenced below.</w:t>
      </w:r>
    </w:p>
    <w:p w14:paraId="43437D5D" w14:textId="5D88D7BB" w:rsidR="009D2311" w:rsidRPr="00623780" w:rsidRDefault="00E63FEF" w:rsidP="00771F9D">
      <w:pPr>
        <w:pStyle w:val="Heading3"/>
        <w:rPr>
          <w:szCs w:val="22"/>
        </w:rPr>
      </w:pPr>
      <w:bookmarkStart w:id="12" w:name="_Hlk116395886"/>
      <w:r>
        <w:rPr>
          <w:szCs w:val="22"/>
        </w:rPr>
        <w:t>“</w:t>
      </w:r>
      <w:r>
        <w:rPr>
          <w:b/>
          <w:szCs w:val="22"/>
        </w:rPr>
        <w:t>Affiliate</w:t>
      </w:r>
      <w:r>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fund now or hereafter existing that is controlled by one or more general partners, managing members or investment advisers of, or shares the same management company or investment adviser with, such Person.</w:t>
      </w:r>
      <w:bookmarkEnd w:id="12"/>
    </w:p>
    <w:p w14:paraId="04E2AF39" w14:textId="18B46D2D" w:rsidR="00EE4988" w:rsidRDefault="00EE4988" w:rsidP="00771F9D">
      <w:pPr>
        <w:pStyle w:val="Heading3"/>
        <w:rPr>
          <w:szCs w:val="22"/>
        </w:rPr>
      </w:pPr>
      <w:r>
        <w:rPr>
          <w:szCs w:val="22"/>
        </w:rPr>
        <w:t>“</w:t>
      </w:r>
      <w:r>
        <w:rPr>
          <w:b/>
          <w:bCs/>
          <w:szCs w:val="22"/>
        </w:rPr>
        <w:t>Board of Directors</w:t>
      </w:r>
      <w:r>
        <w:rPr>
          <w:szCs w:val="22"/>
        </w:rPr>
        <w:t>” means the Company’s Board of Directors.</w:t>
      </w:r>
    </w:p>
    <w:p w14:paraId="0F2D3028" w14:textId="590DE3A2" w:rsidR="009D2311" w:rsidRPr="00623780" w:rsidRDefault="00E63FEF" w:rsidP="00771F9D">
      <w:pPr>
        <w:pStyle w:val="Heading3"/>
        <w:rPr>
          <w:szCs w:val="22"/>
        </w:rPr>
      </w:pPr>
      <w:r>
        <w:rPr>
          <w:szCs w:val="22"/>
        </w:rPr>
        <w:t>“</w:t>
      </w:r>
      <w:r>
        <w:rPr>
          <w:b/>
          <w:szCs w:val="22"/>
        </w:rPr>
        <w:t>Code</w:t>
      </w:r>
      <w:r>
        <w:rPr>
          <w:szCs w:val="22"/>
        </w:rPr>
        <w:t>” means the Internal Revenue Code of 1986, as amended.</w:t>
      </w:r>
    </w:p>
    <w:p w14:paraId="5D367634" w14:textId="6A0A1272" w:rsidR="002E2E2B" w:rsidRPr="00623780" w:rsidRDefault="00E63FEF" w:rsidP="00173917">
      <w:pPr>
        <w:pStyle w:val="Heading3"/>
        <w:rPr>
          <w:szCs w:val="22"/>
        </w:rPr>
      </w:pPr>
      <w:r>
        <w:rPr>
          <w:szCs w:val="22"/>
        </w:rPr>
        <w:t>“</w:t>
      </w:r>
      <w:r>
        <w:rPr>
          <w:b/>
          <w:szCs w:val="22"/>
        </w:rPr>
        <w:t>Company Intellectual Property</w:t>
      </w:r>
      <w:r>
        <w:rPr>
          <w:szCs w:val="22"/>
        </w:rPr>
        <w:t>” means all Intellectual Property Rights that are owned, purported to be owned by, or in-licensed to the Company, or used by the Company in the conduct of the Company’s business as now conducted.</w:t>
      </w:r>
    </w:p>
    <w:p w14:paraId="72F910C0" w14:textId="77777777" w:rsidR="00573D3C" w:rsidRPr="00623780" w:rsidRDefault="00E63FEF" w:rsidP="00573D3C">
      <w:pPr>
        <w:pStyle w:val="Heading3"/>
        <w:rPr>
          <w:szCs w:val="22"/>
        </w:rPr>
      </w:pPr>
      <w:bookmarkStart w:id="13" w:name="_Hlk113927351"/>
      <w:r>
        <w:rPr>
          <w:szCs w:val="22"/>
        </w:rPr>
        <w:t>“</w:t>
      </w:r>
      <w:r>
        <w:rPr>
          <w:b/>
          <w:bCs/>
          <w:szCs w:val="22"/>
        </w:rPr>
        <w:t>Company-Controlled Intellectual Property</w:t>
      </w:r>
      <w:r>
        <w:rPr>
          <w:szCs w:val="22"/>
        </w:rPr>
        <w:t>” means (i) Intellectual Property Rights owned or purported to be owned by the Company and (ii) Intellectual Property Rights exclusively in-licensed to the Company.</w:t>
      </w:r>
      <w:bookmarkEnd w:id="13"/>
    </w:p>
    <w:p w14:paraId="4426DC9D" w14:textId="421687EA" w:rsidR="00E66404" w:rsidRPr="00623780" w:rsidRDefault="00E66404" w:rsidP="003E5062">
      <w:pPr>
        <w:pStyle w:val="Heading3"/>
        <w:widowControl w:val="0"/>
        <w:spacing w:after="120"/>
        <w:rPr>
          <w:szCs w:val="22"/>
        </w:rPr>
      </w:pPr>
      <w:r>
        <w:rPr>
          <w:szCs w:val="22"/>
        </w:rPr>
        <w:t>“</w:t>
      </w:r>
      <w:r>
        <w:rPr>
          <w:b/>
          <w:bCs/>
          <w:szCs w:val="22"/>
        </w:rPr>
        <w:t>GAAP</w:t>
      </w:r>
      <w:r>
        <w:rPr>
          <w:szCs w:val="22"/>
        </w:rPr>
        <w:t>” means generally accepted accounting principles in the United States, applied on a consistent basis throughout the periods indicated.</w:t>
      </w:r>
    </w:p>
    <w:p w14:paraId="1D754526" w14:textId="606FDE08" w:rsidR="002E2E2B" w:rsidRPr="00623780" w:rsidRDefault="00E63FEF" w:rsidP="002E2E2B">
      <w:pPr>
        <w:pStyle w:val="Heading3"/>
        <w:widowControl w:val="0"/>
        <w:spacing w:after="120"/>
        <w:rPr>
          <w:szCs w:val="22"/>
        </w:rPr>
      </w:pPr>
      <w:r>
        <w:rPr>
          <w:szCs w:val="22"/>
        </w:rPr>
        <w:t>“</w:t>
      </w:r>
      <w:r>
        <w:rPr>
          <w:b/>
          <w:szCs w:val="22"/>
        </w:rPr>
        <w:t>Indemnification Agreement</w:t>
      </w:r>
      <w:r>
        <w:rPr>
          <w:szCs w:val="22"/>
        </w:rPr>
        <w:t>” means the agreement between the Company and [</w:t>
      </w:r>
      <w:r>
        <w:rPr>
          <w:i/>
          <w:iCs/>
          <w:szCs w:val="22"/>
        </w:rPr>
        <w:t>list the individual director names</w:t>
      </w:r>
      <w:r>
        <w:rPr>
          <w:szCs w:val="22"/>
        </w:rPr>
        <w:t>]</w:t>
      </w:r>
      <w:r>
        <w:rPr>
          <w:rStyle w:val="FootnoteReference"/>
          <w:szCs w:val="22"/>
        </w:rPr>
        <w:footnoteReference w:id="22"/>
      </w:r>
      <w:r>
        <w:rPr>
          <w:szCs w:val="22"/>
        </w:rPr>
        <w:t xml:space="preserve">, in the form of </w:t>
      </w:r>
      <w:r>
        <w:rPr>
          <w:szCs w:val="22"/>
          <w:u w:val="single"/>
        </w:rPr>
        <w:fldChar w:fldCharType="begin"/>
      </w:r>
      <w:r>
        <w:rPr>
          <w:szCs w:val="22"/>
          <w:u w:val="single"/>
        </w:rPr>
        <w:instrText xml:space="preserve"> REF _Ref137575757 \w \h  \* MERGEFORMAT </w:instrText>
      </w:r>
      <w:r>
        <w:rPr>
          <w:szCs w:val="22"/>
          <w:u w:val="single"/>
        </w:rPr>
      </w:r>
      <w:r>
        <w:rPr>
          <w:szCs w:val="22"/>
          <w:u w:val="single"/>
        </w:rPr>
        <w:fldChar w:fldCharType="separate"/>
      </w:r>
      <w:r w:rsidR="008E009B">
        <w:rPr>
          <w:szCs w:val="22"/>
          <w:u w:val="single"/>
        </w:rPr>
        <w:t>Exhibit D</w:t>
      </w:r>
      <w:r>
        <w:rPr>
          <w:szCs w:val="22"/>
          <w:u w:val="single"/>
        </w:rPr>
        <w:fldChar w:fldCharType="end"/>
      </w:r>
      <w:r>
        <w:rPr>
          <w:szCs w:val="22"/>
        </w:rPr>
        <w:t xml:space="preserve"> attached to this Agreement.</w:t>
      </w:r>
    </w:p>
    <w:p w14:paraId="36EA7994" w14:textId="305FC65E" w:rsidR="002E2E2B" w:rsidRPr="00623780" w:rsidRDefault="00E63FEF" w:rsidP="00173917">
      <w:pPr>
        <w:pStyle w:val="Heading3"/>
        <w:rPr>
          <w:szCs w:val="22"/>
        </w:rPr>
      </w:pPr>
      <w:r>
        <w:rPr>
          <w:szCs w:val="22"/>
        </w:rPr>
        <w:t>“</w:t>
      </w:r>
      <w:r>
        <w:rPr>
          <w:b/>
          <w:bCs/>
          <w:szCs w:val="22"/>
        </w:rPr>
        <w:t>Intellectual Property Rights</w:t>
      </w:r>
      <w:r>
        <w:rPr>
          <w:szCs w:val="22"/>
        </w:rPr>
        <w:t>” means all intellectual property rights, whether registered or unregistered, that are recognized in any jurisdiction of the world, including such rights in patents, utility models, trademarks and tradenames, copyrights, trade secrets, and domain names (and any registrations of or applications to register any of the foregoing).</w:t>
      </w:r>
    </w:p>
    <w:p w14:paraId="5C46F423" w14:textId="7781C724" w:rsidR="002E2E2B" w:rsidRPr="00623780" w:rsidRDefault="00E63FEF" w:rsidP="002E2E2B">
      <w:pPr>
        <w:pStyle w:val="Heading3"/>
        <w:widowControl w:val="0"/>
        <w:spacing w:after="120"/>
        <w:rPr>
          <w:szCs w:val="22"/>
        </w:rPr>
      </w:pPr>
      <w:r>
        <w:rPr>
          <w:szCs w:val="22"/>
        </w:rPr>
        <w:t>“</w:t>
      </w:r>
      <w:r>
        <w:rPr>
          <w:b/>
          <w:szCs w:val="22"/>
        </w:rPr>
        <w:t>Investors’ Rights Agreement</w:t>
      </w:r>
      <w:r>
        <w:rPr>
          <w:szCs w:val="22"/>
        </w:rPr>
        <w:t xml:space="preserve">” means the agreement among the Company and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_Ref137575763 \w \h  \* MERGEFORMAT </w:instrText>
      </w:r>
      <w:r>
        <w:rPr>
          <w:szCs w:val="22"/>
          <w:u w:val="single"/>
        </w:rPr>
      </w:r>
      <w:r>
        <w:rPr>
          <w:szCs w:val="22"/>
          <w:u w:val="single"/>
        </w:rPr>
        <w:fldChar w:fldCharType="separate"/>
      </w:r>
      <w:r w:rsidR="008E009B">
        <w:rPr>
          <w:szCs w:val="22"/>
          <w:u w:val="single"/>
        </w:rPr>
        <w:t>Exhibit E</w:t>
      </w:r>
      <w:r>
        <w:rPr>
          <w:szCs w:val="22"/>
          <w:u w:val="single"/>
        </w:rPr>
        <w:fldChar w:fldCharType="end"/>
      </w:r>
      <w:r>
        <w:rPr>
          <w:szCs w:val="22"/>
        </w:rPr>
        <w:t xml:space="preserve"> attached to this Agreement.</w:t>
      </w:r>
    </w:p>
    <w:p w14:paraId="1BFADBB8" w14:textId="466430A2" w:rsidR="002E2E2B" w:rsidRPr="00623780" w:rsidRDefault="00E63FEF" w:rsidP="00173917">
      <w:pPr>
        <w:pStyle w:val="Heading3"/>
        <w:rPr>
          <w:szCs w:val="22"/>
        </w:rPr>
      </w:pPr>
      <w:r>
        <w:rPr>
          <w:szCs w:val="22"/>
        </w:rPr>
        <w:t>“</w:t>
      </w:r>
      <w:r>
        <w:rPr>
          <w:b/>
          <w:szCs w:val="22"/>
        </w:rPr>
        <w:t>Knowledge</w:t>
      </w:r>
      <w:r>
        <w:rPr>
          <w:szCs w:val="22"/>
        </w:rPr>
        <w:t>” including the phrase “</w:t>
      </w:r>
      <w:r>
        <w:rPr>
          <w:b/>
          <w:szCs w:val="22"/>
        </w:rPr>
        <w:t>to the Company’s knowledge</w:t>
      </w:r>
      <w:r>
        <w:rPr>
          <w:szCs w:val="22"/>
        </w:rPr>
        <w:t xml:space="preserve">” means the Knowledge Parties’ actual knowledge after reasonable investigation and assuming such knowledge as the individual would have as a result of the reasonable performance of the individual’s duties in the ordinary </w:t>
      </w:r>
      <w:r>
        <w:rPr>
          <w:szCs w:val="22"/>
        </w:rPr>
        <w:lastRenderedPageBreak/>
        <w:t>course.</w:t>
      </w:r>
      <w:r>
        <w:rPr>
          <w:szCs w:val="22"/>
          <w:vertAlign w:val="superscript"/>
        </w:rPr>
        <w:footnoteReference w:id="23"/>
      </w:r>
      <w:r>
        <w:rPr>
          <w:szCs w:val="22"/>
        </w:rPr>
        <w:t xml:space="preserve"> Additionally, for purposes of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the Company shall be deemed to have “knowledge” of a patent right only if the Company has actual knowledge of the patent right.</w:t>
      </w:r>
    </w:p>
    <w:p w14:paraId="236C51E4" w14:textId="04A35D51" w:rsidR="00665EDE" w:rsidRPr="00623780" w:rsidRDefault="00665EDE" w:rsidP="00665EDE">
      <w:pPr>
        <w:pStyle w:val="Heading3"/>
        <w:widowControl w:val="0"/>
        <w:spacing w:after="120"/>
        <w:rPr>
          <w:szCs w:val="22"/>
        </w:rPr>
      </w:pPr>
      <w:r>
        <w:rPr>
          <w:szCs w:val="22"/>
        </w:rPr>
        <w:t>“</w:t>
      </w:r>
      <w:r>
        <w:rPr>
          <w:b/>
          <w:szCs w:val="22"/>
        </w:rPr>
        <w:t>Knowledge Parties</w:t>
      </w:r>
      <w:r>
        <w:rPr>
          <w:szCs w:val="22"/>
        </w:rPr>
        <w:t xml:space="preserve">” means [(i)] the Officers [and (ii) solely for purposes of </w:t>
      </w:r>
      <w:r>
        <w:rPr>
          <w:szCs w:val="22"/>
          <w:u w:val="single"/>
        </w:rPr>
        <w:t xml:space="preserve">Section </w:t>
      </w:r>
      <w:r>
        <w:rPr>
          <w:szCs w:val="22"/>
          <w:u w:val="single"/>
        </w:rPr>
        <w:fldChar w:fldCharType="begin"/>
      </w:r>
      <w:r>
        <w:rPr>
          <w:szCs w:val="22"/>
          <w:u w:val="single"/>
        </w:rPr>
        <w:instrText xml:space="preserve"> REF _Ref145428055 \w \h  \* MERGEFORMAT </w:instrText>
      </w:r>
      <w:r>
        <w:rPr>
          <w:szCs w:val="22"/>
          <w:u w:val="single"/>
        </w:rPr>
      </w:r>
      <w:r>
        <w:rPr>
          <w:szCs w:val="22"/>
          <w:u w:val="single"/>
        </w:rPr>
        <w:fldChar w:fldCharType="separate"/>
      </w:r>
      <w:r w:rsidR="008E009B">
        <w:rPr>
          <w:szCs w:val="22"/>
          <w:u w:val="single"/>
        </w:rPr>
        <w:t>2.8</w:t>
      </w:r>
      <w:r>
        <w:rPr>
          <w:szCs w:val="22"/>
          <w:u w:val="single"/>
        </w:rPr>
        <w:fldChar w:fldCharType="end"/>
      </w:r>
      <w:r>
        <w:rPr>
          <w:szCs w:val="22"/>
        </w:rPr>
        <w:t>, [</w:t>
      </w:r>
      <w:r>
        <w:rPr>
          <w:i/>
          <w:iCs/>
          <w:szCs w:val="22"/>
        </w:rPr>
        <w:t>specify</w:t>
      </w:r>
      <w:r>
        <w:rPr>
          <w:szCs w:val="22"/>
        </w:rPr>
        <w:t>]</w:t>
      </w:r>
      <w:r>
        <w:rPr>
          <w:rStyle w:val="FootnoteReference"/>
          <w:szCs w:val="22"/>
        </w:rPr>
        <w:footnoteReference w:id="24"/>
      </w:r>
      <w:r>
        <w:rPr>
          <w:szCs w:val="22"/>
        </w:rPr>
        <w:t>].</w:t>
      </w:r>
    </w:p>
    <w:p w14:paraId="4FD234D9" w14:textId="443FA59A" w:rsidR="009D2311" w:rsidRPr="00623780" w:rsidRDefault="00E63FEF" w:rsidP="0014502C">
      <w:pPr>
        <w:pStyle w:val="Heading3"/>
        <w:rPr>
          <w:szCs w:val="22"/>
        </w:rPr>
      </w:pPr>
      <w:r>
        <w:rPr>
          <w:szCs w:val="22"/>
        </w:rPr>
        <w:t>“</w:t>
      </w:r>
      <w:r>
        <w:rPr>
          <w:b/>
          <w:szCs w:val="22"/>
        </w:rPr>
        <w:t>Management Rights Letter</w:t>
      </w:r>
      <w:r>
        <w:rPr>
          <w:szCs w:val="22"/>
        </w:rPr>
        <w:t>” means the agreement between the Company and [</w:t>
      </w:r>
      <w:r>
        <w:rPr>
          <w:i/>
          <w:iCs/>
          <w:szCs w:val="22"/>
        </w:rPr>
        <w:t>name the applicable Purchasers</w:t>
      </w:r>
      <w:r>
        <w:rPr>
          <w:szCs w:val="22"/>
        </w:rPr>
        <w:t xml:space="preserve">], in substantially the form of </w:t>
      </w:r>
      <w:r>
        <w:rPr>
          <w:szCs w:val="22"/>
          <w:u w:val="single"/>
        </w:rPr>
        <w:fldChar w:fldCharType="begin"/>
      </w:r>
      <w:r>
        <w:rPr>
          <w:szCs w:val="22"/>
          <w:u w:val="single"/>
        </w:rPr>
        <w:instrText xml:space="preserve"> REF _Ref137575767 \w \h  \* MERGEFORMAT </w:instrText>
      </w:r>
      <w:r>
        <w:rPr>
          <w:szCs w:val="22"/>
          <w:u w:val="single"/>
        </w:rPr>
      </w:r>
      <w:r>
        <w:rPr>
          <w:szCs w:val="22"/>
          <w:u w:val="single"/>
        </w:rPr>
        <w:fldChar w:fldCharType="separate"/>
      </w:r>
      <w:r w:rsidR="008E009B">
        <w:rPr>
          <w:szCs w:val="22"/>
          <w:u w:val="single"/>
        </w:rPr>
        <w:t>Exhibit F</w:t>
      </w:r>
      <w:r>
        <w:rPr>
          <w:szCs w:val="22"/>
          <w:u w:val="single"/>
        </w:rPr>
        <w:fldChar w:fldCharType="end"/>
      </w:r>
      <w:r>
        <w:rPr>
          <w:szCs w:val="22"/>
        </w:rPr>
        <w:t xml:space="preserve"> attached to this Agreement, dated as of the date of the applicable Closing.</w:t>
      </w:r>
    </w:p>
    <w:p w14:paraId="4E4249F0" w14:textId="734271E9" w:rsidR="009D2311" w:rsidRPr="00623780" w:rsidRDefault="00E63FEF" w:rsidP="00955488">
      <w:pPr>
        <w:pStyle w:val="Heading3"/>
        <w:rPr>
          <w:szCs w:val="22"/>
        </w:rPr>
      </w:pPr>
      <w:r>
        <w:rPr>
          <w:szCs w:val="22"/>
        </w:rPr>
        <w:t>“</w:t>
      </w:r>
      <w:r>
        <w:rPr>
          <w:b/>
          <w:szCs w:val="22"/>
        </w:rPr>
        <w:t>Material Adverse Effect</w:t>
      </w:r>
      <w:r>
        <w:rPr>
          <w:szCs w:val="22"/>
        </w:rPr>
        <w:t>” means a material adverse effect on the business, assets (including intangible assets), liabilities, financial condition, property, or results of operations of the Company.</w:t>
      </w:r>
    </w:p>
    <w:p w14:paraId="3AF9C2E1" w14:textId="029F3126" w:rsidR="00004A71" w:rsidRDefault="00004A71" w:rsidP="00955488">
      <w:pPr>
        <w:pStyle w:val="Heading3"/>
        <w:rPr>
          <w:szCs w:val="22"/>
        </w:rPr>
      </w:pPr>
      <w:r>
        <w:rPr>
          <w:szCs w:val="22"/>
        </w:rPr>
        <w:t>“</w:t>
      </w:r>
      <w:r>
        <w:rPr>
          <w:b/>
          <w:bCs/>
          <w:szCs w:val="22"/>
        </w:rPr>
        <w:t>Milestones</w:t>
      </w:r>
      <w:r>
        <w:rPr>
          <w:szCs w:val="22"/>
        </w:rPr>
        <w:t xml:space="preserve">” means the milestones </w:t>
      </w:r>
      <w:r>
        <w:t xml:space="preserve">set forth on </w:t>
      </w:r>
      <w:r w:rsidRPr="008E009B">
        <w:rPr>
          <w:u w:val="single"/>
        </w:rPr>
        <w:t>Annex 1</w:t>
      </w:r>
      <w:r>
        <w:t xml:space="preserve"> to </w:t>
      </w:r>
      <w:r>
        <w:rPr>
          <w:szCs w:val="22"/>
        </w:rPr>
        <w:t>this</w:t>
      </w:r>
      <w:r>
        <w:t xml:space="preserve"> Agreement.</w:t>
      </w:r>
    </w:p>
    <w:p w14:paraId="2E913131" w14:textId="240DA82E" w:rsidR="008303C2" w:rsidRPr="00623780" w:rsidRDefault="008303C2" w:rsidP="00955488">
      <w:pPr>
        <w:pStyle w:val="Heading3"/>
        <w:rPr>
          <w:szCs w:val="22"/>
        </w:rPr>
      </w:pPr>
      <w:r>
        <w:rPr>
          <w:szCs w:val="22"/>
        </w:rPr>
        <w:t>“</w:t>
      </w:r>
      <w:r>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szCs w:val="22"/>
        </w:rPr>
        <w:footnoteReference w:id="25"/>
      </w:r>
    </w:p>
    <w:p w14:paraId="601B659C" w14:textId="71624EC0" w:rsidR="009D2311" w:rsidRPr="00623780" w:rsidRDefault="00E63FEF" w:rsidP="00955488">
      <w:pPr>
        <w:pStyle w:val="Heading3"/>
        <w:rPr>
          <w:szCs w:val="22"/>
        </w:rPr>
      </w:pPr>
      <w:r>
        <w:rPr>
          <w:szCs w:val="22"/>
        </w:rPr>
        <w:t>“</w:t>
      </w:r>
      <w:r>
        <w:rPr>
          <w:b/>
          <w:szCs w:val="22"/>
        </w:rPr>
        <w:t>Person</w:t>
      </w:r>
      <w:r>
        <w:rPr>
          <w:szCs w:val="22"/>
        </w:rPr>
        <w:t>” means any individual, corporation, partnership, trust, limited liability company, association or other entity.</w:t>
      </w:r>
    </w:p>
    <w:p w14:paraId="724811A3" w14:textId="5EEB60DE" w:rsidR="0055783E" w:rsidRDefault="0055783E" w:rsidP="00955488">
      <w:pPr>
        <w:pStyle w:val="Heading3"/>
        <w:rPr>
          <w:szCs w:val="22"/>
        </w:rPr>
      </w:pPr>
      <w:r>
        <w:t>“</w:t>
      </w:r>
      <w:r>
        <w:rPr>
          <w:b/>
          <w:bCs/>
        </w:rPr>
        <w:t>Requisite Purchasers</w:t>
      </w:r>
      <w:r>
        <w:t>” means Purchasers holding [a majority] of the Shares issued pursuant to this Agreement.</w:t>
      </w:r>
      <w:r>
        <w:rPr>
          <w:szCs w:val="22"/>
        </w:rPr>
        <w:t xml:space="preserve"> </w:t>
      </w:r>
    </w:p>
    <w:p w14:paraId="653D4CA0" w14:textId="78EAC54D" w:rsidR="009D2311" w:rsidRPr="00623780" w:rsidRDefault="00E63FEF" w:rsidP="00955488">
      <w:pPr>
        <w:pStyle w:val="Heading3"/>
        <w:rPr>
          <w:szCs w:val="22"/>
        </w:rPr>
      </w:pPr>
      <w:r>
        <w:rPr>
          <w:szCs w:val="22"/>
        </w:rPr>
        <w:t>“</w:t>
      </w:r>
      <w:r>
        <w:rPr>
          <w:b/>
          <w:szCs w:val="22"/>
        </w:rPr>
        <w:t>Right of First Refusal and Co-Sale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_Ref137575771 \w \h  \* MERGEFORMAT </w:instrText>
      </w:r>
      <w:r>
        <w:rPr>
          <w:szCs w:val="22"/>
          <w:u w:val="single"/>
        </w:rPr>
      </w:r>
      <w:r>
        <w:rPr>
          <w:szCs w:val="22"/>
          <w:u w:val="single"/>
        </w:rPr>
        <w:fldChar w:fldCharType="separate"/>
      </w:r>
      <w:r w:rsidR="008E009B">
        <w:rPr>
          <w:szCs w:val="22"/>
          <w:u w:val="single"/>
        </w:rPr>
        <w:t>Exhibit G</w:t>
      </w:r>
      <w:r>
        <w:rPr>
          <w:szCs w:val="22"/>
          <w:u w:val="single"/>
        </w:rPr>
        <w:fldChar w:fldCharType="end"/>
      </w:r>
      <w:r>
        <w:rPr>
          <w:szCs w:val="22"/>
        </w:rPr>
        <w:t xml:space="preserve"> attached to this Agreement.</w:t>
      </w:r>
    </w:p>
    <w:p w14:paraId="7BB18BE9" w14:textId="75A0F125" w:rsidR="009D2311" w:rsidRPr="00623780" w:rsidRDefault="00E63FEF" w:rsidP="00955488">
      <w:pPr>
        <w:pStyle w:val="Heading3"/>
        <w:rPr>
          <w:szCs w:val="22"/>
        </w:rPr>
      </w:pPr>
      <w:r>
        <w:rPr>
          <w:szCs w:val="22"/>
        </w:rPr>
        <w:t>“</w:t>
      </w:r>
      <w:r>
        <w:rPr>
          <w:b/>
          <w:szCs w:val="22"/>
        </w:rPr>
        <w:t>Securities Act</w:t>
      </w:r>
      <w:r>
        <w:rPr>
          <w:szCs w:val="22"/>
        </w:rPr>
        <w:t>” means the Securities Act of 1933, as amended, and the rules and regulations promulgated thereunder.</w:t>
      </w:r>
    </w:p>
    <w:p w14:paraId="2FD61F18" w14:textId="6E8F951F" w:rsidR="003A4EB8" w:rsidRPr="003A4EB8" w:rsidRDefault="00BE7106" w:rsidP="00E65BAC">
      <w:pPr>
        <w:pStyle w:val="Heading3"/>
        <w:rPr>
          <w:b/>
          <w:bCs/>
        </w:rPr>
      </w:pPr>
      <w:r w:rsidRPr="00BE7106">
        <w:t>“</w:t>
      </w:r>
      <w:r>
        <w:rPr>
          <w:b/>
          <w:bCs/>
        </w:rPr>
        <w:t>Side Letters</w:t>
      </w:r>
      <w:r>
        <w:t xml:space="preserve">” means the letter agreements listed in </w:t>
      </w:r>
      <w:r w:rsidRPr="008E009B">
        <w:rPr>
          <w:u w:val="single"/>
        </w:rPr>
        <w:t>Section 2.10(a)(iii)</w:t>
      </w:r>
      <w:r>
        <w:t xml:space="preserve"> of the Disclosure Schedule.</w:t>
      </w:r>
    </w:p>
    <w:p w14:paraId="5AC09C5F" w14:textId="3925EED0" w:rsidR="00E65BAC" w:rsidRDefault="00E65BAC" w:rsidP="00E65BAC">
      <w:pPr>
        <w:pStyle w:val="Heading3"/>
        <w:rPr>
          <w:b/>
          <w:bCs/>
        </w:rPr>
      </w:pPr>
      <w:r>
        <w:t>“</w:t>
      </w:r>
      <w:r>
        <w:rPr>
          <w:b/>
          <w:bCs/>
        </w:rPr>
        <w:t>Tranche Closing Condition</w:t>
      </w:r>
      <w:r>
        <w:t xml:space="preserve">” means the earlier to occur of: (i) the determination by </w:t>
      </w:r>
      <w:r w:rsidR="000C76FA">
        <w:t>[(</w:t>
      </w:r>
      <w:r w:rsidR="00D26EF9">
        <w:t xml:space="preserve">x)] </w:t>
      </w:r>
      <w:r>
        <w:t xml:space="preserve">the Board of Directors, which determination shall include the approval by [a majority] of the Preferred Directors (as defined in the Restated Certificate) then serving, </w:t>
      </w:r>
      <w:r w:rsidR="00D26EF9">
        <w:t xml:space="preserve">[and (y) the Requisite Purchasers] </w:t>
      </w:r>
      <w:r>
        <w:lastRenderedPageBreak/>
        <w:t xml:space="preserve">of the achievement of the </w:t>
      </w:r>
      <w:r w:rsidR="00004A71">
        <w:t>Milestones</w:t>
      </w:r>
      <w:r>
        <w:t xml:space="preserve">; and (ii) the </w:t>
      </w:r>
      <w:r w:rsidR="008D2CBE">
        <w:t xml:space="preserve">written </w:t>
      </w:r>
      <w:r>
        <w:t>waiver of the achievement of the Milestones by the Requisite Purchasers, which waiver may be given or withheld by such Purchasers in their sole discretion.</w:t>
      </w:r>
      <w:r>
        <w:rPr>
          <w:rStyle w:val="FootnoteReference"/>
        </w:rPr>
        <w:footnoteReference w:id="26"/>
      </w:r>
    </w:p>
    <w:p w14:paraId="2A3BBFBB" w14:textId="7F477B66" w:rsidR="00E65BAC" w:rsidRPr="0015797D" w:rsidRDefault="00E65BAC" w:rsidP="00E65BAC">
      <w:pPr>
        <w:pStyle w:val="Heading3"/>
      </w:pPr>
      <w:r>
        <w:t>“</w:t>
      </w:r>
      <w:r>
        <w:rPr>
          <w:b/>
          <w:bCs/>
        </w:rPr>
        <w:t>Tranche Closing Date</w:t>
      </w:r>
      <w:r>
        <w:t>” means [a date that is no earlier than [10] business days and no later than [20] business days following delivery of the Tranche Closing Notice to the Purchasers].</w:t>
      </w:r>
      <w:r>
        <w:rPr>
          <w:rStyle w:val="FootnoteReference"/>
        </w:rPr>
        <w:footnoteReference w:id="27"/>
      </w:r>
    </w:p>
    <w:p w14:paraId="65515829" w14:textId="7455F016" w:rsidR="009D2311" w:rsidRPr="00623780" w:rsidRDefault="00E63FEF" w:rsidP="00955488">
      <w:pPr>
        <w:pStyle w:val="Heading3"/>
        <w:rPr>
          <w:szCs w:val="22"/>
        </w:rPr>
      </w:pPr>
      <w:r>
        <w:rPr>
          <w:szCs w:val="22"/>
        </w:rPr>
        <w:t>“</w:t>
      </w:r>
      <w:r>
        <w:rPr>
          <w:b/>
          <w:szCs w:val="22"/>
        </w:rPr>
        <w:t>Transaction Agreements</w:t>
      </w:r>
      <w:r>
        <w:rPr>
          <w:szCs w:val="22"/>
        </w:rPr>
        <w:t>” means this Agreement, the Investors’ Rights Agreement, the Management Rights Letter[s], the Right of First Refusal and Co-Sale Agreement, the Voting Agreement and [</w:t>
      </w:r>
      <w:r>
        <w:rPr>
          <w:i/>
          <w:iCs/>
          <w:szCs w:val="22"/>
        </w:rPr>
        <w:t xml:space="preserve">list any other agreements, instruments or documents entered into in connection with this Agreement, such as the Indemnification Agreement </w:t>
      </w:r>
      <w:r w:rsidR="00782CA5">
        <w:rPr>
          <w:i/>
          <w:iCs/>
          <w:szCs w:val="22"/>
        </w:rPr>
        <w:t xml:space="preserve">and </w:t>
      </w:r>
      <w:r w:rsidR="00391A85">
        <w:rPr>
          <w:i/>
          <w:iCs/>
          <w:szCs w:val="22"/>
        </w:rPr>
        <w:t xml:space="preserve">new </w:t>
      </w:r>
      <w:r w:rsidR="00782CA5">
        <w:rPr>
          <w:i/>
          <w:iCs/>
          <w:szCs w:val="22"/>
        </w:rPr>
        <w:t>side letters</w:t>
      </w:r>
      <w:r>
        <w:rPr>
          <w:szCs w:val="22"/>
        </w:rPr>
        <w:t>].</w:t>
      </w:r>
    </w:p>
    <w:p w14:paraId="7CB01A19" w14:textId="56FA369D" w:rsidR="009D2311" w:rsidRPr="00623780" w:rsidRDefault="00E63FEF" w:rsidP="00955488">
      <w:pPr>
        <w:pStyle w:val="Heading3"/>
        <w:rPr>
          <w:szCs w:val="22"/>
        </w:rPr>
      </w:pPr>
      <w:r>
        <w:rPr>
          <w:szCs w:val="22"/>
        </w:rPr>
        <w:t>“</w:t>
      </w:r>
      <w:r>
        <w:rPr>
          <w:b/>
          <w:szCs w:val="22"/>
        </w:rPr>
        <w:t>Voting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_Ref137575775 \w \h  \* MERGEFORMAT </w:instrText>
      </w:r>
      <w:r>
        <w:rPr>
          <w:szCs w:val="22"/>
          <w:u w:val="single"/>
        </w:rPr>
      </w:r>
      <w:r>
        <w:rPr>
          <w:szCs w:val="22"/>
          <w:u w:val="single"/>
        </w:rPr>
        <w:fldChar w:fldCharType="separate"/>
      </w:r>
      <w:r w:rsidR="008E009B">
        <w:rPr>
          <w:szCs w:val="22"/>
          <w:u w:val="single"/>
        </w:rPr>
        <w:t>Exhibit H</w:t>
      </w:r>
      <w:r>
        <w:rPr>
          <w:szCs w:val="22"/>
          <w:u w:val="single"/>
        </w:rPr>
        <w:fldChar w:fldCharType="end"/>
      </w:r>
      <w:r>
        <w:rPr>
          <w:szCs w:val="22"/>
        </w:rPr>
        <w:t xml:space="preserve"> attached to this Agreement.</w:t>
      </w:r>
    </w:p>
    <w:p w14:paraId="463F1C4F" w14:textId="108E8FA6" w:rsidR="00183D8F" w:rsidRPr="00623780" w:rsidRDefault="009D2311" w:rsidP="005A1DAA">
      <w:pPr>
        <w:pStyle w:val="Heading1"/>
        <w:spacing w:before="240" w:after="0"/>
        <w:rPr>
          <w:vanish/>
          <w:szCs w:val="22"/>
          <w:specVanish/>
        </w:rPr>
      </w:pPr>
      <w:bookmarkStart w:id="14" w:name="_Ref146362263"/>
      <w:bookmarkStart w:id="15" w:name="_Ref146433049"/>
      <w:bookmarkStart w:id="16" w:name="_Ref146433061"/>
      <w:bookmarkStart w:id="17" w:name="_Ref146433074"/>
      <w:bookmarkStart w:id="18" w:name="_Ref264024798"/>
      <w:r>
        <w:rPr>
          <w:szCs w:val="22"/>
          <w:u w:val="single"/>
        </w:rPr>
        <w:t>Representations and Warranties of the Company</w:t>
      </w:r>
      <w:bookmarkEnd w:id="14"/>
    </w:p>
    <w:p w14:paraId="0AFD78D9" w14:textId="1EF0331A" w:rsidR="00666D11" w:rsidRPr="00623780" w:rsidRDefault="009244B2" w:rsidP="00183D8F">
      <w:pPr>
        <w:pStyle w:val="HeadingPara1"/>
        <w:rPr>
          <w:szCs w:val="22"/>
        </w:rPr>
      </w:pPr>
      <w:r>
        <w:rPr>
          <w:szCs w:val="22"/>
        </w:rPr>
        <w:t>.</w:t>
      </w:r>
      <w:bookmarkEnd w:id="15"/>
      <w:bookmarkEnd w:id="16"/>
      <w:bookmarkEnd w:id="17"/>
      <w:r>
        <w:rPr>
          <w:szCs w:val="22"/>
        </w:rPr>
        <w:t xml:space="preserve"> The Company hereby represents and warrants to each Purchaser that, except as set forth on the Disclosure Schedule attached as </w:t>
      </w:r>
      <w:r>
        <w:rPr>
          <w:szCs w:val="22"/>
          <w:u w:val="single"/>
        </w:rPr>
        <w:fldChar w:fldCharType="begin"/>
      </w:r>
      <w:r>
        <w:rPr>
          <w:szCs w:val="22"/>
          <w:u w:val="single"/>
        </w:rPr>
        <w:instrText xml:space="preserve"> REF _Ref137575748 \r \h  \* MERGEFORMAT </w:instrText>
      </w:r>
      <w:r>
        <w:rPr>
          <w:szCs w:val="22"/>
          <w:u w:val="single"/>
        </w:rPr>
      </w:r>
      <w:r>
        <w:rPr>
          <w:szCs w:val="22"/>
          <w:u w:val="single"/>
        </w:rPr>
        <w:fldChar w:fldCharType="separate"/>
      </w:r>
      <w:r w:rsidR="008E009B">
        <w:rPr>
          <w:szCs w:val="22"/>
          <w:u w:val="single"/>
        </w:rPr>
        <w:t>Exhibit C</w:t>
      </w:r>
      <w:r>
        <w:rPr>
          <w:szCs w:val="22"/>
          <w:u w:val="single"/>
        </w:rPr>
        <w:fldChar w:fldCharType="end"/>
      </w:r>
      <w:r>
        <w:rPr>
          <w:szCs w:val="22"/>
        </w:rPr>
        <w:t xml:space="preserve"> to this Agreement,</w:t>
      </w:r>
      <w:r>
        <w:rPr>
          <w:snapToGrid w:val="0"/>
          <w:szCs w:val="22"/>
        </w:rPr>
        <w:t xml:space="preserve"> </w:t>
      </w:r>
      <w:r>
        <w:rPr>
          <w:szCs w:val="22"/>
        </w:rPr>
        <w:t>which exceptions shall be deemed to be part of the representations and warranties made hereunder, the following representations are true and complete as of the date of the [Initial][applicable] Closing, except as otherwise indicated.</w:t>
      </w:r>
      <w:r>
        <w:rPr>
          <w:rStyle w:val="FootnoteReference"/>
        </w:rPr>
        <w:footnoteReference w:id="28"/>
      </w:r>
      <w:r>
        <w:rPr>
          <w:szCs w:val="22"/>
        </w:rPr>
        <w:t xml:space="preserve"> The Disclosure Schedule shall be arranged in sections corresponding to the numbered and lettered sections contained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and the disclosures in any section of the Disclosure Schedule shall qualify other sections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only to the extent it is readily apparent from a reading of the disclosure that such disclosure is applicable to such other sections.</w:t>
      </w:r>
      <w:bookmarkStart w:id="19" w:name="_Ref474870652"/>
      <w:r>
        <w:rPr>
          <w:szCs w:val="22"/>
          <w:vertAlign w:val="superscript"/>
        </w:rPr>
        <w:footnoteReference w:id="29"/>
      </w:r>
      <w:bookmarkEnd w:id="18"/>
      <w:bookmarkEnd w:id="19"/>
    </w:p>
    <w:p w14:paraId="393D4F07" w14:textId="6C5700C6" w:rsidR="009D2311" w:rsidRPr="00623780" w:rsidRDefault="009D2311" w:rsidP="00B945D5">
      <w:pPr>
        <w:pStyle w:val="BodyText"/>
      </w:pPr>
      <w:r>
        <w:t xml:space="preserve">For purposes of these representations and warranties (other than those in </w:t>
      </w:r>
      <w:r>
        <w:rPr>
          <w:u w:val="single"/>
        </w:rPr>
        <w:t xml:space="preserve">Sections </w:t>
      </w:r>
      <w:r w:rsidR="008E009B">
        <w:rPr>
          <w:u w:val="single"/>
        </w:rPr>
        <w:t>2.2</w:t>
      </w:r>
      <w:r>
        <w:t xml:space="preserve">, </w:t>
      </w:r>
      <w:r>
        <w:rPr>
          <w:u w:val="single"/>
        </w:rPr>
        <w:fldChar w:fldCharType="begin"/>
      </w:r>
      <w:r>
        <w:rPr>
          <w:u w:val="single"/>
        </w:rPr>
        <w:instrText xml:space="preserve"> REF _Ref_ContractCompanion_9kb9Ur02C \n \h \t \* MERGEFORMAT </w:instrText>
      </w:r>
      <w:r>
        <w:rPr>
          <w:u w:val="single"/>
        </w:rPr>
      </w:r>
      <w:r>
        <w:rPr>
          <w:u w:val="single"/>
        </w:rPr>
        <w:fldChar w:fldCharType="separate"/>
      </w:r>
      <w:r w:rsidR="008E009B">
        <w:rPr>
          <w:u w:val="single"/>
        </w:rPr>
        <w:t>2.3</w:t>
      </w:r>
      <w:r>
        <w:rPr>
          <w:u w:val="single"/>
        </w:rPr>
        <w:fldChar w:fldCharType="end"/>
      </w:r>
      <w:r>
        <w:t xml:space="preserve">,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sidR="008E009B">
        <w:rPr>
          <w:u w:val="single"/>
        </w:rPr>
        <w:t>2.4</w:t>
      </w:r>
      <w:r>
        <w:rPr>
          <w:u w:val="single"/>
        </w:rPr>
        <w:fldChar w:fldCharType="end"/>
      </w:r>
      <w:r>
        <w:t xml:space="preserve">, </w:t>
      </w:r>
      <w:r>
        <w:rPr>
          <w:u w:val="single"/>
        </w:rPr>
        <w:fldChar w:fldCharType="begin"/>
      </w:r>
      <w:r>
        <w:rPr>
          <w:u w:val="single"/>
        </w:rPr>
        <w:instrText xml:space="preserve"> REF _Ref_ContractCompanion_9kb9Ur037 \n \h \t \* MERGEFORMAT </w:instrText>
      </w:r>
      <w:r>
        <w:rPr>
          <w:u w:val="single"/>
        </w:rPr>
      </w:r>
      <w:r>
        <w:rPr>
          <w:u w:val="single"/>
        </w:rPr>
        <w:fldChar w:fldCharType="separate"/>
      </w:r>
      <w:r w:rsidR="008E009B">
        <w:rPr>
          <w:u w:val="single"/>
        </w:rPr>
        <w:t>2.5</w:t>
      </w:r>
      <w:r>
        <w:rPr>
          <w:u w:val="single"/>
        </w:rPr>
        <w:fldChar w:fldCharType="end"/>
      </w:r>
      <w:r>
        <w:t xml:space="preserve">, </w:t>
      </w:r>
      <w:r>
        <w:rPr>
          <w:u w:val="single"/>
        </w:rPr>
        <w:fldChar w:fldCharType="begin"/>
      </w:r>
      <w:r>
        <w:rPr>
          <w:u w:val="single"/>
        </w:rPr>
        <w:instrText xml:space="preserve"> REF _Ref_ContractCompanion_9kb9Ur03B \n \h \t \* MERGEFORMAT </w:instrText>
      </w:r>
      <w:r>
        <w:rPr>
          <w:u w:val="single"/>
        </w:rPr>
      </w:r>
      <w:r>
        <w:rPr>
          <w:u w:val="single"/>
        </w:rPr>
        <w:fldChar w:fldCharType="separate"/>
      </w:r>
      <w:r w:rsidR="008E009B">
        <w:rPr>
          <w:u w:val="single"/>
        </w:rPr>
        <w:t>2.6</w:t>
      </w:r>
      <w:r>
        <w:rPr>
          <w:u w:val="single"/>
        </w:rPr>
        <w:fldChar w:fldCharType="end"/>
      </w:r>
      <w:r>
        <w:t xml:space="preserve">[, </w:t>
      </w:r>
      <w:r>
        <w:rPr>
          <w:u w:val="single"/>
        </w:rPr>
        <w:fldChar w:fldCharType="begin"/>
      </w:r>
      <w:r>
        <w:rPr>
          <w:u w:val="single"/>
        </w:rPr>
        <w:instrText xml:space="preserve"> REF _Ref145427803 \w \h  \* MERGEFORMAT </w:instrText>
      </w:r>
      <w:r>
        <w:rPr>
          <w:u w:val="single"/>
        </w:rPr>
      </w:r>
      <w:r>
        <w:rPr>
          <w:u w:val="single"/>
        </w:rPr>
        <w:fldChar w:fldCharType="separate"/>
      </w:r>
      <w:r w:rsidR="008E009B">
        <w:rPr>
          <w:u w:val="single"/>
        </w:rPr>
        <w:t>2.21</w:t>
      </w:r>
      <w:r>
        <w:rPr>
          <w:u w:val="single"/>
        </w:rPr>
        <w:fldChar w:fldCharType="end"/>
      </w:r>
      <w:r>
        <w:t xml:space="preserve">, </w:t>
      </w:r>
      <w:r>
        <w:rPr>
          <w:u w:val="single"/>
        </w:rPr>
        <w:fldChar w:fldCharType="begin"/>
      </w:r>
      <w:r>
        <w:rPr>
          <w:u w:val="single"/>
        </w:rPr>
        <w:instrText xml:space="preserve"> REF _Ref431379009 \w \h  \* MERGEFORMAT </w:instrText>
      </w:r>
      <w:r>
        <w:rPr>
          <w:u w:val="single"/>
        </w:rPr>
      </w:r>
      <w:r>
        <w:rPr>
          <w:u w:val="single"/>
        </w:rPr>
        <w:fldChar w:fldCharType="separate"/>
      </w:r>
      <w:r w:rsidR="008E009B">
        <w:rPr>
          <w:u w:val="single"/>
        </w:rPr>
        <w:t>2.22</w:t>
      </w:r>
      <w:r>
        <w:rPr>
          <w:u w:val="single"/>
        </w:rPr>
        <w:fldChar w:fldCharType="end"/>
      </w:r>
      <w:r>
        <w:t xml:space="preserve">, </w:t>
      </w:r>
      <w:r>
        <w:rPr>
          <w:u w:val="single"/>
        </w:rPr>
        <w:fldChar w:fldCharType="begin"/>
      </w:r>
      <w:r>
        <w:rPr>
          <w:u w:val="single"/>
        </w:rPr>
        <w:instrText xml:space="preserve"> REF _Ref145427831 \w \h  \* MERGEFORMAT </w:instrText>
      </w:r>
      <w:r>
        <w:rPr>
          <w:u w:val="single"/>
        </w:rPr>
      </w:r>
      <w:r>
        <w:rPr>
          <w:u w:val="single"/>
        </w:rPr>
        <w:fldChar w:fldCharType="separate"/>
      </w:r>
      <w:r w:rsidR="008E009B">
        <w:rPr>
          <w:u w:val="single"/>
        </w:rPr>
        <w:t>2.23</w:t>
      </w:r>
      <w:r>
        <w:rPr>
          <w:u w:val="single"/>
        </w:rPr>
        <w:fldChar w:fldCharType="end"/>
      </w:r>
      <w:r>
        <w:t xml:space="preserve">, </w:t>
      </w:r>
      <w:r>
        <w:rPr>
          <w:u w:val="single"/>
        </w:rPr>
        <w:fldChar w:fldCharType="begin"/>
      </w:r>
      <w:r>
        <w:rPr>
          <w:u w:val="single"/>
        </w:rPr>
        <w:instrText xml:space="preserve"> REF _Ref145427844 \w \h  \* MERGEFORMAT </w:instrText>
      </w:r>
      <w:r>
        <w:rPr>
          <w:u w:val="single"/>
        </w:rPr>
      </w:r>
      <w:r>
        <w:rPr>
          <w:u w:val="single"/>
        </w:rPr>
        <w:fldChar w:fldCharType="separate"/>
      </w:r>
      <w:r w:rsidR="008E009B">
        <w:rPr>
          <w:u w:val="single"/>
        </w:rPr>
        <w:t>2.24</w:t>
      </w:r>
      <w:r>
        <w:rPr>
          <w:u w:val="single"/>
        </w:rPr>
        <w:fldChar w:fldCharType="end"/>
      </w:r>
      <w:r>
        <w:rPr>
          <w:u w:val="single"/>
        </w:rPr>
        <w:t>]</w:t>
      </w:r>
      <w:r>
        <w:t xml:space="preserve"> and </w:t>
      </w:r>
      <w:r>
        <w:rPr>
          <w:u w:val="single"/>
        </w:rPr>
        <w:fldChar w:fldCharType="begin"/>
      </w:r>
      <w:r>
        <w:rPr>
          <w:u w:val="single"/>
        </w:rPr>
        <w:instrText xml:space="preserve"> REF _Ref137606194 \r \h  \* MERGEFORMAT </w:instrText>
      </w:r>
      <w:r>
        <w:rPr>
          <w:u w:val="single"/>
        </w:rPr>
      </w:r>
      <w:r>
        <w:rPr>
          <w:u w:val="single"/>
        </w:rPr>
        <w:fldChar w:fldCharType="separate"/>
      </w:r>
      <w:r w:rsidR="008E009B">
        <w:rPr>
          <w:u w:val="single"/>
        </w:rPr>
        <w:t>2.32</w:t>
      </w:r>
      <w:r>
        <w:rPr>
          <w:u w:val="single"/>
        </w:rPr>
        <w:fldChar w:fldCharType="end"/>
      </w:r>
      <w:r>
        <w:t xml:space="preserve"> [and the second to last sentence of </w:t>
      </w:r>
      <w:r>
        <w:rPr>
          <w:u w:val="single"/>
        </w:rPr>
        <w:t xml:space="preserve">Section </w:t>
      </w:r>
      <w:r>
        <w:rPr>
          <w:u w:val="single"/>
        </w:rPr>
        <w:fldChar w:fldCharType="begin"/>
      </w:r>
      <w:r>
        <w:rPr>
          <w:u w:val="single"/>
        </w:rPr>
        <w:instrText xml:space="preserve"> REF _Ref162989089 \r \h  \* MERGEFORMAT </w:instrText>
      </w:r>
      <w:r>
        <w:rPr>
          <w:u w:val="single"/>
        </w:rPr>
      </w:r>
      <w:r>
        <w:rPr>
          <w:u w:val="single"/>
        </w:rPr>
        <w:fldChar w:fldCharType="separate"/>
      </w:r>
      <w:r w:rsidR="008E009B">
        <w:rPr>
          <w:u w:val="single"/>
        </w:rPr>
        <w:t>2.25</w:t>
      </w:r>
      <w:r>
        <w:rPr>
          <w:u w:val="single"/>
        </w:rPr>
        <w:fldChar w:fldCharType="end"/>
      </w:r>
      <w:r>
        <w:rPr>
          <w:u w:val="single"/>
        </w:rPr>
        <w:t>]</w:t>
      </w:r>
      <w:r>
        <w:t>), the term the “</w:t>
      </w:r>
      <w:r>
        <w:rPr>
          <w:b/>
        </w:rPr>
        <w:t>Company</w:t>
      </w:r>
      <w:r>
        <w:t>” shall include any subsidiaries of the Company, unless otherwise noted herein.</w:t>
      </w:r>
      <w:bookmarkStart w:id="20" w:name="_Ref264024880"/>
    </w:p>
    <w:p w14:paraId="505E16E4" w14:textId="48298056" w:rsidR="00183D8F" w:rsidRPr="00623780" w:rsidRDefault="009D2311" w:rsidP="008B036E">
      <w:pPr>
        <w:pStyle w:val="Heading2"/>
        <w:rPr>
          <w:vanish/>
          <w:szCs w:val="22"/>
          <w:specVanish/>
        </w:rPr>
      </w:pPr>
      <w:bookmarkStart w:id="21" w:name="_Ref444618814"/>
      <w:bookmarkStart w:id="22" w:name="_Ref444618820"/>
      <w:r>
        <w:rPr>
          <w:szCs w:val="22"/>
          <w:u w:val="single"/>
        </w:rPr>
        <w:t>Organization, Good Standing, Corporate Power and Qualification</w:t>
      </w:r>
      <w:bookmarkEnd w:id="21"/>
      <w:bookmarkEnd w:id="22"/>
    </w:p>
    <w:p w14:paraId="138F59BD" w14:textId="704947C8" w:rsidR="00666D11" w:rsidRPr="00623780" w:rsidRDefault="009244B2" w:rsidP="00150A0F">
      <w:pPr>
        <w:pStyle w:val="HeadingPara2"/>
        <w:rPr>
          <w:szCs w:val="22"/>
        </w:rPr>
      </w:pPr>
      <w:r>
        <w:rPr>
          <w:szCs w:val="22"/>
        </w:rPr>
        <w:t>.</w:t>
      </w:r>
      <w:r>
        <w:rPr>
          <w:rStyle w:val="FootnoteReference"/>
          <w:szCs w:val="22"/>
        </w:rPr>
        <w:footnoteReference w:id="30"/>
      </w:r>
      <w:r>
        <w:rPr>
          <w:szCs w:val="22"/>
        </w:rPr>
        <w:t xml:space="preserve"> The Company is a corporation duly organized, validly existing and in good standing under the laws of the State of Delaware </w:t>
      </w:r>
      <w:r>
        <w:rPr>
          <w:szCs w:val="22"/>
        </w:rPr>
        <w:lastRenderedPageBreak/>
        <w:t>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23" w:name="_Ref146432691"/>
      <w:bookmarkEnd w:id="20"/>
    </w:p>
    <w:p w14:paraId="22DC4C22" w14:textId="7B2D4372" w:rsidR="009D2311" w:rsidRPr="00623780" w:rsidRDefault="009D2311" w:rsidP="00771F9D">
      <w:pPr>
        <w:pStyle w:val="Heading2"/>
        <w:keepNext/>
        <w:rPr>
          <w:vanish/>
          <w:szCs w:val="22"/>
          <w:specVanish/>
        </w:rPr>
      </w:pPr>
      <w:bookmarkStart w:id="24" w:name="_Ref431378633"/>
      <w:r>
        <w:rPr>
          <w:szCs w:val="22"/>
          <w:u w:val="single"/>
        </w:rPr>
        <w:t>Capitalization</w:t>
      </w:r>
      <w:bookmarkEnd w:id="24"/>
      <w:r>
        <w:rPr>
          <w:szCs w:val="22"/>
        </w:rPr>
        <w:t>.</w:t>
      </w:r>
      <w:r>
        <w:rPr>
          <w:rStyle w:val="FootnoteReference"/>
          <w:szCs w:val="22"/>
        </w:rPr>
        <w:footnoteReference w:id="31"/>
      </w:r>
      <w:bookmarkEnd w:id="23"/>
    </w:p>
    <w:p w14:paraId="64DE6137" w14:textId="553CCE04" w:rsidR="00183D8F" w:rsidRPr="00623780" w:rsidRDefault="00183D8F" w:rsidP="00150A0F">
      <w:pPr>
        <w:pStyle w:val="HeadingPara2"/>
        <w:rPr>
          <w:szCs w:val="22"/>
        </w:rPr>
      </w:pPr>
    </w:p>
    <w:p w14:paraId="78616D4C" w14:textId="7DC53CB8" w:rsidR="009D2311" w:rsidRPr="00623780" w:rsidRDefault="009D2311" w:rsidP="00771F9D">
      <w:pPr>
        <w:pStyle w:val="Heading3"/>
        <w:rPr>
          <w:szCs w:val="22"/>
        </w:rPr>
      </w:pPr>
      <w:r>
        <w:rPr>
          <w:szCs w:val="22"/>
        </w:rPr>
        <w:t>The authorized capital of the Company consists, immediately prior to the [Initial] Closing, of:</w:t>
      </w:r>
    </w:p>
    <w:p w14:paraId="4CAAE5E2" w14:textId="3B17E463" w:rsidR="009D2311" w:rsidRPr="00623780" w:rsidRDefault="009D2311" w:rsidP="00771F9D">
      <w:pPr>
        <w:pStyle w:val="Heading4"/>
        <w:rPr>
          <w:szCs w:val="22"/>
        </w:rPr>
      </w:pPr>
      <w:bookmarkStart w:id="25" w:name="_Ref145428096"/>
      <w:r>
        <w:rPr>
          <w:szCs w:val="22"/>
        </w:rPr>
        <w:t>[__________] shares of common stock, $[____] par value per share (the “</w:t>
      </w:r>
      <w:r>
        <w:rPr>
          <w:b/>
          <w:szCs w:val="22"/>
        </w:rPr>
        <w:t>Common Stock</w:t>
      </w:r>
      <w:r>
        <w:rPr>
          <w:szCs w:val="22"/>
        </w:rPr>
        <w:t>”), [_________] shares of which are issued and outstanding.</w:t>
      </w:r>
      <w:bookmarkEnd w:id="25"/>
      <w:r>
        <w:rPr>
          <w:szCs w:val="22"/>
        </w:rPr>
        <w:t xml:space="preserve"> </w:t>
      </w:r>
    </w:p>
    <w:p w14:paraId="5341F0E2" w14:textId="19DC8C83" w:rsidR="009D2311" w:rsidRPr="00623780" w:rsidRDefault="009D2311" w:rsidP="00771F9D">
      <w:pPr>
        <w:pStyle w:val="Heading4"/>
        <w:rPr>
          <w:szCs w:val="22"/>
        </w:rPr>
      </w:pPr>
      <w:bookmarkStart w:id="26" w:name="_Ref_ContractCompanion_9kb9Ur046"/>
      <w:r>
        <w:rPr>
          <w:szCs w:val="22"/>
        </w:rPr>
        <w:t>[__________] shares of preferred stock, $[____] par value per share (the “</w:t>
      </w:r>
      <w:r>
        <w:rPr>
          <w:b/>
          <w:szCs w:val="22"/>
        </w:rPr>
        <w:t>Preferred Stock</w:t>
      </w:r>
      <w:r>
        <w:rPr>
          <w:szCs w:val="22"/>
        </w:rPr>
        <w:t>”), of which [__________] shares have been designated Series [___] Preferred Stock, none</w:t>
      </w:r>
      <w:r>
        <w:rPr>
          <w:b/>
          <w:szCs w:val="22"/>
        </w:rPr>
        <w:t xml:space="preserve"> </w:t>
      </w:r>
      <w:r>
        <w:rPr>
          <w:szCs w:val="22"/>
        </w:rPr>
        <w:t>of which are issued and outstanding. The rights, privileges and preferences of the Preferred Stock are as stated in the Restated Certificate and as provided by the Delaware General Corporation Law (the “</w:t>
      </w:r>
      <w:r>
        <w:rPr>
          <w:b/>
          <w:bCs/>
          <w:szCs w:val="22"/>
        </w:rPr>
        <w:t>DGCL</w:t>
      </w:r>
      <w:r>
        <w:rPr>
          <w:szCs w:val="22"/>
        </w:rPr>
        <w:t xml:space="preserve">”). [The Company has issued Convertible Securities that will convert into an aggregate of [___] shares of Series [___] Preferred Stock as of the [Initial] Closing as set forth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00E34FA3" w:rsidRPr="00351036">
        <w:rPr>
          <w:szCs w:val="22"/>
        </w:rPr>
        <w:t xml:space="preserve"> and </w:t>
      </w:r>
      <w:r w:rsidR="00E34FA3">
        <w:rPr>
          <w:szCs w:val="22"/>
          <w:u w:val="single"/>
        </w:rPr>
        <w:t>Exhibit A-1</w:t>
      </w:r>
      <w:r>
        <w:rPr>
          <w:szCs w:val="22"/>
        </w:rPr>
        <w:t>.]</w:t>
      </w:r>
      <w:r>
        <w:rPr>
          <w:rStyle w:val="FootnoteReference"/>
          <w:szCs w:val="22"/>
        </w:rPr>
        <w:footnoteReference w:id="32"/>
      </w:r>
      <w:bookmarkStart w:id="27" w:name="_Ref146362505"/>
      <w:bookmarkEnd w:id="26"/>
      <w:r>
        <w:rPr>
          <w:szCs w:val="22"/>
        </w:rPr>
        <w:t xml:space="preserve"> Each share of Preferred Stock outstanding as of immediately prior to the [Initial] Closing will be convertible into one share of Common Stock as of immediately after the [Initial] Closing.</w:t>
      </w:r>
    </w:p>
    <w:p w14:paraId="2FB3BEA0" w14:textId="7761B9C8" w:rsidR="009A2F75" w:rsidRPr="00623780" w:rsidRDefault="009A2F75" w:rsidP="009A2F75">
      <w:pPr>
        <w:pStyle w:val="Heading4"/>
        <w:rPr>
          <w:szCs w:val="22"/>
        </w:rPr>
      </w:pPr>
      <w:r>
        <w:rPr>
          <w:szCs w:val="22"/>
        </w:rPr>
        <w:t>All of the outstanding shares of capital stock have been duly authorized, are fully paid and nonassessable and were issued in compliance with all applicable federal and state securities laws.</w:t>
      </w:r>
      <w:r>
        <w:rPr>
          <w:rStyle w:val="FootnoteReference"/>
          <w:szCs w:val="22"/>
        </w:rPr>
        <w:footnoteReference w:id="33"/>
      </w:r>
      <w:r>
        <w:rPr>
          <w:szCs w:val="22"/>
        </w:rPr>
        <w:t xml:space="preserve"> </w:t>
      </w:r>
    </w:p>
    <w:p w14:paraId="7DAC1380" w14:textId="5B7BA21C" w:rsidR="009A2F75" w:rsidRPr="00623780" w:rsidRDefault="009D2311" w:rsidP="009A2F75">
      <w:pPr>
        <w:pStyle w:val="Heading3"/>
        <w:rPr>
          <w:szCs w:val="22"/>
        </w:rPr>
      </w:pPr>
      <w:bookmarkStart w:id="28" w:name="_Ref_ContractCompanion_9kb9Ur048"/>
      <w:r>
        <w:rPr>
          <w:szCs w:val="22"/>
        </w:rPr>
        <w:t>The Company has reserved [__________] shares of Common Stock for issuance to officers, directors, employees and consultants of the Company pursuant to its [</w:t>
      </w:r>
      <w:r>
        <w:rPr>
          <w:i/>
          <w:iCs/>
          <w:szCs w:val="22"/>
        </w:rPr>
        <w:t xml:space="preserve">insert </w:t>
      </w:r>
      <w:r>
        <w:rPr>
          <w:i/>
          <w:szCs w:val="22"/>
        </w:rPr>
        <w:t>Plan Year and Name</w:t>
      </w:r>
      <w:r>
        <w:rPr>
          <w:szCs w:val="22"/>
        </w:rPr>
        <w:t>] Plan duly adopted by the Board of Directors and approved by the Company stockholders (the “</w:t>
      </w:r>
      <w:r>
        <w:rPr>
          <w:b/>
          <w:szCs w:val="22"/>
        </w:rPr>
        <w:t>Stock Plan</w:t>
      </w:r>
      <w:r>
        <w:rPr>
          <w:szCs w:val="22"/>
        </w:rPr>
        <w:t xml:space="preserve">”). Of such reserved shares of Common Stock, (i) [__________] shares have been issued pursuant to restricted stock purchase agreements and/or the exercise of options and are currently outstanding (and included as outstanding in </w:t>
      </w:r>
      <w:r>
        <w:rPr>
          <w:szCs w:val="22"/>
          <w:u w:val="single"/>
        </w:rPr>
        <w:t xml:space="preserve">Section </w:t>
      </w:r>
      <w:r>
        <w:rPr>
          <w:szCs w:val="22"/>
          <w:u w:val="single"/>
        </w:rPr>
        <w:fldChar w:fldCharType="begin"/>
      </w:r>
      <w:r>
        <w:rPr>
          <w:szCs w:val="22"/>
          <w:u w:val="single"/>
        </w:rPr>
        <w:instrText xml:space="preserve"> REF _Ref145428096 \w \h  \* MERGEFORMAT </w:instrText>
      </w:r>
      <w:r>
        <w:rPr>
          <w:szCs w:val="22"/>
          <w:u w:val="single"/>
        </w:rPr>
      </w:r>
      <w:r>
        <w:rPr>
          <w:szCs w:val="22"/>
          <w:u w:val="single"/>
        </w:rPr>
        <w:fldChar w:fldCharType="separate"/>
      </w:r>
      <w:r w:rsidR="008E009B">
        <w:rPr>
          <w:szCs w:val="22"/>
          <w:u w:val="single"/>
        </w:rPr>
        <w:t>2.2(a)(i)</w:t>
      </w:r>
      <w:r>
        <w:rPr>
          <w:szCs w:val="22"/>
          <w:u w:val="single"/>
        </w:rPr>
        <w:fldChar w:fldCharType="end"/>
      </w:r>
      <w:r>
        <w:rPr>
          <w:szCs w:val="22"/>
        </w:rPr>
        <w:t xml:space="preserve"> above), (ii) options to purchase [__________] shares have been granted and are currently outstanding, and (iii) [__________] shares of Common Stock remain available for issuance to officers, directors, employees and consultants pursuant to the Stock Plan, all of which remain uncommitted and unallocated. The Company has furnished to the Purchasers complete and accurate copies of the Stock Plan and forms of agreements used thereunder.</w:t>
      </w:r>
      <w:bookmarkStart w:id="29" w:name="_Ref146362483"/>
      <w:bookmarkEnd w:id="27"/>
      <w:bookmarkEnd w:id="28"/>
      <w:r>
        <w:rPr>
          <w:szCs w:val="22"/>
        </w:rPr>
        <w:t xml:space="preserve"> </w:t>
      </w:r>
    </w:p>
    <w:p w14:paraId="07853783" w14:textId="1DF78A58" w:rsidR="009D2311" w:rsidRPr="00623780" w:rsidRDefault="009D2311" w:rsidP="00771F9D">
      <w:pPr>
        <w:pStyle w:val="Heading3"/>
        <w:rPr>
          <w:szCs w:val="22"/>
        </w:rPr>
      </w:pPr>
      <w:bookmarkStart w:id="30" w:name="_Ref_ContractCompanion_9kb9Ur04A"/>
      <w:r>
        <w:rPr>
          <w:szCs w:val="22"/>
        </w:rPr>
        <w:lastRenderedPageBreak/>
        <w:t xml:space="preserve">[Section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sets forth the summary capitalization of the Company immediately following the [Initial] Closing including the aggregate number of shares of, or issuable pursuant to, each of the following: (i) issued and outstanding Common Stock, including, with respect to restricted Common Stock; (ii) outstanding stock options; (iii) shares of Common Stock reserved for future award grants under the Stock Plan; (iv) issued and outstanding Preferred Stock, by series; and (v) warrants or stock purchase rights, if any.]</w:t>
      </w:r>
      <w:r>
        <w:rPr>
          <w:rStyle w:val="FootnoteReference"/>
          <w:szCs w:val="22"/>
        </w:rPr>
        <w:footnoteReference w:id="34"/>
      </w:r>
      <w:r>
        <w:rPr>
          <w:szCs w:val="22"/>
        </w:rPr>
        <w:t xml:space="preserve"> Except for (A) the conversion privileges of the Shares to be issued under this Agreement, (B) the rights provided in Section 4 of the Investors’ Rights Agreement, and (C) the securities and rights described in </w:t>
      </w:r>
      <w:r>
        <w:rPr>
          <w:szCs w:val="22"/>
          <w:u w:val="single"/>
        </w:rPr>
        <w:t xml:space="preserve">Sections </w:t>
      </w:r>
      <w:r>
        <w:rPr>
          <w:szCs w:val="22"/>
          <w:u w:val="single"/>
        </w:rPr>
        <w:fldChar w:fldCharType="begin"/>
      </w:r>
      <w:r>
        <w:rPr>
          <w:szCs w:val="22"/>
          <w:u w:val="single"/>
        </w:rPr>
        <w:instrText xml:space="preserve"> REF _Ref_ContractCompanion_9kb9Ur046 \w \h \t \* MERGEFORMAT </w:instrText>
      </w:r>
      <w:r>
        <w:rPr>
          <w:szCs w:val="22"/>
          <w:u w:val="single"/>
        </w:rPr>
      </w:r>
      <w:r>
        <w:rPr>
          <w:szCs w:val="22"/>
          <w:u w:val="single"/>
        </w:rPr>
        <w:fldChar w:fldCharType="separate"/>
      </w:r>
      <w:r w:rsidR="008E009B">
        <w:rPr>
          <w:szCs w:val="22"/>
          <w:u w:val="single"/>
        </w:rPr>
        <w:t>2.2(a)(ii)</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_Ref_ContractCompanion_9kb9Ur048 \w \h \t \* MERGEFORMAT </w:instrText>
      </w:r>
      <w:r>
        <w:rPr>
          <w:szCs w:val="22"/>
          <w:u w:val="single"/>
        </w:rPr>
      </w:r>
      <w:r>
        <w:rPr>
          <w:szCs w:val="22"/>
          <w:u w:val="single"/>
        </w:rPr>
        <w:fldChar w:fldCharType="separate"/>
      </w:r>
      <w:r w:rsidR="008E009B">
        <w:rPr>
          <w:szCs w:val="22"/>
          <w:u w:val="single"/>
        </w:rPr>
        <w:t>2.2(b)</w:t>
      </w:r>
      <w:r>
        <w:rPr>
          <w:szCs w:val="22"/>
          <w:u w:val="single"/>
        </w:rPr>
        <w:fldChar w:fldCharType="end"/>
      </w:r>
      <w:r>
        <w:rPr>
          <w:szCs w:val="22"/>
        </w:rPr>
        <w:t xml:space="preserve"> of this Agreement and 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 days following the Company’s initial public offering pursuant to a registration statement filed with the Securities and Exchange Commission under the Securities Act.</w:t>
      </w:r>
      <w:bookmarkEnd w:id="29"/>
      <w:bookmarkEnd w:id="30"/>
    </w:p>
    <w:p w14:paraId="1CAF45CE" w14:textId="3206DEB8" w:rsidR="009D2311" w:rsidRPr="00623780" w:rsidRDefault="00EE1D7B" w:rsidP="00771F9D">
      <w:pPr>
        <w:pStyle w:val="Heading3"/>
        <w:rPr>
          <w:szCs w:val="22"/>
        </w:rPr>
      </w:pPr>
      <w:bookmarkStart w:id="31" w:name="_Hlk184375863"/>
      <w:bookmarkStart w:id="32" w:name="_Ref145512385"/>
      <w:bookmarkStart w:id="33" w:name="_Ref176516480"/>
      <w:r>
        <w:rPr>
          <w:szCs w:val="22"/>
        </w:rPr>
        <w:t xml:space="preserve">(i)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 of the Disclosure Schedule, all outstanding Common Stock and all stock options held by service providers are subject to a customary vesting schedule either (x) as to employees, [monthly] over four years with a one-year cliff, or (y) as to consultants, [monthly] over [___] months. (ii)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(ii) of the Disclosure Schedule, none of the Company’s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Company’s Stock Plan is not assumed in an acquisition. (iii) </w:t>
      </w:r>
      <w:bookmarkEnd w:id="31"/>
      <w:r>
        <w:rPr>
          <w:szCs w:val="22"/>
        </w:rPr>
        <w:t>The Company has never adjusted or amended the exercise price of any stock options previously awarded, whether through amendment, cancellation, replacement grant, repricing, or any other means. (iv) Except as set forth in the Restated Certificate, the Company has no obligation (contingent or otherwise) to purchase or redeem any of its capital stock.</w:t>
      </w:r>
      <w:bookmarkEnd w:id="32"/>
      <w:r>
        <w:rPr>
          <w:szCs w:val="22"/>
        </w:rPr>
        <w:t xml:space="preserve"> </w:t>
      </w:r>
      <w:r>
        <w:rPr>
          <w:rStyle w:val="FootnoteReference"/>
          <w:szCs w:val="22"/>
        </w:rPr>
        <w:footnoteReference w:id="35"/>
      </w:r>
      <w:bookmarkEnd w:id="33"/>
    </w:p>
    <w:p w14:paraId="57974C33" w14:textId="73AF5F82" w:rsidR="009D2311" w:rsidRPr="00623780" w:rsidRDefault="009D2311" w:rsidP="009244B2">
      <w:pPr>
        <w:pStyle w:val="Heading3"/>
        <w:rPr>
          <w:szCs w:val="22"/>
        </w:rPr>
      </w:pPr>
      <w:bookmarkStart w:id="34" w:name="_Ref145512416"/>
      <w:r>
        <w:rPr>
          <w:szCs w:val="22"/>
        </w:rPr>
        <w:t>The Company has obtained valid waivers of any rights by other parties to purchase any of the Shares covered by this Agreement.</w:t>
      </w:r>
      <w:bookmarkEnd w:id="34"/>
      <w:r>
        <w:rPr>
          <w:szCs w:val="22"/>
        </w:rPr>
        <w:t xml:space="preserve"> </w:t>
      </w:r>
      <w:bookmarkStart w:id="35" w:name="_Ref146432696"/>
      <w:bookmarkStart w:id="36" w:name="_Ref264024855"/>
    </w:p>
    <w:p w14:paraId="25039676" w14:textId="29F0010E" w:rsidR="00183D8F" w:rsidRPr="00623780" w:rsidRDefault="009D2311" w:rsidP="00AD384E">
      <w:pPr>
        <w:pStyle w:val="Heading2"/>
        <w:rPr>
          <w:vanish/>
          <w:szCs w:val="22"/>
          <w:specVanish/>
        </w:rPr>
      </w:pPr>
      <w:bookmarkStart w:id="37" w:name="_Ref431378651"/>
      <w:bookmarkStart w:id="38" w:name="_Ref_ContractCompanion_9kb9Ur02C"/>
      <w:r>
        <w:rPr>
          <w:szCs w:val="22"/>
          <w:u w:val="single"/>
        </w:rPr>
        <w:t>Subsidiaries</w:t>
      </w:r>
      <w:bookmarkEnd w:id="37"/>
    </w:p>
    <w:p w14:paraId="2BB7414D" w14:textId="065095CC" w:rsidR="00666D11" w:rsidRPr="00623780" w:rsidRDefault="009244B2" w:rsidP="00150A0F">
      <w:pPr>
        <w:pStyle w:val="HeadingPara2"/>
        <w:rPr>
          <w:szCs w:val="22"/>
        </w:rPr>
      </w:pPr>
      <w:r>
        <w:rPr>
          <w:szCs w:val="22"/>
        </w:rPr>
        <w:t>.</w:t>
      </w:r>
      <w:r>
        <w:rPr>
          <w:rStyle w:val="FootnoteReference"/>
          <w:szCs w:val="22"/>
        </w:rPr>
        <w:footnoteReference w:id="36"/>
      </w:r>
      <w:bookmarkEnd w:id="35"/>
      <w:r>
        <w:rPr>
          <w:szCs w:val="22"/>
        </w:rPr>
        <w:t xml:space="preserve"> The Company does not currently own or control, directly or indirectly, any interest in any other corporation, partnership, trust, joint venture, limited liability company, association, or other business entity (each, a “</w:t>
      </w:r>
      <w:r>
        <w:rPr>
          <w:b/>
          <w:bCs/>
          <w:szCs w:val="22"/>
        </w:rPr>
        <w:t>subsidiary</w:t>
      </w:r>
      <w:r>
        <w:rPr>
          <w:szCs w:val="22"/>
        </w:rPr>
        <w:t xml:space="preserve">”).  To the extent the Company has one or more subsidiaries, each </w:t>
      </w:r>
      <w:r>
        <w:rPr>
          <w:szCs w:val="22"/>
        </w:rPr>
        <w:lastRenderedPageBreak/>
        <w:t>subsidiary is wholly owned by the Company. The Company is not a participant in any joint venture, partnership or similar arrangement.</w:t>
      </w:r>
      <w:bookmarkStart w:id="39" w:name="_Ref146432697"/>
      <w:bookmarkStart w:id="40" w:name="_Ref264024891"/>
      <w:bookmarkEnd w:id="36"/>
      <w:bookmarkEnd w:id="38"/>
    </w:p>
    <w:p w14:paraId="1C267C00" w14:textId="77652F41" w:rsidR="00183D8F" w:rsidRPr="00623780" w:rsidRDefault="009D2311" w:rsidP="00445237">
      <w:pPr>
        <w:pStyle w:val="Heading2"/>
        <w:rPr>
          <w:vanish/>
          <w:szCs w:val="22"/>
          <w:specVanish/>
        </w:rPr>
      </w:pPr>
      <w:bookmarkStart w:id="41" w:name="_Ref431378660"/>
      <w:bookmarkStart w:id="42" w:name="_Ref_ContractCompanion_9kb9Ur035"/>
      <w:r>
        <w:rPr>
          <w:szCs w:val="22"/>
          <w:u w:val="single"/>
        </w:rPr>
        <w:t>Authorization</w:t>
      </w:r>
      <w:bookmarkEnd w:id="41"/>
    </w:p>
    <w:p w14:paraId="2C1DB9D1" w14:textId="088EE6B7" w:rsidR="00666D11" w:rsidRPr="00623780" w:rsidRDefault="009244B2" w:rsidP="00150A0F">
      <w:pPr>
        <w:pStyle w:val="HeadingPara2"/>
        <w:rPr>
          <w:szCs w:val="22"/>
        </w:rPr>
      </w:pPr>
      <w:r>
        <w:rPr>
          <w:szCs w:val="22"/>
        </w:rPr>
        <w:t>.</w:t>
      </w:r>
      <w:bookmarkEnd w:id="39"/>
      <w:r>
        <w:rPr>
          <w:szCs w:val="22"/>
        </w:rPr>
        <w:t xml:space="preserve"> All corporate action required to be taken by the Board of Directors and the Company’s stockholders in order to authorize the Company to enter into the Transaction Agreements, and to issue the Shares at the [applicable]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[applicable] Closing, and the issuance and delivery of the Shares has been taken[ or will be taken prior to the [applicable] 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 rights generally; (ii) as limited by laws relating to the availability of specific performance, injunctive relief or other equitable remedies; or (iii) to the extent the indemnification provisions contained in the Investors’ Rights Agreement and the Indemnification Agreement may be limited by applicable federal or state securities laws.</w:t>
      </w:r>
      <w:bookmarkStart w:id="43" w:name="_Ref146432700"/>
      <w:bookmarkStart w:id="44" w:name="_Ref264024900"/>
      <w:bookmarkEnd w:id="40"/>
      <w:bookmarkEnd w:id="42"/>
    </w:p>
    <w:p w14:paraId="273D5A9E" w14:textId="7FD2C127" w:rsidR="00183D8F" w:rsidRPr="00623780" w:rsidRDefault="009D2311" w:rsidP="00FA0B19">
      <w:pPr>
        <w:pStyle w:val="Heading2"/>
        <w:rPr>
          <w:vanish/>
          <w:szCs w:val="22"/>
          <w:specVanish/>
        </w:rPr>
      </w:pPr>
      <w:bookmarkStart w:id="45" w:name="_Ref431378670"/>
      <w:bookmarkStart w:id="46" w:name="_Ref_ContractCompanion_9kb9Ur037"/>
      <w:r>
        <w:rPr>
          <w:szCs w:val="22"/>
          <w:u w:val="single"/>
        </w:rPr>
        <w:t>Valid Issuance of Shares</w:t>
      </w:r>
      <w:bookmarkEnd w:id="45"/>
    </w:p>
    <w:p w14:paraId="22F382DA" w14:textId="22240443" w:rsidR="00666D11" w:rsidRPr="00623780" w:rsidRDefault="009244B2" w:rsidP="00150A0F">
      <w:pPr>
        <w:pStyle w:val="HeadingPara2"/>
        <w:rPr>
          <w:szCs w:val="22"/>
        </w:rPr>
      </w:pPr>
      <w:r>
        <w:rPr>
          <w:szCs w:val="22"/>
        </w:rPr>
        <w:t>.</w:t>
      </w:r>
      <w:r>
        <w:rPr>
          <w:rStyle w:val="FootnoteReference"/>
          <w:szCs w:val="22"/>
        </w:rPr>
        <w:footnoteReference w:id="37"/>
      </w:r>
      <w:bookmarkEnd w:id="43"/>
      <w:r>
        <w:rPr>
          <w:szCs w:val="22"/>
        </w:rPr>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subject to the filings described in </w:t>
      </w:r>
      <w:r>
        <w:rPr>
          <w:szCs w:val="22"/>
          <w:u w:val="single"/>
        </w:rPr>
        <w:t xml:space="preserve">Section </w:t>
      </w:r>
      <w:r>
        <w:rPr>
          <w:szCs w:val="22"/>
          <w:u w:val="single"/>
        </w:rPr>
        <w:fldChar w:fldCharType="begin"/>
      </w:r>
      <w:r>
        <w:rPr>
          <w:szCs w:val="22"/>
          <w:u w:val="single"/>
        </w:rPr>
        <w:instrText xml:space="preserve"> REF _Ref431378679 \w \h  \* MERGEFORMAT </w:instrText>
      </w:r>
      <w:r>
        <w:rPr>
          <w:szCs w:val="22"/>
          <w:u w:val="single"/>
        </w:rPr>
      </w:r>
      <w:r>
        <w:rPr>
          <w:szCs w:val="22"/>
          <w:u w:val="single"/>
        </w:rPr>
        <w:fldChar w:fldCharType="separate"/>
      </w:r>
      <w:r w:rsidR="008E009B">
        <w:rPr>
          <w:szCs w:val="22"/>
          <w:u w:val="single"/>
        </w:rPr>
        <w:t>2.6</w:t>
      </w:r>
      <w:r>
        <w:rPr>
          <w:szCs w:val="22"/>
          <w:u w:val="single"/>
        </w:rPr>
        <w:fldChar w:fldCharType="end"/>
      </w:r>
      <w:r>
        <w:rPr>
          <w:szCs w:val="22"/>
        </w:rPr>
        <w:t xml:space="preserve"> below,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in the Voting Agreement, the Common Stock issuable upon conversion of the Shares will be issued in compliance with all applicable federal and state securities laws.</w:t>
      </w:r>
      <w:bookmarkEnd w:id="44"/>
      <w:r>
        <w:rPr>
          <w:szCs w:val="22"/>
        </w:rPr>
        <w:t xml:space="preserve"> </w:t>
      </w:r>
      <w:bookmarkEnd w:id="46"/>
    </w:p>
    <w:p w14:paraId="0592E951" w14:textId="5348EEC7" w:rsidR="00183D8F" w:rsidRPr="00623780" w:rsidRDefault="009D2311" w:rsidP="005A262C">
      <w:pPr>
        <w:pStyle w:val="Heading2"/>
        <w:rPr>
          <w:vanish/>
          <w:szCs w:val="22"/>
          <w:specVanish/>
        </w:rPr>
      </w:pPr>
      <w:bookmarkStart w:id="47" w:name="_Ref431378679"/>
      <w:bookmarkStart w:id="48" w:name="_Ref146432701"/>
      <w:bookmarkStart w:id="49" w:name="_Ref146432803"/>
      <w:bookmarkStart w:id="50" w:name="_Ref146432826"/>
      <w:bookmarkStart w:id="51" w:name="_Ref_ContractCompanion_9kb9Ur03B"/>
      <w:bookmarkStart w:id="52" w:name="_Ref_ContractCompanion_9kb9Ur013"/>
      <w:r>
        <w:rPr>
          <w:szCs w:val="22"/>
          <w:u w:val="single"/>
        </w:rPr>
        <w:t>Governmental Consents and Filings</w:t>
      </w:r>
      <w:bookmarkEnd w:id="47"/>
    </w:p>
    <w:p w14:paraId="2C3CA327" w14:textId="0F6B45B0" w:rsidR="00612BFB" w:rsidRPr="00623780" w:rsidRDefault="009244B2" w:rsidP="00150A0F">
      <w:pPr>
        <w:pStyle w:val="HeadingPara2"/>
        <w:rPr>
          <w:szCs w:val="22"/>
        </w:rPr>
      </w:pPr>
      <w:r>
        <w:rPr>
          <w:szCs w:val="22"/>
        </w:rPr>
        <w:t>.</w:t>
      </w:r>
      <w:bookmarkEnd w:id="48"/>
      <w:bookmarkEnd w:id="49"/>
      <w:bookmarkEnd w:id="50"/>
      <w:r>
        <w:rPr>
          <w:szCs w:val="22"/>
        </w:rPr>
        <w:t xml:space="preserve"> Assuming the accuracy of the representations made by the Purchasers in </w:t>
      </w:r>
      <w:r>
        <w:rPr>
          <w:szCs w:val="22"/>
          <w:u w:val="single"/>
        </w:rPr>
        <w:t>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w:t>
      </w:r>
      <w:r>
        <w:rPr>
          <w:szCs w:val="22"/>
        </w:rPr>
        <w:lastRenderedPageBreak/>
        <w:t>filed as of the [Initial] Closing, and (ii)]</w:t>
      </w:r>
      <w:r>
        <w:rPr>
          <w:rStyle w:val="FootnoteReference"/>
          <w:szCs w:val="22"/>
        </w:rPr>
        <w:footnoteReference w:id="38"/>
      </w:r>
      <w:r>
        <w:rPr>
          <w:szCs w:val="22"/>
        </w:rPr>
        <w:t xml:space="preserve"> filings pursuant to applicable securities laws, which have been made or will be made in a timely manner.</w:t>
      </w:r>
      <w:bookmarkStart w:id="53" w:name="_Ref431380143"/>
      <w:bookmarkEnd w:id="51"/>
      <w:bookmarkEnd w:id="52"/>
    </w:p>
    <w:p w14:paraId="62A7D718" w14:textId="2FFD1AA4" w:rsidR="00183D8F" w:rsidRPr="00623780" w:rsidRDefault="009D2311" w:rsidP="005D5505">
      <w:pPr>
        <w:pStyle w:val="Heading2"/>
        <w:rPr>
          <w:vanish/>
          <w:szCs w:val="22"/>
          <w:specVanish/>
        </w:rPr>
      </w:pPr>
      <w:r>
        <w:rPr>
          <w:szCs w:val="22"/>
          <w:u w:val="single"/>
        </w:rPr>
        <w:t>Litigation</w:t>
      </w:r>
      <w:bookmarkEnd w:id="53"/>
    </w:p>
    <w:p w14:paraId="4A35CCF5" w14:textId="000069B3" w:rsidR="005D5505" w:rsidRPr="00623780" w:rsidRDefault="009D2311" w:rsidP="00150A0F">
      <w:pPr>
        <w:pStyle w:val="HeadingPara2"/>
        <w:rPr>
          <w:szCs w:val="22"/>
        </w:rPr>
      </w:pPr>
      <w:r>
        <w:rPr>
          <w:szCs w:val="22"/>
        </w:rPr>
        <w:t>.</w:t>
      </w:r>
      <w:r>
        <w:rPr>
          <w:rStyle w:val="FootnoteReference"/>
          <w:szCs w:val="22"/>
        </w:rPr>
        <w:footnoteReference w:id="39"/>
      </w:r>
      <w:r>
        <w:rPr>
          <w:szCs w:val="22"/>
        </w:rPr>
        <w:t xml:space="preserve"> There is no claim, action, suit, proceeding, arbitration, complaint, charge or investigation</w:t>
      </w:r>
      <w:r>
        <w:rPr>
          <w:rStyle w:val="FootnoteReference"/>
          <w:szCs w:val="22"/>
        </w:rPr>
        <w:footnoteReference w:id="40"/>
      </w:r>
      <w:r>
        <w:rPr>
          <w:szCs w:val="22"/>
        </w:rPr>
        <w:t xml:space="preserve"> pending or to the Company’s knowledge, currently threatened (i) against the Company or any Officer or director of the Company arising out of their employment or Board of Directors relationship with the Company; (ii) to the Company’s knowledge, that questions the validity of the Transaction Agreements or the right of the Company to enter into them, or to consummate the transactions contemplated by the Transaction Agreements; or (iii) that would reasonably be expected to have, either individually or in the aggregate, a Material Adverse Effect. Neither the Company nor, to the Company’s knowledge, any of its Officers or directors is a party or is named as subject to the provisions of any order, writ, injunction, judgment or decree of any court or government agency or instrumentality (in the case of Officers or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Company’s employees, their services provided in connection with the Company’s business, any information or techniques allegedly proprietary to any of their former employers or their obligations under any agreements with prior employers.</w:t>
      </w:r>
      <w:bookmarkStart w:id="54" w:name="_Ref146432845"/>
      <w:bookmarkStart w:id="55" w:name="_Ref264024928"/>
    </w:p>
    <w:p w14:paraId="0D82CF6B" w14:textId="1BF3D0F5" w:rsidR="002E2E2B" w:rsidRPr="00623780" w:rsidRDefault="002E2E2B" w:rsidP="005D5505">
      <w:pPr>
        <w:pStyle w:val="Heading2"/>
        <w:widowControl w:val="0"/>
        <w:spacing w:after="120"/>
        <w:rPr>
          <w:vanish/>
          <w:szCs w:val="22"/>
          <w:specVanish/>
        </w:rPr>
      </w:pPr>
      <w:bookmarkStart w:id="56" w:name="_Ref431380044"/>
      <w:bookmarkStart w:id="57" w:name="_Ref145428055"/>
      <w:bookmarkStart w:id="58" w:name="_Ref264024941"/>
      <w:bookmarkStart w:id="59" w:name="_Ref_ContractCompanion_9kb9Ur07D"/>
      <w:bookmarkEnd w:id="54"/>
      <w:bookmarkEnd w:id="55"/>
      <w:r>
        <w:rPr>
          <w:szCs w:val="22"/>
          <w:u w:val="single"/>
        </w:rPr>
        <w:t>Intellectual Property</w:t>
      </w:r>
      <w:bookmarkEnd w:id="56"/>
      <w:r>
        <w:rPr>
          <w:szCs w:val="22"/>
        </w:rPr>
        <w:t>.</w:t>
      </w:r>
      <w:bookmarkEnd w:id="57"/>
    </w:p>
    <w:p w14:paraId="3ADC8942" w14:textId="0E8D82D9" w:rsidR="00183D8F" w:rsidRPr="00623780" w:rsidRDefault="00183D8F" w:rsidP="00150A0F">
      <w:pPr>
        <w:pStyle w:val="HeadingPara2"/>
        <w:rPr>
          <w:szCs w:val="22"/>
        </w:rPr>
      </w:pPr>
    </w:p>
    <w:p w14:paraId="579DFF24" w14:textId="73A41680" w:rsidR="002E2E2B" w:rsidRPr="00623780" w:rsidRDefault="0014297A" w:rsidP="005D5505">
      <w:pPr>
        <w:pStyle w:val="Heading3"/>
        <w:rPr>
          <w:szCs w:val="22"/>
        </w:rPr>
      </w:pPr>
      <w:bookmarkStart w:id="60" w:name="_Ref146111510"/>
      <w:r>
        <w:rPr>
          <w:szCs w:val="22"/>
        </w:rPr>
        <w:t xml:space="preserve">The Company owns, possesses, has developed, or has acquired on commercially reasonable terms, legal rights to all Company Intellectual Property sufficient to carry out its business as now conducted; </w:t>
      </w:r>
      <w:r>
        <w:rPr>
          <w:szCs w:val="22"/>
          <w:u w:val="single"/>
        </w:rPr>
        <w:t>provided</w:t>
      </w:r>
      <w:r>
        <w:rPr>
          <w:szCs w:val="22"/>
        </w:rPr>
        <w:t xml:space="preserve"> that the foregoing representation is made to the Company’s knowledge [with respect to patents and trademarks].</w:t>
      </w:r>
      <w:r>
        <w:rPr>
          <w:rStyle w:val="FootnoteReference"/>
          <w:szCs w:val="22"/>
        </w:rPr>
        <w:footnoteReference w:id="41"/>
      </w:r>
      <w:r>
        <w:rPr>
          <w:szCs w:val="22"/>
        </w:rPr>
        <w:t xml:space="preserve"> </w:t>
      </w:r>
      <w:r>
        <w:rPr>
          <w:rStyle w:val="FootnoteReference"/>
          <w:szCs w:val="22"/>
        </w:rPr>
        <w:footnoteReference w:id="42"/>
      </w:r>
      <w:bookmarkEnd w:id="60"/>
    </w:p>
    <w:p w14:paraId="4ECEB833" w14:textId="790021FC" w:rsidR="008648FF" w:rsidRPr="00623780" w:rsidRDefault="002E2E2B" w:rsidP="002E2E2B">
      <w:pPr>
        <w:pStyle w:val="Heading3"/>
        <w:widowControl w:val="0"/>
        <w:spacing w:after="120"/>
        <w:rPr>
          <w:szCs w:val="22"/>
        </w:rPr>
      </w:pPr>
      <w:bookmarkStart w:id="61" w:name="_Ref146111521"/>
      <w:r>
        <w:rPr>
          <w:szCs w:val="22"/>
        </w:rPr>
        <w:t xml:space="preserve">No past or current product or service or activity of the Company has infringed or violated, or infringes or otherwise violates any Intellectual Property Rights of a third Person; </w:t>
      </w:r>
      <w:r>
        <w:rPr>
          <w:szCs w:val="22"/>
          <w:u w:val="single"/>
        </w:rPr>
        <w:t>provided</w:t>
      </w:r>
      <w:r>
        <w:rPr>
          <w:szCs w:val="22"/>
        </w:rPr>
        <w:t xml:space="preserve"> that the foregoing representation is made to the Company’s knowledge [with respect to patents and trademarks].</w:t>
      </w:r>
      <w:bookmarkEnd w:id="61"/>
      <w:r>
        <w:rPr>
          <w:szCs w:val="22"/>
        </w:rPr>
        <w:t xml:space="preserve"> </w:t>
      </w:r>
    </w:p>
    <w:p w14:paraId="6351F266" w14:textId="1524B98F" w:rsidR="002E2E2B" w:rsidRPr="00623780" w:rsidRDefault="002E2E2B" w:rsidP="002E2E2B">
      <w:pPr>
        <w:pStyle w:val="Heading3"/>
        <w:widowControl w:val="0"/>
        <w:spacing w:after="120"/>
        <w:rPr>
          <w:szCs w:val="22"/>
        </w:rPr>
      </w:pPr>
      <w:r>
        <w:rPr>
          <w:szCs w:val="22"/>
        </w:rPr>
        <w:lastRenderedPageBreak/>
        <w:t xml:space="preserve">To the Company’s knowledge, by conducting the Company’s business as currently conducted or as presently proposed, the Company would not infringe or violate any of the Intellectual Property Rights of a third Person. The Company has not received any unsolicited offers to license any Intellectual Property Rights from any third Person. </w:t>
      </w:r>
    </w:p>
    <w:p w14:paraId="59CD2997" w14:textId="3CEF63EA" w:rsidR="002E2E2B" w:rsidRPr="00623780" w:rsidRDefault="002E2E2B" w:rsidP="005D5505">
      <w:pPr>
        <w:pStyle w:val="Heading3"/>
        <w:rPr>
          <w:szCs w:val="22"/>
        </w:rPr>
      </w:pPr>
      <w:r>
        <w:rPr>
          <w:szCs w:val="22"/>
        </w:rPr>
        <w:t>To the Company’s knowledge, no third Person is presently infringing any Company-Controlled Intellectual Property in a way that is expected to have a Material Adverse Effect.</w:t>
      </w:r>
    </w:p>
    <w:p w14:paraId="2EC16D55" w14:textId="64156E2F" w:rsidR="002E2E2B" w:rsidRPr="00623780" w:rsidRDefault="002E2E2B" w:rsidP="002E2E2B">
      <w:pPr>
        <w:pStyle w:val="Heading3"/>
        <w:widowControl w:val="0"/>
        <w:spacing w:after="120"/>
        <w:rPr>
          <w:szCs w:val="22"/>
        </w:rPr>
      </w:pPr>
      <w:r>
        <w:rPr>
          <w:szCs w:val="22"/>
        </w:rPr>
        <w:t>Other than pursuant to: (i) standard end-user license or services agreements for the Company’s products and services on substantially the Company’s standard forms made available to the Purchasers; (ii)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(iii) nonexclusive feedback licenses and nonexclusive licenses to use trademarks, in each case that are incidental to the subject matter of the applicable agreement in which they are incorporated; and (iv) licenses to a service provider solely for the purpose of allowing such service provider to provide services to the Company (collectively, “</w:t>
      </w:r>
      <w:r>
        <w:rPr>
          <w:b/>
          <w:szCs w:val="22"/>
        </w:rPr>
        <w:t>Standard Outbound Agreements</w:t>
      </w:r>
      <w:r>
        <w:rPr>
          <w:szCs w:val="22"/>
        </w:rPr>
        <w:t xml:space="preserve">”), the Company has not granted to a third Person any options, licenses, covenants not to assert, agreements, claims, encumbrances or shared ownership interests of any kind relating to the Company-Controlled Intellectual Property that are material to the Company’s business as now conducted. </w:t>
      </w:r>
    </w:p>
    <w:p w14:paraId="4D8C29CC" w14:textId="626A0537" w:rsidR="002E2E2B" w:rsidRPr="00623780" w:rsidRDefault="002E2E2B" w:rsidP="005D5505">
      <w:pPr>
        <w:pStyle w:val="Heading3"/>
        <w:rPr>
          <w:szCs w:val="22"/>
        </w:rPr>
      </w:pPr>
      <w:bookmarkStart w:id="62" w:name="_Ref145512574"/>
      <w:r>
        <w:rPr>
          <w:szCs w:val="22"/>
        </w:rPr>
        <w:t>Other than pursuant to: (i) standard license or services agreements for commercially available software products and cloud services non-exclusively licensed to Company under standard terms[, which products and cloud services are not incorporated into the Company’s products or services]</w:t>
      </w:r>
      <w:r>
        <w:rPr>
          <w:rStyle w:val="FootnoteReference"/>
          <w:szCs w:val="22"/>
        </w:rPr>
        <w:footnoteReference w:id="43"/>
      </w:r>
      <w:r>
        <w:rPr>
          <w:szCs w:val="22"/>
        </w:rPr>
        <w:t>; (ii) backup licenses from employees and contractors granted in connection with providing services to the Company; (iii) licenses to Open Source Software; (iv)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(v) nonexclusive feedback licenses and nonexclusive licenses to use trademarks, in each case that are incidental to the subject matter of the applicable agreement in which they are incorporated; and (vi) licenses to the Company solely for the purpose of enabling the Company to provide services to the licensor (collectively, “</w:t>
      </w:r>
      <w:r>
        <w:rPr>
          <w:b/>
          <w:szCs w:val="22"/>
        </w:rPr>
        <w:t>Standard Inbound Agreements</w:t>
      </w:r>
      <w:r>
        <w:rPr>
          <w:szCs w:val="22"/>
        </w:rPr>
        <w:t>”), the Company is not bound by or a party to any options, licenses, covenants not to assert or other grants or agreements of any kind with respect to Intellectual Property Rights of any third Person that are material to the Company’s business as now conducted.</w:t>
      </w:r>
      <w:bookmarkEnd w:id="62"/>
      <w:r>
        <w:rPr>
          <w:szCs w:val="22"/>
        </w:rPr>
        <w:t xml:space="preserve"> </w:t>
      </w:r>
    </w:p>
    <w:p w14:paraId="3E899455" w14:textId="77777777" w:rsidR="00D601F7" w:rsidRPr="00623780" w:rsidRDefault="002E2E2B" w:rsidP="009727FA">
      <w:pPr>
        <w:pStyle w:val="Heading3"/>
        <w:rPr>
          <w:szCs w:val="22"/>
        </w:rPr>
      </w:pPr>
      <w:r>
        <w:rPr>
          <w:szCs w:val="22"/>
        </w:rPr>
        <w:t>The Company has taken commercially reasonable measures to maintain and protect all confidential information and trade secrets of the Company that the Company intended to maintain as confidential or a trade secret. To the Company’s knowledge, [except as would not reasonably be expected to result in a Material Adverse Effect], there has been no unlawful, accidental or unauthorized access to or use or disclosure of any confidential information and trade secrets of the Company that the Company intended to maintain as confidential or a trade secret.</w:t>
      </w:r>
      <w:bookmarkStart w:id="63" w:name="_Ref145428208"/>
    </w:p>
    <w:p w14:paraId="5E57D5C4" w14:textId="18570D87" w:rsidR="002E2E2B" w:rsidRPr="00623780" w:rsidRDefault="00585193" w:rsidP="009727FA">
      <w:pPr>
        <w:pStyle w:val="Heading3"/>
        <w:rPr>
          <w:szCs w:val="22"/>
        </w:rPr>
      </w:pPr>
      <w:r>
        <w:rPr>
          <w:szCs w:val="22"/>
        </w:rPr>
        <w:t xml:space="preserve">(i) Each current and former employee of the Company has assigned to the Company all Intellectual Property Rights that such employee has solely or jointly conceived, reduced to practice, developed, or made during the period of employment with the Company that: (A) relate, at the time of conception, reduction to practice, development, or making of such Intellectual Property Right, to </w:t>
      </w:r>
      <w:r>
        <w:rPr>
          <w:szCs w:val="22"/>
        </w:rPr>
        <w:lastRenderedPageBreak/>
        <w:t>the Company’s business as then conducted or as then proposed to be conducted; (B) were developed on any amount of the Company’s time or with the use of any of the Company’s equipment, supplies, facilities or information; or (C) resulted from such individual’s performance of services for the Company. (ii) 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 resulted from such consultant’s performance of services for the Company.</w:t>
      </w:r>
      <w:r>
        <w:rPr>
          <w:rStyle w:val="FootnoteReference"/>
          <w:szCs w:val="22"/>
        </w:rPr>
        <w:footnoteReference w:id="44"/>
      </w:r>
      <w:r>
        <w:rPr>
          <w:szCs w:val="22"/>
        </w:rPr>
        <w:t xml:space="preserve"> (iii) 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Pr>
          <w:b/>
          <w:szCs w:val="22"/>
        </w:rPr>
        <w:t>Confidential Information Agreements</w:t>
      </w:r>
      <w:r>
        <w:rPr>
          <w:szCs w:val="22"/>
        </w:rPr>
        <w:t>”). (</w:t>
      </w:r>
      <w:bookmarkStart w:id="64" w:name="_Hlk184376139"/>
      <w:r>
        <w:rPr>
          <w:szCs w:val="22"/>
        </w:rPr>
        <w:t>iv) No such employee or consultant has excluded Intellectual Property Rights from the assignment of Intellectual Property Rights pursuant to such Person’s Confidential Information Agreement, which excluded Intellectual Property Rights would be material to the Company in the conduct of the Company’s business as now conducted or currently proposed to be conducted.</w:t>
      </w:r>
      <w:r>
        <w:rPr>
          <w:rStyle w:val="FootnoteReference"/>
          <w:szCs w:val="22"/>
        </w:rPr>
        <w:footnoteReference w:id="45"/>
      </w:r>
      <w:r>
        <w:rPr>
          <w:szCs w:val="22"/>
        </w:rPr>
        <w:t xml:space="preserve"> (v) </w:t>
      </w:r>
      <w:bookmarkEnd w:id="64"/>
      <w:r>
        <w:rPr>
          <w:szCs w:val="22"/>
        </w:rPr>
        <w:t>The Company is not aware that any current or former employee or consultant is in violation of any Confidential Information Agreement.</w:t>
      </w:r>
      <w:bookmarkEnd w:id="63"/>
      <w:r>
        <w:rPr>
          <w:szCs w:val="22"/>
        </w:rPr>
        <w:t xml:space="preserve"> </w:t>
      </w:r>
    </w:p>
    <w:p w14:paraId="6AB09CBD" w14:textId="44854294" w:rsidR="002E2E2B" w:rsidRPr="00623780" w:rsidRDefault="002E2E2B" w:rsidP="002E2E2B">
      <w:pPr>
        <w:pStyle w:val="Heading3"/>
        <w:widowControl w:val="0"/>
        <w:spacing w:after="120"/>
        <w:rPr>
          <w:szCs w:val="22"/>
        </w:rPr>
      </w:pPr>
      <w:bookmarkStart w:id="65" w:name="_Ref_ContractCompanion_9kb9Ur02A"/>
      <w:r>
        <w:rPr>
          <w:szCs w:val="22"/>
        </w:rPr>
        <w:t xml:space="preserve">The Company has not embedded, used, linked or distributed any open source, software, technologies or other materials that are licensed or distributed under any license arrangement or other distribution model qualifying for the “Open Source” definition promulgated by the Open Source Initiative at </w:t>
      </w:r>
      <w:r>
        <w:rPr>
          <w:rStyle w:val="Hyperlink"/>
          <w:color w:val="auto"/>
          <w:szCs w:val="22"/>
          <w:u w:val="none"/>
        </w:rPr>
        <w:t>www.opensource.org/osd</w:t>
      </w:r>
      <w:r>
        <w:rPr>
          <w:szCs w:val="22"/>
        </w:rPr>
        <w:t xml:space="preserve"> or any other public domain or “community” (or similar) materials (collectively “</w:t>
      </w:r>
      <w:r>
        <w:rPr>
          <w:b/>
          <w:szCs w:val="22"/>
        </w:rPr>
        <w:t>Open Source Software</w:t>
      </w:r>
      <w:r>
        <w:rPr>
          <w:szCs w:val="22"/>
        </w:rPr>
        <w:t>”) in connection with any of its products or services or proprietary materials in any manner that requires, or purports to require, (i) any material software code owned or authored by or on behalf of the Company (“</w:t>
      </w:r>
      <w:r>
        <w:rPr>
          <w:b/>
          <w:bCs/>
          <w:szCs w:val="22"/>
        </w:rPr>
        <w:t>Company Code</w:t>
      </w:r>
      <w:r>
        <w:rPr>
          <w:szCs w:val="22"/>
        </w:rPr>
        <w:t>”) to be disclosed or distributed in source code form or be licensed for the purpose of making derivative works; (ii) any restriction on the consideration to be charged for the distribution of any such Company Code; (iii) the grant to any third Person of any rights or immunities under material Company-Controlled Intellectual Property; or (iv) any other material limitation, restriction or condition on the right of the Company with respect to its use or distribution of any material Company-Controlled Intellectual Property (other than attribution, warranty and liability disclaimer, and notice delivery conditions). The Company is in [material] compliance with all licenses for Open Source Software that it embeds, links to, uses or distributes.</w:t>
      </w:r>
      <w:r>
        <w:rPr>
          <w:rStyle w:val="FootnoteReference"/>
          <w:szCs w:val="22"/>
        </w:rPr>
        <w:footnoteReference w:id="46"/>
      </w:r>
      <w:r>
        <w:rPr>
          <w:szCs w:val="22"/>
        </w:rPr>
        <w:t xml:space="preserve"> </w:t>
      </w:r>
      <w:bookmarkStart w:id="66" w:name="_Ref137575911"/>
      <w:bookmarkEnd w:id="65"/>
    </w:p>
    <w:p w14:paraId="1479E504" w14:textId="27C37D82" w:rsidR="002E2E2B" w:rsidRPr="00623780" w:rsidRDefault="002E2E2B" w:rsidP="005D5505">
      <w:pPr>
        <w:pStyle w:val="Heading3"/>
        <w:rPr>
          <w:szCs w:val="22"/>
        </w:rPr>
      </w:pPr>
      <w:bookmarkStart w:id="67" w:name="_Ref137598301"/>
      <w:r>
        <w:rPr>
          <w:szCs w:val="22"/>
        </w:rPr>
        <w:lastRenderedPageBreak/>
        <w:t>No government funding, facilities of a university, college, hospital, foundation, other educational institution or research center, or other funding from third Persons provided specifically for research and development was used in the development of any Company</w:t>
      </w:r>
      <w:r>
        <w:rPr>
          <w:szCs w:val="22"/>
        </w:rPr>
        <w:noBreakHyphen/>
        <w:t>Controlled Intellectual Property in a manner that has resulted in such entity retaining any claim of ownership or right to use any such Company-Controlled Intellectual Property. To the Company’s knowledge, no Person who was involved in, or who contributed to, the creation or development of any Company</w:t>
      </w:r>
      <w:r>
        <w:rPr>
          <w:szCs w:val="22"/>
        </w:rPr>
        <w:noBreakHyphen/>
        <w:t>Controlled Intellectual Property, has performed services for the government, university, college, hospital, foundation, or other educational institution or research center in a manner that would affect Company’s rights in the Company</w:t>
      </w:r>
      <w:r>
        <w:rPr>
          <w:szCs w:val="22"/>
        </w:rPr>
        <w:noBreakHyphen/>
        <w:t>Controlled Intellectual Property.</w:t>
      </w:r>
      <w:bookmarkEnd w:id="66"/>
      <w:bookmarkEnd w:id="67"/>
    </w:p>
    <w:p w14:paraId="64F36153" w14:textId="567ED653" w:rsidR="005F4C82" w:rsidRDefault="002E2E2B" w:rsidP="005F4C82">
      <w:pPr>
        <w:pStyle w:val="Heading3"/>
        <w:widowControl w:val="0"/>
        <w:spacing w:after="120"/>
        <w:rPr>
          <w:szCs w:val="22"/>
        </w:rPr>
      </w:pPr>
      <w:r>
        <w:rPr>
          <w:szCs w:val="22"/>
        </w:rPr>
        <w:t>[</w:t>
      </w:r>
      <w:r>
        <w:rPr>
          <w:szCs w:val="22"/>
          <w:u w:val="single"/>
        </w:rPr>
        <w:t>Generative AI</w:t>
      </w:r>
      <w:r>
        <w:rPr>
          <w:szCs w:val="22"/>
        </w:rPr>
        <w:t>. (i) The Company uses all Generative AI Tools (as defined below) in [material] compliance with the applicable license terms, consents, agreements and laws. (ii) 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(iii) The Company has not used Generative AI Tools to develop any material Company-Controlled Intellectual Property that the Company intended to maintain as proprietary in a manner that it believes would materially affect the Company’s ownership or rights therein. (iv) For purposes hereof, “</w:t>
      </w:r>
      <w:r>
        <w:rPr>
          <w:b/>
          <w:bCs/>
          <w:szCs w:val="22"/>
        </w:rPr>
        <w:t>Generative AI Tools</w:t>
      </w:r>
      <w:r>
        <w:rPr>
          <w:szCs w:val="22"/>
        </w:rPr>
        <w:t>” means generative artificial intelligence technology or similar tools capable of automatically producing various types of content (such as source code, text, images, audio, and synthetic data) based on user-supplied prompts.]</w:t>
      </w:r>
    </w:p>
    <w:p w14:paraId="71BE788C" w14:textId="332396A9" w:rsidR="00A6031B" w:rsidRPr="00A6031B" w:rsidRDefault="00A6031B" w:rsidP="00A6031B">
      <w:bookmarkStart w:id="68" w:name="_Ref170222756"/>
      <w:r>
        <w:rPr>
          <w:rStyle w:val="FootnoteReference"/>
          <w:szCs w:val="22"/>
        </w:rPr>
        <w:footnoteReference w:id="47"/>
      </w:r>
      <w:bookmarkEnd w:id="68"/>
    </w:p>
    <w:p w14:paraId="77B81D9A" w14:textId="0E47057A" w:rsidR="00183D8F" w:rsidRPr="00623780" w:rsidRDefault="002E2E2B" w:rsidP="00B862AA">
      <w:pPr>
        <w:pStyle w:val="Heading2"/>
        <w:widowControl w:val="0"/>
        <w:spacing w:after="120"/>
        <w:rPr>
          <w:vanish/>
          <w:szCs w:val="22"/>
          <w:specVanish/>
        </w:rPr>
      </w:pPr>
      <w:bookmarkStart w:id="69" w:name="_Ref162992131"/>
      <w:r>
        <w:rPr>
          <w:szCs w:val="22"/>
          <w:u w:val="single"/>
        </w:rPr>
        <w:t>Compliance with Other Instruments</w:t>
      </w:r>
      <w:bookmarkEnd w:id="69"/>
    </w:p>
    <w:p w14:paraId="05FAC7F7" w14:textId="0F7FBE31" w:rsidR="002E2E2B" w:rsidRPr="00623780" w:rsidRDefault="002E2E2B" w:rsidP="00150A0F">
      <w:pPr>
        <w:pStyle w:val="HeadingPara2"/>
        <w:rPr>
          <w:szCs w:val="22"/>
        </w:rPr>
      </w:pPr>
      <w:r>
        <w:rPr>
          <w:szCs w:val="22"/>
        </w:rPr>
        <w:t>. The Company is not in violation or default (a) of any provisions of its Certificate of Incorporation or Bylaws; (b) in any material respect of any instrument, judgment, order, writ or decree; (c) in any material respect under any note, indenture or mortgage; (d) in any material respect under any lease, agreement, contract or purchase order to which it is a party or by which it is bound that is required to be listed on the Disclosure Schedule;</w:t>
      </w:r>
      <w:r>
        <w:rPr>
          <w:i/>
          <w:szCs w:val="22"/>
        </w:rPr>
        <w:t xml:space="preserve"> </w:t>
      </w:r>
      <w:r>
        <w:rPr>
          <w:szCs w:val="22"/>
        </w:rPr>
        <w:t xml:space="preserve">or (e) of any provision of any federal or state statute, rule or regulation applicable to the Company the violation of which would have a Material Adverse Effect. The execution, delivery and performance of the Transaction Agreements and the </w:t>
      </w:r>
      <w:r>
        <w:rPr>
          <w:szCs w:val="22"/>
        </w:rPr>
        <w:lastRenderedPageBreak/>
        <w:t>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70" w:name="_Ref146432903"/>
    </w:p>
    <w:p w14:paraId="00D60DD3" w14:textId="55A9C9A6" w:rsidR="002E2E2B" w:rsidRPr="00623780" w:rsidRDefault="002E2E2B" w:rsidP="00A723F7">
      <w:pPr>
        <w:pStyle w:val="Heading2"/>
        <w:keepNext/>
        <w:widowControl w:val="0"/>
        <w:spacing w:after="120"/>
        <w:rPr>
          <w:szCs w:val="22"/>
        </w:rPr>
      </w:pPr>
      <w:bookmarkStart w:id="71" w:name="_Ref444616193"/>
      <w:bookmarkStart w:id="72" w:name="_Ref_ContractCompanion_9kb9Ur07H"/>
      <w:r>
        <w:rPr>
          <w:szCs w:val="22"/>
          <w:u w:val="single"/>
        </w:rPr>
        <w:t>Agreements; Actions</w:t>
      </w:r>
      <w:bookmarkEnd w:id="71"/>
      <w:r>
        <w:rPr>
          <w:szCs w:val="22"/>
        </w:rPr>
        <w:t>.</w:t>
      </w:r>
      <w:bookmarkEnd w:id="70"/>
      <w:r>
        <w:rPr>
          <w:rStyle w:val="FootnoteReference"/>
          <w:szCs w:val="22"/>
        </w:rPr>
        <w:footnoteReference w:id="48"/>
      </w:r>
      <w:bookmarkEnd w:id="72"/>
    </w:p>
    <w:p w14:paraId="3CA599EC" w14:textId="6104BA30" w:rsidR="009D2311" w:rsidRPr="00623780" w:rsidRDefault="002E2E2B" w:rsidP="00AD5188">
      <w:pPr>
        <w:pStyle w:val="Heading3"/>
        <w:rPr>
          <w:szCs w:val="22"/>
        </w:rPr>
      </w:pPr>
      <w:bookmarkStart w:id="73" w:name="_Ref170222844"/>
      <w:r>
        <w:rPr>
          <w:szCs w:val="22"/>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$[__________] (other than employment agreements and offer letters); (ii) other than pursuant to any university licenses listed in Section [</w:t>
      </w:r>
      <w:r>
        <w:rPr>
          <w:szCs w:val="22"/>
        </w:rPr>
        <w:fldChar w:fldCharType="begin"/>
      </w:r>
      <w:r>
        <w:rPr>
          <w:szCs w:val="22"/>
        </w:rPr>
        <w:instrText xml:space="preserve"> REF _Ref145512574 \w \h  \* MERGEFORMAT </w:instrText>
      </w:r>
      <w:r>
        <w:rPr>
          <w:szCs w:val="22"/>
        </w:rPr>
      </w:r>
      <w:r>
        <w:rPr>
          <w:szCs w:val="22"/>
        </w:rPr>
        <w:fldChar w:fldCharType="separate"/>
      </w:r>
      <w:r w:rsidR="008E009B">
        <w:rPr>
          <w:szCs w:val="22"/>
        </w:rPr>
        <w:t>2.8(f)</w:t>
      </w:r>
      <w:r>
        <w:rPr>
          <w:szCs w:val="22"/>
        </w:rPr>
        <w:fldChar w:fldCharType="end"/>
      </w:r>
      <w:r>
        <w:rPr>
          <w:szCs w:val="22"/>
        </w:rPr>
        <w:t xml:space="preserve"> and/or </w:t>
      </w:r>
      <w:r>
        <w:rPr>
          <w:szCs w:val="22"/>
        </w:rPr>
        <w:fldChar w:fldCharType="begin"/>
      </w:r>
      <w:r>
        <w:rPr>
          <w:szCs w:val="22"/>
        </w:rPr>
        <w:instrText xml:space="preserve"> REF _Ref137598301 \w \h  \* MERGEFORMAT </w:instrText>
      </w:r>
      <w:r>
        <w:rPr>
          <w:szCs w:val="22"/>
        </w:rPr>
      </w:r>
      <w:r>
        <w:rPr>
          <w:szCs w:val="22"/>
        </w:rPr>
        <w:fldChar w:fldCharType="separate"/>
      </w:r>
      <w:r w:rsidR="008E009B">
        <w:rPr>
          <w:szCs w:val="22"/>
        </w:rPr>
        <w:t>2.8(j)</w:t>
      </w:r>
      <w:r>
        <w:rPr>
          <w:szCs w:val="22"/>
        </w:rPr>
        <w:fldChar w:fldCharType="end"/>
      </w:r>
      <w:r>
        <w:rPr>
          <w:szCs w:val="22"/>
        </w:rPr>
        <w:t>] of the Disclosure Schedule</w:t>
      </w:r>
      <w:r>
        <w:rPr>
          <w:rStyle w:val="FootnoteReference"/>
          <w:szCs w:val="22"/>
        </w:rPr>
        <w:footnoteReference w:id="49"/>
      </w:r>
      <w:r>
        <w:rPr>
          <w:szCs w:val="22"/>
        </w:rPr>
        <w:t>, the grant of rights to manufacture, produce, assemble, license, market, or sell its products to any other Person that limit the Company’s exclusive right to develop, manufacture, assemble, distribute, market or sell its products; or (iii) any “most favored” provisions, Board of Directors observer rights, or other side letter agreements not otherwise disclosed pursuant to any other representation.</w:t>
      </w:r>
      <w:bookmarkStart w:id="74" w:name="_Ref146432873"/>
      <w:bookmarkEnd w:id="58"/>
      <w:bookmarkEnd w:id="59"/>
      <w:bookmarkEnd w:id="73"/>
    </w:p>
    <w:p w14:paraId="380EB75F" w14:textId="7FA3ECED" w:rsidR="009D2311" w:rsidRPr="00623780" w:rsidRDefault="009D2311" w:rsidP="00771F9D">
      <w:pPr>
        <w:pStyle w:val="Heading3"/>
        <w:rPr>
          <w:szCs w:val="22"/>
        </w:rPr>
      </w:pPr>
      <w:bookmarkStart w:id="75" w:name="_Ref_ContractCompanion_9kb9Ur07F"/>
      <w:r>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any material portion of its assets or rights, other than in the ordinary course of business. For the purposes of </w:t>
      </w:r>
      <w:r>
        <w:rPr>
          <w:szCs w:val="22"/>
        </w:rPr>
        <w:fldChar w:fldCharType="begin"/>
      </w:r>
      <w:r>
        <w:rPr>
          <w:szCs w:val="22"/>
        </w:rPr>
        <w:instrText xml:space="preserve"> REF _Ref170222844 \n \h  \* MERGEFORMAT </w:instrText>
      </w:r>
      <w:r>
        <w:rPr>
          <w:szCs w:val="22"/>
        </w:rPr>
      </w:r>
      <w:r>
        <w:rPr>
          <w:szCs w:val="22"/>
        </w:rPr>
        <w:fldChar w:fldCharType="separate"/>
      </w:r>
      <w:r w:rsidR="008E009B">
        <w:rPr>
          <w:szCs w:val="22"/>
        </w:rPr>
        <w:t>(a)</w:t>
      </w:r>
      <w:r>
        <w:rPr>
          <w:szCs w:val="22"/>
        </w:rPr>
        <w:fldChar w:fldCharType="end"/>
      </w:r>
      <w:r>
        <w:rPr>
          <w:szCs w:val="22"/>
        </w:rPr>
        <w:t xml:space="preserve"> and </w:t>
      </w:r>
      <w:r>
        <w:rPr>
          <w:szCs w:val="22"/>
        </w:rPr>
        <w:fldChar w:fldCharType="begin"/>
      </w:r>
      <w:r>
        <w:rPr>
          <w:szCs w:val="22"/>
        </w:rPr>
        <w:instrText xml:space="preserve"> REF _Ref_ContractCompanion_9kb9Ur07F \n \h  \* MERGEFORMAT </w:instrText>
      </w:r>
      <w:r>
        <w:rPr>
          <w:szCs w:val="22"/>
        </w:rPr>
      </w:r>
      <w:r>
        <w:rPr>
          <w:szCs w:val="22"/>
        </w:rPr>
        <w:fldChar w:fldCharType="separate"/>
      </w:r>
      <w:r w:rsidR="008E009B">
        <w:rPr>
          <w:szCs w:val="22"/>
        </w:rPr>
        <w:t>(b)</w:t>
      </w:r>
      <w:r>
        <w:rPr>
          <w:szCs w:val="22"/>
        </w:rPr>
        <w:fldChar w:fldCharType="end"/>
      </w:r>
      <w:r>
        <w:rPr>
          <w:szCs w:val="22"/>
        </w:rPr>
        <w:t xml:space="preserve"> of this </w:t>
      </w:r>
      <w:r>
        <w:rPr>
          <w:szCs w:val="22"/>
          <w:u w:val="single"/>
        </w:rPr>
        <w:t>Section </w:t>
      </w:r>
      <w:r>
        <w:rPr>
          <w:szCs w:val="22"/>
          <w:u w:val="single"/>
        </w:rPr>
        <w:fldChar w:fldCharType="begin"/>
      </w:r>
      <w:r>
        <w:rPr>
          <w:szCs w:val="22"/>
          <w:u w:val="single"/>
        </w:rPr>
        <w:instrText xml:space="preserve"> REF _Ref_ContractCompanion_9kb9Ur07H \n \h \t \* MERGEFORMAT </w:instrText>
      </w:r>
      <w:r>
        <w:rPr>
          <w:szCs w:val="22"/>
          <w:u w:val="single"/>
        </w:rPr>
      </w:r>
      <w:r>
        <w:rPr>
          <w:szCs w:val="22"/>
          <w:u w:val="single"/>
        </w:rPr>
        <w:fldChar w:fldCharType="separate"/>
      </w:r>
      <w:r w:rsidR="008E009B">
        <w:rPr>
          <w:szCs w:val="22"/>
          <w:u w:val="single"/>
        </w:rPr>
        <w:t>2.10</w:t>
      </w:r>
      <w:r>
        <w:rPr>
          <w:szCs w:val="22"/>
          <w:u w:val="single"/>
        </w:rPr>
        <w:fldChar w:fldCharType="end"/>
      </w:r>
      <w:r>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76" w:name="_Ref146432889"/>
      <w:bookmarkEnd w:id="74"/>
      <w:bookmarkEnd w:id="75"/>
    </w:p>
    <w:p w14:paraId="5F51A43C" w14:textId="7C1C7324" w:rsidR="009D2311" w:rsidRPr="00623780" w:rsidRDefault="009D2311" w:rsidP="00457E57">
      <w:pPr>
        <w:pStyle w:val="Heading3"/>
        <w:rPr>
          <w:szCs w:val="22"/>
        </w:rPr>
      </w:pPr>
      <w:r>
        <w:rPr>
          <w:szCs w:val="22"/>
        </w:rPr>
        <w:t>The Company is not a guarantor or indemnitor of any indebtedness of any other Person.</w:t>
      </w:r>
      <w:bookmarkEnd w:id="76"/>
      <w:r>
        <w:rPr>
          <w:rStyle w:val="FootnoteReference"/>
          <w:szCs w:val="22"/>
        </w:rPr>
        <w:footnoteReference w:id="50"/>
      </w:r>
    </w:p>
    <w:p w14:paraId="5A166916" w14:textId="6A7A1F9E" w:rsidR="009D2311" w:rsidRPr="00623780" w:rsidRDefault="009D2311" w:rsidP="00771F9D">
      <w:pPr>
        <w:pStyle w:val="Heading2"/>
        <w:keepNext/>
        <w:rPr>
          <w:szCs w:val="22"/>
        </w:rPr>
      </w:pPr>
      <w:bookmarkStart w:id="77" w:name="_Ref431380609"/>
      <w:bookmarkStart w:id="78" w:name="_Ref162992170"/>
      <w:r>
        <w:rPr>
          <w:szCs w:val="22"/>
          <w:u w:val="single"/>
        </w:rPr>
        <w:t>Certain Transactions</w:t>
      </w:r>
      <w:bookmarkEnd w:id="77"/>
      <w:r>
        <w:rPr>
          <w:szCs w:val="22"/>
        </w:rPr>
        <w:t>.</w:t>
      </w:r>
      <w:bookmarkStart w:id="79" w:name="_Ref367787922"/>
      <w:r>
        <w:rPr>
          <w:rStyle w:val="FootnoteReference"/>
          <w:szCs w:val="22"/>
        </w:rPr>
        <w:footnoteReference w:id="51"/>
      </w:r>
      <w:bookmarkEnd w:id="78"/>
      <w:bookmarkEnd w:id="79"/>
    </w:p>
    <w:p w14:paraId="28CA6249" w14:textId="6A1BCDD5" w:rsidR="009D2311" w:rsidRPr="00623780" w:rsidRDefault="009D2311" w:rsidP="00771F9D">
      <w:pPr>
        <w:pStyle w:val="Heading3"/>
        <w:rPr>
          <w:szCs w:val="22"/>
        </w:rPr>
      </w:pPr>
      <w:r>
        <w:rPr>
          <w:szCs w:val="22"/>
        </w:rPr>
        <w:t xml:space="preserve">Other than (i) standard employee benefits generally made available to all employees, standard employee offer letters and Confidential Information Agreements; (ii) standard director </w:t>
      </w:r>
      <w:r>
        <w:rPr>
          <w:szCs w:val="22"/>
        </w:rPr>
        <w:lastRenderedPageBreak/>
        <w:t xml:space="preserve">and officer indemnification agreements approved by the Board of Directors; (iii) the purchase of shares of the Company’s capital stock and the issuance of options to purchase shares of the Company’s Common Stock, in each instance, approved in the written minutes of the Board of Directors (previously made available to the Purchasers or their respective counsel); and (iv) the Transaction Agreements, there are no agreements, understandings or proposed transactions between the Company and any of its Officers or directors, or any Affiliate thereof. </w:t>
      </w:r>
    </w:p>
    <w:p w14:paraId="77295692" w14:textId="4E899D16" w:rsidR="009D2311" w:rsidRPr="00623780" w:rsidRDefault="009D2311" w:rsidP="00771F9D">
      <w:pPr>
        <w:pStyle w:val="Heading3"/>
        <w:rPr>
          <w:szCs w:val="22"/>
        </w:rPr>
      </w:pPr>
      <w:r>
        <w:rPr>
          <w:szCs w:val="22"/>
        </w:rPr>
        <w:t xml:space="preserve">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w:t>
      </w:r>
      <w:bookmarkStart w:id="80" w:name="_Hlk184376238"/>
      <w:r>
        <w:rPr>
          <w:szCs w:val="22"/>
        </w:rPr>
        <w:t>None of the Company’s directors, officers or employees [or consultants], or any members of their immediate families, or any Affiliate of the foregoing are, directly or indirectly, indebted to the Company or, to the Company’s knowledge, have any (i) material commercial, industrial, banking, consulting, legal, accounting, charitable or familial relationship with the Company or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w:t>
      </w:r>
      <w:bookmarkEnd w:id="80"/>
      <w:r>
        <w:rPr>
          <w:szCs w:val="22"/>
        </w:rPr>
        <w:t xml:space="preserve"> </w:t>
      </w:r>
    </w:p>
    <w:p w14:paraId="6C76E3E6" w14:textId="6BAC3A85" w:rsidR="00183D8F" w:rsidRPr="00623780" w:rsidRDefault="009D2311" w:rsidP="003A3DBD">
      <w:pPr>
        <w:pStyle w:val="Heading2"/>
        <w:rPr>
          <w:vanish/>
          <w:szCs w:val="22"/>
          <w:specVanish/>
        </w:rPr>
      </w:pPr>
      <w:r>
        <w:rPr>
          <w:szCs w:val="22"/>
          <w:u w:val="single"/>
        </w:rPr>
        <w:t>Rights of Registration and Voting Rights</w:t>
      </w:r>
    </w:p>
    <w:p w14:paraId="3B3F17D2" w14:textId="508BD678" w:rsidR="00666D11" w:rsidRPr="00623780" w:rsidRDefault="009244B2" w:rsidP="00150A0F">
      <w:pPr>
        <w:pStyle w:val="HeadingPara2"/>
        <w:rPr>
          <w:szCs w:val="22"/>
        </w:rPr>
      </w:pPr>
      <w:r>
        <w:rPr>
          <w:szCs w:val="22"/>
        </w:rPr>
        <w:t>.</w:t>
      </w:r>
      <w:r>
        <w:rPr>
          <w:rStyle w:val="FootnoteReference"/>
          <w:szCs w:val="22"/>
        </w:rPr>
        <w:footnoteReference w:id="52"/>
      </w:r>
      <w:r>
        <w:rPr>
          <w:szCs w:val="22"/>
        </w:rPr>
        <w:t xml:space="preserve"> Except as provided in the Investors’ Rights Agreement, the Company is not under any obligation to register under the Securities Act any of its currently outstanding securities or any securities issuable upon exercise or conversion of its currently outstanding securities. To the Company’s knowledge, except as contemplated in the Voting Agreement, no stockholder of the Company has entered into any agreements with respect to the voting of capital shares of the Company.</w:t>
      </w:r>
    </w:p>
    <w:p w14:paraId="0FC9FCBF" w14:textId="494DE086" w:rsidR="00183D8F" w:rsidRPr="00623780" w:rsidRDefault="002E2E2B" w:rsidP="004E494A">
      <w:pPr>
        <w:pStyle w:val="Heading2"/>
        <w:widowControl w:val="0"/>
        <w:rPr>
          <w:vanish/>
          <w:szCs w:val="22"/>
          <w:specVanish/>
        </w:rPr>
      </w:pPr>
      <w:bookmarkStart w:id="81" w:name="_Ref479017423"/>
      <w:r>
        <w:rPr>
          <w:szCs w:val="22"/>
          <w:u w:val="single"/>
        </w:rPr>
        <w:t>Tangible and Real Property</w:t>
      </w:r>
    </w:p>
    <w:p w14:paraId="0DEF6815" w14:textId="233C1EC1" w:rsidR="002E2E2B" w:rsidRPr="00623780" w:rsidRDefault="002E2E2B" w:rsidP="00150A0F">
      <w:pPr>
        <w:pStyle w:val="HeadingPara2"/>
        <w:rPr>
          <w:szCs w:val="22"/>
        </w:rPr>
      </w:pPr>
      <w:r>
        <w:rPr>
          <w:szCs w:val="22"/>
        </w:rPr>
        <w:t xml:space="preserve">.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14:paraId="16E4F022" w14:textId="6124B732" w:rsidR="00183D8F" w:rsidRPr="00623780" w:rsidRDefault="00430708" w:rsidP="009244B2">
      <w:pPr>
        <w:pStyle w:val="Heading2"/>
        <w:rPr>
          <w:vanish/>
          <w:szCs w:val="22"/>
          <w:specVanish/>
        </w:rPr>
      </w:pPr>
      <w:bookmarkStart w:id="82" w:name="_Ref145512664"/>
      <w:r>
        <w:rPr>
          <w:szCs w:val="22"/>
          <w:u w:val="single"/>
        </w:rPr>
        <w:t>[Financial Statements</w:t>
      </w:r>
      <w:bookmarkEnd w:id="81"/>
      <w:bookmarkEnd w:id="82"/>
    </w:p>
    <w:p w14:paraId="29642BD5" w14:textId="24ABFD0F" w:rsidR="009D2311" w:rsidRPr="00623780" w:rsidRDefault="00430708" w:rsidP="00150A0F">
      <w:pPr>
        <w:pStyle w:val="HeadingPara2"/>
        <w:rPr>
          <w:szCs w:val="22"/>
        </w:rPr>
      </w:pPr>
      <w:r>
        <w:rPr>
          <w:szCs w:val="22"/>
        </w:rPr>
        <w:t xml:space="preserve">;] </w:t>
      </w:r>
      <w:r w:rsidRPr="00433CB3">
        <w:rPr>
          <w:szCs w:val="22"/>
          <w:u w:val="single"/>
        </w:rPr>
        <w:t>Liabilities</w:t>
      </w:r>
      <w:r>
        <w:rPr>
          <w:szCs w:val="22"/>
        </w:rPr>
        <w:t>.</w:t>
      </w:r>
      <w:r>
        <w:rPr>
          <w:rStyle w:val="FootnoteReference"/>
          <w:szCs w:val="22"/>
        </w:rPr>
        <w:footnoteReference w:id="53"/>
      </w:r>
      <w:r>
        <w:rPr>
          <w:szCs w:val="22"/>
        </w:rPr>
        <w:t xml:space="preserve"> [The Company has delivered to each Purchaser its [unaudited] [audited] financial statements (including balance sheet, income statement and statement of cash flows) as of and for the fiscal year ended [_______ __], 20[_] [and its unaudited financial statements (including balance sheet, income statement and statement of cash flows) as of [_______ __], 20[_] (the </w:t>
      </w:r>
      <w:r>
        <w:rPr>
          <w:szCs w:val="22"/>
        </w:rPr>
        <w:lastRenderedPageBreak/>
        <w:t>“</w:t>
      </w:r>
      <w:r>
        <w:rPr>
          <w:b/>
          <w:bCs/>
          <w:szCs w:val="22"/>
        </w:rPr>
        <w:t>Balance Sheet Date</w:t>
      </w:r>
      <w:r>
        <w:rPr>
          <w:szCs w:val="22"/>
        </w:rPr>
        <w:t>”) and for the [_____]-month period ended on the Balance Sheet Date] (collectively, the “</w:t>
      </w:r>
      <w:r>
        <w:rPr>
          <w:b/>
          <w:bCs/>
          <w:szCs w:val="22"/>
        </w:rPr>
        <w:t>Financial Statements</w:t>
      </w:r>
      <w:r>
        <w:rPr>
          <w:szCs w:val="22"/>
        </w:rPr>
        <w:t>”). The Financial Statements have been prepared in accordance with GAAP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[The] Company has no material liabilities or obligations, contingent or otherwise, other than (i) liabilities incurred in the ordinary course of business subsequent to [the Balance Sheet Date]</w:t>
      </w:r>
      <w:r>
        <w:rPr>
          <w:rStyle w:val="FootnoteReference"/>
          <w:szCs w:val="22"/>
        </w:rPr>
        <w:footnoteReference w:id="54"/>
      </w:r>
      <w:r>
        <w:rPr>
          <w:szCs w:val="22"/>
        </w:rPr>
        <w:t>; (ii) obligations under contracts and commitments incurred in the ordinary course of business; and (iii) liabilities and obligations of a type or nature not required under GAAP to be reflected in [the Financial Statements] [financial statements]</w:t>
      </w:r>
      <w:r>
        <w:rPr>
          <w:rStyle w:val="FootnoteReference"/>
          <w:szCs w:val="22"/>
        </w:rPr>
        <w:footnoteReference w:id="55"/>
      </w:r>
      <w:r>
        <w:rPr>
          <w:szCs w:val="22"/>
        </w:rPr>
        <w:t>, which, in all such cases, individually and in the aggregate would not have a Material Adverse Effect. The Company maintains and will continue to maintain a standard system of accounting established and administered in accordance with GAAP.</w:t>
      </w:r>
      <w:bookmarkStart w:id="83" w:name="_Ref146371666"/>
      <w:bookmarkStart w:id="84" w:name="_Ref264024966"/>
      <w:r>
        <w:rPr>
          <w:szCs w:val="22"/>
        </w:rPr>
        <w:t xml:space="preserve"> </w:t>
      </w:r>
    </w:p>
    <w:p w14:paraId="5C6B262C" w14:textId="073D86FE" w:rsidR="00183D8F" w:rsidRPr="00623780" w:rsidRDefault="009D2311" w:rsidP="0055300A">
      <w:pPr>
        <w:pStyle w:val="Heading2"/>
        <w:keepNext/>
        <w:rPr>
          <w:vanish/>
          <w:szCs w:val="22"/>
          <w:specVanish/>
        </w:rPr>
      </w:pPr>
      <w:bookmarkStart w:id="85" w:name="_Ref444621396"/>
      <w:bookmarkStart w:id="86" w:name="_Ref_ContractCompanion_9kb9Ur08E"/>
      <w:r>
        <w:rPr>
          <w:szCs w:val="22"/>
          <w:u w:val="single"/>
        </w:rPr>
        <w:t>Changes</w:t>
      </w:r>
      <w:bookmarkEnd w:id="85"/>
    </w:p>
    <w:p w14:paraId="316AC876" w14:textId="63CFA120" w:rsidR="00666D11" w:rsidRPr="00623780" w:rsidRDefault="009244B2" w:rsidP="00150A0F">
      <w:pPr>
        <w:pStyle w:val="HeadingPara2"/>
        <w:rPr>
          <w:szCs w:val="22"/>
        </w:rPr>
      </w:pPr>
      <w:r>
        <w:rPr>
          <w:szCs w:val="22"/>
        </w:rPr>
        <w:t>.</w:t>
      </w:r>
      <w:bookmarkEnd w:id="83"/>
      <w:r>
        <w:rPr>
          <w:rStyle w:val="FootnoteReference"/>
          <w:szCs w:val="22"/>
        </w:rPr>
        <w:footnoteReference w:id="56"/>
      </w:r>
      <w:r>
        <w:rPr>
          <w:szCs w:val="22"/>
        </w:rPr>
        <w:t xml:space="preserve"> Since the [Balance Sheet Date]</w:t>
      </w:r>
      <w:r>
        <w:rPr>
          <w:rStyle w:val="FootnoteReference"/>
          <w:szCs w:val="22"/>
        </w:rPr>
        <w:footnoteReference w:id="57"/>
      </w:r>
      <w:r>
        <w:rPr>
          <w:szCs w:val="22"/>
        </w:rPr>
        <w:t>, there has not been:</w:t>
      </w:r>
      <w:bookmarkEnd w:id="84"/>
      <w:bookmarkEnd w:id="86"/>
    </w:p>
    <w:p w14:paraId="2401F7CD" w14:textId="03D6CF17" w:rsidR="009D2311" w:rsidRPr="00623780" w:rsidRDefault="009D2311" w:rsidP="00771F9D">
      <w:pPr>
        <w:pStyle w:val="Heading3"/>
        <w:rPr>
          <w:szCs w:val="22"/>
        </w:rPr>
      </w:pPr>
      <w:r>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14:paraId="7A8C278C" w14:textId="181103B9" w:rsidR="009D2311" w:rsidRPr="00623780" w:rsidRDefault="009D2311" w:rsidP="00771F9D">
      <w:pPr>
        <w:pStyle w:val="Heading3"/>
        <w:rPr>
          <w:szCs w:val="22"/>
        </w:rPr>
      </w:pPr>
      <w:r>
        <w:rPr>
          <w:szCs w:val="22"/>
        </w:rPr>
        <w:t>any damage, destruction or loss, whether or not covered by insurance, that would have a Material Adverse Effect;</w:t>
      </w:r>
    </w:p>
    <w:p w14:paraId="6DD61FEA" w14:textId="5FC88315" w:rsidR="009D2311" w:rsidRPr="00623780" w:rsidRDefault="009D2311" w:rsidP="00771F9D">
      <w:pPr>
        <w:pStyle w:val="Heading3"/>
        <w:rPr>
          <w:szCs w:val="22"/>
        </w:rPr>
      </w:pPr>
      <w:r>
        <w:rPr>
          <w:szCs w:val="22"/>
        </w:rPr>
        <w:t>any waiver or compromise by the Company of a valuable right or of a material debt owed to it;</w:t>
      </w:r>
    </w:p>
    <w:p w14:paraId="4A93502A" w14:textId="2A59A348" w:rsidR="009D2311" w:rsidRPr="00623780" w:rsidRDefault="009D2311" w:rsidP="00771F9D">
      <w:pPr>
        <w:pStyle w:val="Heading3"/>
        <w:rPr>
          <w:szCs w:val="22"/>
        </w:rPr>
      </w:pPr>
      <w:r>
        <w:rPr>
          <w:szCs w:val="22"/>
        </w:rPr>
        <w:t>any satisfaction or discharge of any lien, claim, or encumbrance or payment of any obligation by the Company, except in the ordinary course of business and the satisfaction or discharge of which would not have a Material Adverse Effect;</w:t>
      </w:r>
    </w:p>
    <w:p w14:paraId="1077345A" w14:textId="4BD9D527" w:rsidR="009D2311" w:rsidRPr="00623780" w:rsidRDefault="009D2311" w:rsidP="00771F9D">
      <w:pPr>
        <w:pStyle w:val="Heading3"/>
        <w:rPr>
          <w:szCs w:val="22"/>
        </w:rPr>
      </w:pPr>
      <w:r>
        <w:rPr>
          <w:szCs w:val="22"/>
        </w:rPr>
        <w:t>any material change to a material contract or agreement by which the Company or any of its assets is bound or subject;</w:t>
      </w:r>
    </w:p>
    <w:p w14:paraId="4820130C" w14:textId="7ED30464" w:rsidR="009D2311" w:rsidRPr="00623780" w:rsidRDefault="009D2311" w:rsidP="00771F9D">
      <w:pPr>
        <w:pStyle w:val="Heading3"/>
        <w:rPr>
          <w:szCs w:val="22"/>
        </w:rPr>
      </w:pPr>
      <w:r>
        <w:rPr>
          <w:szCs w:val="22"/>
        </w:rPr>
        <w:t>any material change in any compensation arrangement or agreement with any employee, officer, director or stockholder;</w:t>
      </w:r>
    </w:p>
    <w:p w14:paraId="11878F99" w14:textId="1BC938B5" w:rsidR="009D2311" w:rsidRPr="00623780" w:rsidRDefault="009D2311" w:rsidP="00771F9D">
      <w:pPr>
        <w:pStyle w:val="Heading3"/>
        <w:rPr>
          <w:szCs w:val="22"/>
        </w:rPr>
      </w:pPr>
      <w:r>
        <w:rPr>
          <w:szCs w:val="22"/>
        </w:rPr>
        <w:t xml:space="preserve">any resignation or termination of employment of any Officer; </w:t>
      </w:r>
    </w:p>
    <w:p w14:paraId="189CAB10" w14:textId="77724AD6" w:rsidR="009D2311" w:rsidRPr="00623780" w:rsidRDefault="009D2311" w:rsidP="00771F9D">
      <w:pPr>
        <w:pStyle w:val="Heading3"/>
        <w:rPr>
          <w:szCs w:val="22"/>
        </w:rPr>
      </w:pPr>
      <w:r>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Company’s ownership or use of such property or assets;</w:t>
      </w:r>
    </w:p>
    <w:p w14:paraId="4D5B4D6B" w14:textId="76ADF2F8" w:rsidR="009D2311" w:rsidRPr="00623780" w:rsidRDefault="009D2311" w:rsidP="00771F9D">
      <w:pPr>
        <w:pStyle w:val="Heading3"/>
        <w:rPr>
          <w:szCs w:val="22"/>
        </w:rPr>
      </w:pPr>
      <w:r>
        <w:rPr>
          <w:szCs w:val="22"/>
        </w:rPr>
        <w:lastRenderedPageBreak/>
        <w:t>any loans or guarantees made by the Company to or for the benefit of its employees, officers or directors, or any members of their immediate families, other than travel advances and other advances made in the ordinary course of its business;</w:t>
      </w:r>
    </w:p>
    <w:p w14:paraId="42B5DC16" w14:textId="0A4F0CA8" w:rsidR="009D2311" w:rsidRPr="00623780" w:rsidRDefault="009D2311" w:rsidP="00771F9D">
      <w:pPr>
        <w:pStyle w:val="Heading3"/>
        <w:rPr>
          <w:szCs w:val="22"/>
        </w:rPr>
      </w:pPr>
      <w:r>
        <w:rPr>
          <w:szCs w:val="22"/>
        </w:rPr>
        <w:t>any declaration, setting aside or payment or other distribution in respect of any of the Company’s capital stock, or any direct or indirect redemption, purchase, or other acquisition of any of such stock by the Company;</w:t>
      </w:r>
    </w:p>
    <w:p w14:paraId="55C90624" w14:textId="15A5468D" w:rsidR="009D2311" w:rsidRPr="00623780" w:rsidRDefault="009D2311" w:rsidP="00771F9D">
      <w:pPr>
        <w:pStyle w:val="Heading3"/>
        <w:rPr>
          <w:szCs w:val="22"/>
        </w:rPr>
      </w:pPr>
      <w:r>
        <w:rPr>
          <w:szCs w:val="22"/>
        </w:rPr>
        <w:t>any sale, assignment or transfer by the Company of any Company-Controlled Intellectual Property that could reasonably be expected to result in a Material Adverse Effect;</w:t>
      </w:r>
    </w:p>
    <w:p w14:paraId="1BFD7E3A" w14:textId="00904793" w:rsidR="009D2311" w:rsidRPr="00623780" w:rsidRDefault="009D2311" w:rsidP="00771F9D">
      <w:pPr>
        <w:pStyle w:val="Heading3"/>
        <w:rPr>
          <w:szCs w:val="22"/>
        </w:rPr>
      </w:pPr>
      <w:r>
        <w:rPr>
          <w:szCs w:val="22"/>
        </w:rPr>
        <w:t>receipt of notice that there has been a loss of, or material order cancellation by, any major customer of the Company;</w:t>
      </w:r>
    </w:p>
    <w:p w14:paraId="66E0472B" w14:textId="3D586FEA" w:rsidR="009D2311" w:rsidRPr="00623780" w:rsidRDefault="009D2311" w:rsidP="00771F9D">
      <w:pPr>
        <w:pStyle w:val="Heading3"/>
        <w:rPr>
          <w:szCs w:val="22"/>
        </w:rPr>
      </w:pPr>
      <w:r>
        <w:rPr>
          <w:szCs w:val="22"/>
        </w:rPr>
        <w:t>any other event or condition of any character, other than events affecting the economy or the Company’s industry generally, that could reasonably be expected to result in a Material Adverse Effect; or</w:t>
      </w:r>
    </w:p>
    <w:p w14:paraId="45171D21" w14:textId="007C775D" w:rsidR="009D2311" w:rsidRPr="00623780" w:rsidRDefault="009D2311" w:rsidP="00771F9D">
      <w:pPr>
        <w:pStyle w:val="Heading3"/>
        <w:rPr>
          <w:szCs w:val="22"/>
        </w:rPr>
      </w:pPr>
      <w:bookmarkStart w:id="87" w:name="_Ref_ContractCompanion_9kb9Ur03D"/>
      <w:r>
        <w:rPr>
          <w:szCs w:val="22"/>
        </w:rPr>
        <w:t xml:space="preserve">any arrangement or commitment by the Company to do any of the things described in this </w:t>
      </w:r>
      <w:r>
        <w:rPr>
          <w:szCs w:val="22"/>
          <w:u w:val="single"/>
        </w:rPr>
        <w:t>Section </w:t>
      </w:r>
      <w:r>
        <w:rPr>
          <w:szCs w:val="22"/>
          <w:u w:val="single"/>
        </w:rPr>
        <w:fldChar w:fldCharType="begin"/>
      </w:r>
      <w:r>
        <w:rPr>
          <w:szCs w:val="22"/>
          <w:u w:val="single"/>
        </w:rPr>
        <w:instrText xml:space="preserve"> REF _Ref_ContractCompanion_9kb9Ur08E \n \h \t \* MERGEFORMAT </w:instrText>
      </w:r>
      <w:r>
        <w:rPr>
          <w:szCs w:val="22"/>
          <w:u w:val="single"/>
        </w:rPr>
      </w:r>
      <w:r>
        <w:rPr>
          <w:szCs w:val="22"/>
          <w:u w:val="single"/>
        </w:rPr>
        <w:fldChar w:fldCharType="separate"/>
      </w:r>
      <w:r w:rsidR="008E009B">
        <w:rPr>
          <w:szCs w:val="22"/>
          <w:u w:val="single"/>
        </w:rPr>
        <w:t>2.15</w:t>
      </w:r>
      <w:r>
        <w:rPr>
          <w:szCs w:val="22"/>
          <w:u w:val="single"/>
        </w:rPr>
        <w:fldChar w:fldCharType="end"/>
      </w:r>
      <w:r>
        <w:rPr>
          <w:szCs w:val="22"/>
        </w:rPr>
        <w:t>.</w:t>
      </w:r>
      <w:bookmarkStart w:id="88" w:name="_Ref146371696"/>
      <w:bookmarkEnd w:id="87"/>
    </w:p>
    <w:p w14:paraId="42A6D29C" w14:textId="4103C9BE" w:rsidR="00183D8F" w:rsidRPr="00623780" w:rsidRDefault="009D2311" w:rsidP="00771F9D">
      <w:pPr>
        <w:pStyle w:val="Heading2"/>
        <w:keepNext/>
        <w:rPr>
          <w:vanish/>
          <w:szCs w:val="22"/>
          <w:specVanish/>
        </w:rPr>
      </w:pPr>
      <w:bookmarkStart w:id="89" w:name="_Ref_ContractCompanion_9kb9Ur039"/>
      <w:r>
        <w:rPr>
          <w:szCs w:val="22"/>
          <w:u w:val="single"/>
        </w:rPr>
        <w:t>Employee Matters</w:t>
      </w:r>
    </w:p>
    <w:p w14:paraId="22C55308" w14:textId="0404461A" w:rsidR="009D2311" w:rsidRPr="00623780" w:rsidRDefault="009D2311" w:rsidP="00150A0F">
      <w:pPr>
        <w:pStyle w:val="HeadingPara2"/>
        <w:rPr>
          <w:szCs w:val="22"/>
        </w:rPr>
      </w:pPr>
      <w:r>
        <w:rPr>
          <w:szCs w:val="22"/>
        </w:rPr>
        <w:t>.</w:t>
      </w:r>
      <w:bookmarkEnd w:id="88"/>
      <w:bookmarkEnd w:id="89"/>
    </w:p>
    <w:p w14:paraId="070F1DCC" w14:textId="7CC7D05B" w:rsidR="009D2311" w:rsidRPr="00623780" w:rsidRDefault="009D2311" w:rsidP="00771F9D">
      <w:pPr>
        <w:pStyle w:val="Heading3"/>
        <w:rPr>
          <w:szCs w:val="22"/>
        </w:rPr>
      </w:pPr>
      <w:r>
        <w:rPr>
          <w:szCs w:val="22"/>
        </w:rPr>
        <w:t xml:space="preserve">[To the Company’s knowledge,] none of its employees is obligated under any contract (including licenses, covenants or commitments of any nature) or other agreement, or subject to any judgment, decree or order of any court or administrative agency, that would materially interfere with such employee’s ability to promote the interest of the Company or that would conflict with the Company’s business. Neither the execution or delivery of the Transaction Agreements, nor the carrying on of the Company’s business by the employees of the Company, nor the conduct of the Company’s business as now conducted and as presently proposed to be conducted, will[, to the Company’s knowledge,] conflict with or result in a breach of the terms, conditions, or provisions of, or constitute a default under, any contract, covenant or instrument under which any such employee is now obligated. </w:t>
      </w:r>
    </w:p>
    <w:p w14:paraId="69F6BDF3" w14:textId="5B54BC78" w:rsidR="009D2311" w:rsidRPr="00623780" w:rsidRDefault="009D2311" w:rsidP="00771F9D">
      <w:pPr>
        <w:pStyle w:val="Heading3"/>
        <w:rPr>
          <w:szCs w:val="22"/>
        </w:rPr>
      </w:pPr>
      <w:r>
        <w:rPr>
          <w:szCs w:val="22"/>
        </w:rPr>
        <w:t xml:space="preserve">The Company is not delinquent in payments to any of its employees, consultants, or independent contractors for any wages, salaries, commissions, bonuses, or other direct compensation for any service performed for it </w:t>
      </w:r>
      <w:r w:rsidR="00847167">
        <w:rPr>
          <w:szCs w:val="22"/>
        </w:rPr>
        <w:t xml:space="preserve">prior </w:t>
      </w:r>
      <w:r>
        <w:rPr>
          <w:szCs w:val="22"/>
        </w:rPr>
        <w:t>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39E1FEE0" w14:textId="32FD3187" w:rsidR="009D2311" w:rsidRPr="00623780" w:rsidRDefault="009D2311" w:rsidP="00771F9D">
      <w:pPr>
        <w:pStyle w:val="Heading3"/>
        <w:rPr>
          <w:szCs w:val="22"/>
        </w:rPr>
      </w:pPr>
      <w:bookmarkStart w:id="90" w:name="_Ref170225598"/>
      <w:r>
        <w:rPr>
          <w:szCs w:val="22"/>
        </w:rPr>
        <w:t>To the Company’s knowledge, no Officer intends to terminate employment with the Company or is otherwise likely to become unavailable to continue as an employee. The Company does not have a present intention to terminate the employment of any of the foregoing. The employment of each employee of the Company is terminable at the will of the Company.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(i) of the Disclosure Schedule or as required by law, upon termination of the employment of any such employees, no severance or other payments will become due.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 xml:space="preserve">(ii) of </w:t>
      </w:r>
      <w:r>
        <w:rPr>
          <w:szCs w:val="22"/>
        </w:rPr>
        <w:lastRenderedPageBreak/>
        <w:t>the Disclosure Schedule, the Company has no policy, practice, plan or program of paying severance pay or any form of severance compensation in connection with the termination of employment services.</w:t>
      </w:r>
      <w:bookmarkEnd w:id="90"/>
    </w:p>
    <w:p w14:paraId="2DFBAAEC" w14:textId="73F6828B" w:rsidR="009D2311" w:rsidRPr="00623780" w:rsidRDefault="009D2311" w:rsidP="00771F9D">
      <w:pPr>
        <w:pStyle w:val="Heading3"/>
        <w:rPr>
          <w:szCs w:val="22"/>
        </w:rPr>
      </w:pPr>
      <w:r>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Board of Directors. </w:t>
      </w:r>
    </w:p>
    <w:p w14:paraId="2AD8E784" w14:textId="52FB14B1" w:rsidR="009D2311" w:rsidRPr="00623780" w:rsidRDefault="009D2311" w:rsidP="00771F9D">
      <w:pPr>
        <w:pStyle w:val="Heading3"/>
        <w:rPr>
          <w:szCs w:val="22"/>
        </w:rPr>
      </w:pPr>
      <w:r>
        <w:rPr>
          <w:szCs w:val="22"/>
        </w:rPr>
        <w:t>Each former officer or other employee who reported to the Chief Executive Officer, Chief Financial Officer, or Board of Directors has entered into an agreement with the Company providing for the full release of any claims against the Company or any related party arising out of such employment.</w:t>
      </w:r>
    </w:p>
    <w:p w14:paraId="5E368D3D" w14:textId="178447DB" w:rsidR="009D2311" w:rsidRPr="00623780" w:rsidRDefault="009D2311" w:rsidP="00771F9D">
      <w:pPr>
        <w:pStyle w:val="Heading3"/>
        <w:rPr>
          <w:szCs w:val="22"/>
        </w:rPr>
      </w:pPr>
      <w:bookmarkStart w:id="91" w:name="_Ref170225634"/>
      <w:r>
        <w:rPr>
          <w:szCs w:val="22"/>
        </w:rPr>
        <w:t>Section </w:t>
      </w:r>
      <w:r>
        <w:rPr>
          <w:szCs w:val="22"/>
        </w:rPr>
        <w:fldChar w:fldCharType="begin"/>
      </w:r>
      <w:r>
        <w:rPr>
          <w:szCs w:val="22"/>
        </w:rPr>
        <w:instrText xml:space="preserve"> REF _Ref170225634 \w \h  \* MERGEFORMAT </w:instrText>
      </w:r>
      <w:r>
        <w:rPr>
          <w:szCs w:val="22"/>
        </w:rPr>
      </w:r>
      <w:r>
        <w:rPr>
          <w:szCs w:val="22"/>
        </w:rPr>
        <w:fldChar w:fldCharType="separate"/>
      </w:r>
      <w:r w:rsidR="008E009B">
        <w:rPr>
          <w:szCs w:val="22"/>
        </w:rPr>
        <w:t>2.16(f)</w:t>
      </w:r>
      <w:r>
        <w:rPr>
          <w:szCs w:val="22"/>
        </w:rPr>
        <w:fldChar w:fldCharType="end"/>
      </w:r>
      <w:r>
        <w:rPr>
          <w:szCs w:val="22"/>
        </w:rPr>
        <w:t xml:space="preserve"> of the</w:t>
      </w:r>
      <w:r>
        <w:rPr>
          <w:b/>
          <w:szCs w:val="22"/>
        </w:rPr>
        <w:t xml:space="preserve"> </w:t>
      </w:r>
      <w:r>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Pr>
          <w:b/>
          <w:szCs w:val="22"/>
        </w:rPr>
        <w:t>ERISA</w:t>
      </w:r>
      <w:r>
        <w:rPr>
          <w:szCs w:val="22"/>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bookmarkEnd w:id="91"/>
    </w:p>
    <w:p w14:paraId="6DD558A4" w14:textId="63AE175F" w:rsidR="009D2311" w:rsidRPr="00623780" w:rsidRDefault="009D2311" w:rsidP="00771F9D">
      <w:pPr>
        <w:pStyle w:val="Heading3"/>
        <w:rPr>
          <w:szCs w:val="22"/>
        </w:rPr>
      </w:pPr>
      <w:r>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Company’s knowledge, threatened, which could have a Material Adverse Effect, nor is the Company aware of any labor organization activity involving its employees.]</w:t>
      </w:r>
    </w:p>
    <w:p w14:paraId="2CB6729B" w14:textId="3311AD44" w:rsidR="009D2311" w:rsidRPr="00623780" w:rsidRDefault="009D2311" w:rsidP="00771F9D">
      <w:pPr>
        <w:pStyle w:val="Heading3"/>
        <w:rPr>
          <w:szCs w:val="22"/>
        </w:rPr>
      </w:pPr>
      <w:r>
        <w:rPr>
          <w:szCs w:val="22"/>
        </w:rPr>
        <w:t>[To the Company’s knowledge, none of the Officers or directors</w:t>
      </w:r>
      <w:r>
        <w:rPr>
          <w:rStyle w:val="FootnoteReference"/>
          <w:szCs w:val="22"/>
        </w:rPr>
        <w:footnoteReference w:id="58"/>
      </w:r>
      <w:r>
        <w:rPr>
          <w:szCs w:val="22"/>
        </w:rPr>
        <w:t xml:space="preserve"> of the Company has been (i) subject to voluntary or involuntary petition under the federal bankruptcy laws or any state insolvency law or the appointment of a receiver, fiscal agent or similar officer by a court for such person’s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such person from engaging, or otherwise imposing limits or conditions on such person’s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Pr>
          <w:rStyle w:val="FootnoteReference"/>
          <w:szCs w:val="22"/>
        </w:rPr>
        <w:footnoteReference w:id="59"/>
      </w:r>
    </w:p>
    <w:p w14:paraId="2F41FF9C" w14:textId="6FA4F18E" w:rsidR="00183D8F" w:rsidRPr="00623780" w:rsidRDefault="007A51E6" w:rsidP="002524E9">
      <w:pPr>
        <w:pStyle w:val="Heading2"/>
        <w:rPr>
          <w:b/>
          <w:bCs/>
          <w:i/>
          <w:iCs/>
          <w:vanish/>
          <w:szCs w:val="22"/>
          <w:specVanish/>
        </w:rPr>
      </w:pPr>
      <w:r>
        <w:rPr>
          <w:szCs w:val="22"/>
        </w:rPr>
        <w:t xml:space="preserve"> </w:t>
      </w:r>
      <w:r>
        <w:rPr>
          <w:szCs w:val="22"/>
          <w:u w:val="single"/>
        </w:rPr>
        <w:t>Tax Returns and Payments</w:t>
      </w:r>
    </w:p>
    <w:p w14:paraId="179813FD" w14:textId="43AAB3AB" w:rsidR="00666D11" w:rsidRPr="00623780" w:rsidRDefault="009244B2" w:rsidP="00150A0F">
      <w:pPr>
        <w:pStyle w:val="HeadingPara2"/>
        <w:rPr>
          <w:b/>
          <w:bCs/>
          <w:i/>
          <w:iCs/>
          <w:szCs w:val="22"/>
        </w:rPr>
      </w:pPr>
      <w:r>
        <w:rPr>
          <w:szCs w:val="22"/>
        </w:rPr>
        <w:t xml:space="preserve">. 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 with respect to any taxes or tax returns of the Company, by any </w:t>
      </w:r>
      <w:r>
        <w:rPr>
          <w:szCs w:val="22"/>
        </w:rPr>
        <w:lastRenderedPageBreak/>
        <w:t>applicable federal, state, county, 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Pr>
          <w:rStyle w:val="FootnoteReference"/>
          <w:szCs w:val="22"/>
        </w:rPr>
        <w:footnoteReference w:id="60"/>
      </w:r>
    </w:p>
    <w:p w14:paraId="7165D384" w14:textId="25D3C49B" w:rsidR="00183D8F" w:rsidRPr="00623780" w:rsidRDefault="009D2311" w:rsidP="006F26DB">
      <w:pPr>
        <w:pStyle w:val="Heading2"/>
        <w:rPr>
          <w:vanish/>
          <w:szCs w:val="22"/>
          <w:specVanish/>
        </w:rPr>
      </w:pPr>
      <w:bookmarkStart w:id="92" w:name="_Ref176523445"/>
      <w:r>
        <w:rPr>
          <w:szCs w:val="22"/>
          <w:u w:val="single"/>
        </w:rPr>
        <w:t>Insurance</w:t>
      </w:r>
      <w:bookmarkEnd w:id="92"/>
    </w:p>
    <w:p w14:paraId="7C8D755A" w14:textId="4D44FB8B" w:rsidR="00666D11" w:rsidRPr="00623780" w:rsidRDefault="009244B2" w:rsidP="00150A0F">
      <w:pPr>
        <w:pStyle w:val="HeadingPara2"/>
        <w:rPr>
          <w:b/>
          <w:bCs/>
          <w:i/>
          <w:iCs/>
          <w:szCs w:val="22"/>
        </w:rPr>
      </w:pPr>
      <w:r>
        <w:rPr>
          <w:szCs w:val="22"/>
        </w:rPr>
        <w:t>.</w:t>
      </w:r>
      <w:r>
        <w:rPr>
          <w:rStyle w:val="FootnoteReference"/>
          <w:szCs w:val="22"/>
        </w:rPr>
        <w:footnoteReference w:id="61"/>
      </w:r>
      <w:r>
        <w:rPr>
          <w:szCs w:val="22"/>
        </w:rPr>
        <w:t xml:space="preserve"> The Company has the insurance policies set forth in Section </w:t>
      </w:r>
      <w:r>
        <w:rPr>
          <w:szCs w:val="22"/>
        </w:rPr>
        <w:fldChar w:fldCharType="begin"/>
      </w:r>
      <w:r>
        <w:rPr>
          <w:szCs w:val="22"/>
        </w:rPr>
        <w:instrText xml:space="preserve"> REF _Ref176523445 \w \h  \* MERGEFORMAT </w:instrText>
      </w:r>
      <w:r>
        <w:rPr>
          <w:szCs w:val="22"/>
        </w:rPr>
      </w:r>
      <w:r>
        <w:rPr>
          <w:szCs w:val="22"/>
        </w:rPr>
        <w:fldChar w:fldCharType="separate"/>
      </w:r>
      <w:r w:rsidR="008E009B">
        <w:rPr>
          <w:szCs w:val="22"/>
        </w:rPr>
        <w:t>2.18</w:t>
      </w:r>
      <w:r>
        <w:rPr>
          <w:szCs w:val="22"/>
        </w:rPr>
        <w:fldChar w:fldCharType="end"/>
      </w:r>
      <w:r>
        <w:rPr>
          <w:szCs w:val="22"/>
        </w:rPr>
        <w:t xml:space="preserve"> of the Disclosure Schedule and all such policies are in full force and effect. </w:t>
      </w:r>
      <w:bookmarkStart w:id="93" w:name="_Ref264024504"/>
      <w:r>
        <w:rPr>
          <w:szCs w:val="22"/>
        </w:rPr>
        <w:t xml:space="preserve"> </w:t>
      </w:r>
    </w:p>
    <w:bookmarkEnd w:id="93"/>
    <w:p w14:paraId="7A28E2B5" w14:textId="482A3710" w:rsidR="00183D8F" w:rsidRPr="00623780" w:rsidRDefault="009D2311" w:rsidP="009E5746">
      <w:pPr>
        <w:pStyle w:val="Heading2"/>
        <w:rPr>
          <w:vanish/>
          <w:szCs w:val="22"/>
          <w:specVanish/>
        </w:rPr>
      </w:pPr>
      <w:r>
        <w:rPr>
          <w:szCs w:val="22"/>
          <w:u w:val="single"/>
        </w:rPr>
        <w:t>Permits</w:t>
      </w:r>
    </w:p>
    <w:p w14:paraId="33E3FEDB" w14:textId="21418122" w:rsidR="00666D11" w:rsidRPr="00623780" w:rsidRDefault="009244B2" w:rsidP="00150A0F">
      <w:pPr>
        <w:pStyle w:val="HeadingPara2"/>
        <w:rPr>
          <w:szCs w:val="22"/>
        </w:rPr>
      </w:pPr>
      <w:r>
        <w:rPr>
          <w:szCs w:val="22"/>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54DE6AFF" w14:textId="168F48F7" w:rsidR="00183D8F" w:rsidRPr="00623780" w:rsidRDefault="009D2311" w:rsidP="00F64E51">
      <w:pPr>
        <w:pStyle w:val="Heading2"/>
        <w:rPr>
          <w:b/>
          <w:i/>
          <w:vanish/>
          <w:szCs w:val="22"/>
          <w:specVanish/>
        </w:rPr>
      </w:pPr>
      <w:r>
        <w:rPr>
          <w:szCs w:val="22"/>
          <w:u w:val="single"/>
        </w:rPr>
        <w:t>Corporate Documents</w:t>
      </w:r>
    </w:p>
    <w:p w14:paraId="52983F01" w14:textId="678DA934" w:rsidR="00666D11" w:rsidRPr="00623780" w:rsidRDefault="009244B2" w:rsidP="00150A0F">
      <w:pPr>
        <w:pStyle w:val="HeadingPara2"/>
        <w:rPr>
          <w:szCs w:val="22"/>
        </w:rPr>
      </w:pPr>
      <w:r>
        <w:rPr>
          <w:szCs w:val="22"/>
        </w:rPr>
        <w:t>. 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r>
        <w:rPr>
          <w:rStyle w:val="FootnoteReference"/>
          <w:szCs w:val="22"/>
        </w:rPr>
        <w:footnoteReference w:id="62"/>
      </w:r>
      <w:r>
        <w:rPr>
          <w:szCs w:val="22"/>
        </w:rPr>
        <w:t xml:space="preserve"> </w:t>
      </w:r>
    </w:p>
    <w:p w14:paraId="024D631A" w14:textId="16B8E61D" w:rsidR="00183D8F" w:rsidRPr="00623780" w:rsidRDefault="009D2311" w:rsidP="0054683F">
      <w:pPr>
        <w:pStyle w:val="Heading2"/>
        <w:rPr>
          <w:vanish/>
          <w:szCs w:val="22"/>
          <w:specVanish/>
        </w:rPr>
      </w:pPr>
      <w:bookmarkStart w:id="95" w:name="_Ref145427803"/>
      <w:r>
        <w:rPr>
          <w:szCs w:val="22"/>
        </w:rPr>
        <w:t>[</w:t>
      </w:r>
      <w:r>
        <w:rPr>
          <w:szCs w:val="22"/>
          <w:u w:val="single"/>
        </w:rPr>
        <w:t>Real Property Holding Corporation</w:t>
      </w:r>
      <w:bookmarkEnd w:id="95"/>
    </w:p>
    <w:p w14:paraId="35B5EFA4" w14:textId="34AF81C3" w:rsidR="00666D11" w:rsidRPr="00623780" w:rsidRDefault="009244B2" w:rsidP="00150A0F">
      <w:pPr>
        <w:pStyle w:val="HeadingPara2"/>
        <w:rPr>
          <w:szCs w:val="22"/>
        </w:rPr>
      </w:pPr>
      <w:r>
        <w:rPr>
          <w:szCs w:val="22"/>
        </w:rPr>
        <w:t>.</w:t>
      </w:r>
      <w:r>
        <w:rPr>
          <w:rStyle w:val="FootnoteReference"/>
          <w:szCs w:val="22"/>
        </w:rPr>
        <w:footnoteReference w:id="63"/>
      </w:r>
      <w:r>
        <w:rPr>
          <w:szCs w:val="22"/>
        </w:rPr>
        <w:t xml:space="preserve"> The Company is not now and has never been a “United States real property holding corporation” as defined in the Code and any applicable regulations promulgated thereunder. The Company has filed with the Internal Revenue Service all statements, if any, with its United States income tax returns which are required under such regulations.]</w:t>
      </w:r>
      <w:bookmarkStart w:id="96" w:name="_Ref146371919"/>
    </w:p>
    <w:p w14:paraId="2C2AD305" w14:textId="4E60AF97" w:rsidR="00183D8F" w:rsidRPr="00623780" w:rsidRDefault="00B31316" w:rsidP="00680D93">
      <w:pPr>
        <w:pStyle w:val="Heading2"/>
        <w:rPr>
          <w:vanish/>
          <w:szCs w:val="22"/>
          <w:specVanish/>
        </w:rPr>
      </w:pPr>
      <w:bookmarkStart w:id="97" w:name="_Ref431379009"/>
      <w:bookmarkStart w:id="98" w:name="_Ref_ContractCompanion_9kb9Ur08I"/>
      <w:r>
        <w:rPr>
          <w:szCs w:val="22"/>
          <w:u w:val="single"/>
        </w:rPr>
        <w:t>[Environmental and Safety Laws</w:t>
      </w:r>
      <w:bookmarkEnd w:id="97"/>
    </w:p>
    <w:p w14:paraId="536E47D0" w14:textId="54D59013" w:rsidR="009D2311" w:rsidRPr="00623780" w:rsidRDefault="009244B2" w:rsidP="00150A0F">
      <w:pPr>
        <w:pStyle w:val="HeadingPara2"/>
        <w:rPr>
          <w:szCs w:val="22"/>
        </w:rPr>
      </w:pPr>
      <w:r>
        <w:rPr>
          <w:szCs w:val="22"/>
        </w:rPr>
        <w:t>.</w:t>
      </w:r>
      <w:bookmarkEnd w:id="96"/>
      <w:r>
        <w:rPr>
          <w:szCs w:val="22"/>
        </w:rPr>
        <w:t xml:space="preserve"> Except as could not reasonably be expected to have a Material Adverse Effect [to the best of its knowledge] (a) the Company is and has been in compliance with all Environmental Laws; (b) there has been no release or [to the Company’s knowledge] threatened release of any pollutant, contaminant or toxic or hazardous material, substance or waste or petroleum or any fraction thereof (each a “</w:t>
      </w:r>
      <w:r>
        <w:rPr>
          <w:b/>
          <w:szCs w:val="22"/>
        </w:rPr>
        <w:t>Hazardous Substance</w:t>
      </w:r>
      <w:r>
        <w:rPr>
          <w:szCs w:val="22"/>
        </w:rPr>
        <w:t xml:space="preserve">”), on, upon, into or from any site currently or heretofore owned, </w:t>
      </w:r>
      <w:r>
        <w:rPr>
          <w:szCs w:val="22"/>
        </w:rPr>
        <w:lastRenderedPageBreak/>
        <w:t>leased or otherwise used by the Company; (c) there have been no Hazardous Substances generated by the Company that have been disposed of or come to rest at any site that has been included in any published U.S. federal, state or local “superfund” site list or any other similar list of hazardous or toxic waste sites published by any governmental authority in the United States; and (d) there are no underground storage tanks located on, no polychlorinated biphenyls (“</w:t>
      </w:r>
      <w:r>
        <w:rPr>
          <w:b/>
          <w:szCs w:val="22"/>
        </w:rPr>
        <w:t>PCBs</w:t>
      </w:r>
      <w:r>
        <w:rPr>
          <w:szCs w:val="22"/>
        </w:rPr>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98"/>
      <w:r>
        <w:rPr>
          <w:szCs w:val="22"/>
        </w:rPr>
        <w:t xml:space="preserve"> For purposes of this </w:t>
      </w:r>
      <w:r>
        <w:rPr>
          <w:szCs w:val="22"/>
          <w:u w:val="single"/>
        </w:rPr>
        <w:t>Section </w:t>
      </w:r>
      <w:r>
        <w:rPr>
          <w:szCs w:val="22"/>
          <w:u w:val="single"/>
        </w:rPr>
        <w:fldChar w:fldCharType="begin"/>
      </w:r>
      <w:r>
        <w:rPr>
          <w:szCs w:val="22"/>
          <w:u w:val="single"/>
        </w:rPr>
        <w:instrText xml:space="preserve"> REF _Ref_ContractCompanion_9kb9Ur08I \n \h \t \* MERGEFORMAT </w:instrText>
      </w:r>
      <w:r>
        <w:rPr>
          <w:szCs w:val="22"/>
          <w:u w:val="single"/>
        </w:rPr>
      </w:r>
      <w:r>
        <w:rPr>
          <w:szCs w:val="22"/>
          <w:u w:val="single"/>
        </w:rPr>
        <w:fldChar w:fldCharType="separate"/>
      </w:r>
      <w:r w:rsidR="008E009B">
        <w:rPr>
          <w:szCs w:val="22"/>
          <w:u w:val="single"/>
        </w:rPr>
        <w:t>2.22</w:t>
      </w:r>
      <w:r>
        <w:rPr>
          <w:szCs w:val="22"/>
          <w:u w:val="single"/>
        </w:rPr>
        <w:fldChar w:fldCharType="end"/>
      </w:r>
      <w:r>
        <w:rPr>
          <w:szCs w:val="22"/>
        </w:rPr>
        <w:t>, “</w:t>
      </w:r>
      <w:r>
        <w:rPr>
          <w:b/>
          <w:szCs w:val="22"/>
        </w:rPr>
        <w:t>Environmental Laws</w:t>
      </w:r>
      <w:r>
        <w:rPr>
          <w:szCs w:val="22"/>
        </w:rPr>
        <w:t>”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14:paraId="0DF4111D" w14:textId="6E3D1183" w:rsidR="00183D8F" w:rsidRPr="00623780" w:rsidRDefault="009D2311" w:rsidP="00E81655">
      <w:pPr>
        <w:pStyle w:val="Heading2"/>
        <w:rPr>
          <w:vanish/>
          <w:szCs w:val="22"/>
          <w:specVanish/>
        </w:rPr>
      </w:pPr>
      <w:bookmarkStart w:id="99" w:name="_Ref145427831"/>
      <w:r>
        <w:rPr>
          <w:szCs w:val="22"/>
          <w:u w:val="single"/>
        </w:rPr>
        <w:t>[Qualified Small Business Stock</w:t>
      </w:r>
      <w:bookmarkEnd w:id="99"/>
    </w:p>
    <w:p w14:paraId="53934D46" w14:textId="2ACF4861" w:rsidR="00666D11" w:rsidRPr="00623780" w:rsidRDefault="009244B2" w:rsidP="00150A0F">
      <w:pPr>
        <w:pStyle w:val="HeadingPara2"/>
        <w:rPr>
          <w:szCs w:val="22"/>
        </w:rPr>
      </w:pPr>
      <w:r>
        <w:rPr>
          <w:szCs w:val="22"/>
        </w:rPr>
        <w:t>.</w:t>
      </w:r>
      <w:r>
        <w:rPr>
          <w:rStyle w:val="FootnoteReference"/>
          <w:szCs w:val="22"/>
        </w:rPr>
        <w:footnoteReference w:id="64"/>
      </w:r>
      <w:r>
        <w:rPr>
          <w:szCs w:val="22"/>
        </w:rPr>
        <w:t xml:space="preserve"> As of and immediately following the [Initial] Closing: (i) the Company will be an eligible corporation as defined in Section 1202(e)(4) of the Code, (ii) the Company will not have made purchases of its own stock described in Code Section 1202(c)(3)(B) during the one-year period preceding the [Initial] Closing, except for purchases that are disregarded for such purposes under Treasury Regulation Section 1.1202-2, and (iii) the Company’s aggregate gross assets, as defined by Code Section 1202(d)(2), at no time between its incorporation and through the [Initial] Closing have exceeded $75 million, taking into account the assets of any corporations required to be aggregated with the Company in accordance with Code Section 1202(d)(3); </w:t>
      </w:r>
      <w:r>
        <w:rPr>
          <w:szCs w:val="22"/>
          <w:u w:val="single"/>
        </w:rPr>
        <w:t>provided</w:t>
      </w:r>
      <w:r>
        <w:rPr>
          <w:szCs w:val="22"/>
        </w:rPr>
        <w:t xml:space="preserve">, </w:t>
      </w:r>
      <w:r>
        <w:rPr>
          <w:szCs w:val="22"/>
          <w:u w:val="single"/>
        </w:rPr>
        <w:t>however</w:t>
      </w:r>
      <w:r>
        <w:rPr>
          <w:szCs w:val="22"/>
        </w:rPr>
        <w:t xml:space="preserve">, that in no event shall the Company be liable to the Purchasers or any other party for any damages arising from any subsequently proven or identified error in the Company’s determination with respect to the applicability or interpretation of Code Section 1202, unless such determination shall have been given by the Company in a manner either grossly negligent or fraudulent.] </w:t>
      </w:r>
    </w:p>
    <w:p w14:paraId="4591046B" w14:textId="37D5D0BE" w:rsidR="00183D8F" w:rsidRPr="00623780" w:rsidRDefault="009D2311" w:rsidP="00B403FF">
      <w:pPr>
        <w:pStyle w:val="Heading2"/>
        <w:rPr>
          <w:vanish/>
          <w:szCs w:val="22"/>
          <w:specVanish/>
        </w:rPr>
      </w:pPr>
      <w:bookmarkStart w:id="100" w:name="_Ref145427844"/>
      <w:r>
        <w:rPr>
          <w:szCs w:val="22"/>
          <w:u w:val="single"/>
        </w:rPr>
        <w:t>[Small Business Concern</w:t>
      </w:r>
      <w:bookmarkEnd w:id="100"/>
    </w:p>
    <w:p w14:paraId="3D40DE9D" w14:textId="691954C1" w:rsidR="00666D11" w:rsidRPr="00623780" w:rsidRDefault="009244B2" w:rsidP="00150A0F">
      <w:pPr>
        <w:pStyle w:val="HeadingPara2"/>
        <w:rPr>
          <w:szCs w:val="22"/>
        </w:rPr>
      </w:pPr>
      <w:r>
        <w:rPr>
          <w:szCs w:val="22"/>
        </w:rPr>
        <w:t>.</w:t>
      </w:r>
      <w:r>
        <w:rPr>
          <w:rStyle w:val="FootnoteReference"/>
          <w:szCs w:val="22"/>
        </w:rPr>
        <w:footnoteReference w:id="65"/>
      </w:r>
      <w:r>
        <w:rPr>
          <w:szCs w:val="22"/>
        </w:rPr>
        <w:t xml:space="preserve"> The Company together with its “affiliates” (as that term is defined in Section 121.103 of Title 13 of the Code of Federal Regulations (“</w:t>
      </w:r>
      <w:r>
        <w:rPr>
          <w:b/>
          <w:bCs/>
          <w:szCs w:val="22"/>
        </w:rPr>
        <w:t>CFR</w:t>
      </w:r>
      <w:r>
        <w:rPr>
          <w:szCs w:val="22"/>
        </w:rPr>
        <w:t>”)) is a [“small business concern”][“smaller business”] within the meaning of the Small Business Investment Act of 1958, as amended (the “</w:t>
      </w:r>
      <w:r>
        <w:rPr>
          <w:b/>
          <w:szCs w:val="22"/>
        </w:rPr>
        <w:t>Small Business Act</w:t>
      </w:r>
      <w:r>
        <w:rPr>
          <w:szCs w:val="22"/>
        </w:rPr>
        <w:t>”), and the regulations promulgated thereunder, including [Section 121.301 of Title 13 of the CFR][Section 107.710 of Title 13 of the CFR]. The information delivered to each Purchaser that is a licensed Small Business Investment Company (an “</w:t>
      </w:r>
      <w:r>
        <w:rPr>
          <w:b/>
          <w:szCs w:val="22"/>
        </w:rPr>
        <w:t>SBIC Purchaser</w:t>
      </w:r>
      <w:r>
        <w:rPr>
          <w:szCs w:val="22"/>
        </w:rPr>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564E9681" w14:textId="20B5D022" w:rsidR="00183D8F" w:rsidRPr="00623780" w:rsidRDefault="009D2311" w:rsidP="001770E6">
      <w:pPr>
        <w:pStyle w:val="Heading2"/>
        <w:widowControl w:val="0"/>
        <w:rPr>
          <w:vanish/>
          <w:szCs w:val="22"/>
          <w:specVanish/>
        </w:rPr>
      </w:pPr>
      <w:bookmarkStart w:id="101" w:name="_Ref162989089"/>
      <w:r>
        <w:rPr>
          <w:szCs w:val="22"/>
          <w:u w:val="single"/>
        </w:rPr>
        <w:t>[Foreign Corrupt Practices Act</w:t>
      </w:r>
      <w:bookmarkEnd w:id="101"/>
    </w:p>
    <w:p w14:paraId="7D22FDE7" w14:textId="451149E4" w:rsidR="00666D11" w:rsidRPr="00623780" w:rsidRDefault="002E2E2B" w:rsidP="00150A0F">
      <w:pPr>
        <w:pStyle w:val="HeadingPara2"/>
        <w:rPr>
          <w:szCs w:val="22"/>
        </w:rPr>
      </w:pPr>
      <w:r>
        <w:rPr>
          <w:szCs w:val="22"/>
        </w:rPr>
        <w:t xml:space="preserve">. </w:t>
      </w:r>
      <w:r>
        <w:t>To the Company’s knowledge, none of the Company or its subsidiaries, nor any of their directors, officers, employees or agents</w:t>
      </w:r>
      <w:r w:rsidR="0010193B">
        <w:t xml:space="preserve">  </w:t>
      </w:r>
      <w:r w:rsidR="0010193B" w:rsidRPr="000E44C6">
        <w:t>(in each case, while acting in such capacities)</w:t>
      </w:r>
      <w:r>
        <w:t xml:space="preserve">, have directly or indirectly made, offered, promised, or authorized any payment or gift of any </w:t>
      </w:r>
      <w:r>
        <w:lastRenderedPageBreak/>
        <w:t>money or anything of value to or for the benefit of any “foreign official” (as defined in the U.S. Foreign Corrupt Practices Act (the “</w:t>
      </w:r>
      <w:r>
        <w:rPr>
          <w:b/>
        </w:rPr>
        <w:t>FCPA</w:t>
      </w:r>
      <w:r>
        <w:t>”)), foreign political party or official thereof or candidate for foreign political office  (each, a “</w:t>
      </w:r>
      <w:r>
        <w:rPr>
          <w:b/>
          <w:bCs/>
        </w:rPr>
        <w:t>Government Official</w:t>
      </w:r>
      <w:r>
        <w:t>”) for the purpose of (i) influencing any official act or decision of such Government Official, (ii) inducing such Government Official to do or omit to do any act in violation of their lawful duty</w:t>
      </w:r>
      <w:r w:rsidR="004D63AA">
        <w:t>,</w:t>
      </w:r>
      <w:r>
        <w:t xml:space="preserve"> (iii) inducing such Government Official to use their influence to affect any act or decision of a governmental authority, or (iv) securing any improper advantage, in the case of (i)-(iv) above in order to assist the Company or its subsidiaries in obtaining or retaining business for or with, or directing business to, any person. Neither the Company nor its subsidiaries, nor any of their directors, officers, employees or, to the Company’s knowledge, agents</w:t>
      </w:r>
      <w:r w:rsidR="006644B7">
        <w:t xml:space="preserve">  </w:t>
      </w:r>
      <w:r w:rsidR="006644B7" w:rsidRPr="000E44C6">
        <w:t>(in each case, while acting in such capacities)</w:t>
      </w:r>
      <w:r>
        <w:t>, have made or authorized any bribe, rebate, payoff, influence payment, kickback, or other unlawful payment of funds or received or retained any funds in violation of any applicable Anti-Corruption Law (as defined below). [The Company represents that it has maintained, and has caused its subsidiaries to maintain, systems of internal controls (accounting systems, purchasing systems and billing systems) [and written policies] reasonably designed to ensure compliance with the FCPA or any other applicable anti-bribery or anti-corruption law (collectively, “</w:t>
      </w:r>
      <w:r>
        <w:rPr>
          <w:b/>
          <w:bCs/>
        </w:rPr>
        <w:t>Anti-Corruption Laws</w:t>
      </w:r>
      <w:r>
        <w:t>”), and reasonably designed to ensure that all books and records of the Company accurately and fairly reflect, in reasonable detail, all transactions and dispositions of funds and assets.]</w:t>
      </w:r>
      <w:r>
        <w:rPr>
          <w:rStyle w:val="FootnoteReference"/>
          <w:szCs w:val="22"/>
        </w:rPr>
        <w:footnoteReference w:id="66"/>
      </w:r>
      <w:r>
        <w:t xml:space="preserve"> Neither the Company nor[, to the Company’s knowledge,] any of its officers, directors, or employees, are the subject of any allegation, voluntary disclosure, investigation, prosecution or other enforcement action related to appliable Anti-Corruption Laws (“</w:t>
      </w:r>
      <w:r>
        <w:rPr>
          <w:b/>
          <w:bCs/>
        </w:rPr>
        <w:t>Enforcement Action</w:t>
      </w:r>
      <w:r>
        <w:t>”).]</w:t>
      </w:r>
    </w:p>
    <w:p w14:paraId="0D864898" w14:textId="79FE6A49" w:rsidR="00183D8F" w:rsidRPr="00623780" w:rsidRDefault="009D2311" w:rsidP="00022296">
      <w:pPr>
        <w:pStyle w:val="Heading2"/>
        <w:rPr>
          <w:vanish/>
          <w:szCs w:val="22"/>
          <w:specVanish/>
        </w:rPr>
      </w:pPr>
      <w:bookmarkStart w:id="102" w:name="_Ref_ContractCompanion_9kb9Ur04C"/>
      <w:r>
        <w:rPr>
          <w:szCs w:val="22"/>
          <w:u w:val="single"/>
        </w:rPr>
        <w:t>Data Privacy</w:t>
      </w:r>
    </w:p>
    <w:p w14:paraId="62F63AF4" w14:textId="37835865" w:rsidR="00BF69C6" w:rsidRPr="00623780" w:rsidRDefault="009244B2" w:rsidP="00150A0F">
      <w:pPr>
        <w:pStyle w:val="HeadingPara2"/>
        <w:rPr>
          <w:szCs w:val="22"/>
        </w:rPr>
      </w:pPr>
      <w:r>
        <w:rPr>
          <w:szCs w:val="22"/>
        </w:rPr>
        <w:t xml:space="preserve">. </w:t>
      </w:r>
      <w:bookmarkEnd w:id="102"/>
    </w:p>
    <w:p w14:paraId="40FF0D26" w14:textId="11913D24" w:rsidR="00BF69C6" w:rsidRPr="00623780" w:rsidRDefault="00FD5C20" w:rsidP="00AD2F32">
      <w:pPr>
        <w:pStyle w:val="Heading3"/>
        <w:rPr>
          <w:szCs w:val="22"/>
        </w:rPr>
      </w:pPr>
      <w:r>
        <w:rPr>
          <w:szCs w:val="22"/>
        </w:rPr>
        <w:t>In connection with the collection, storage, use, access, disclosure and/or other processing of any information that constitutes “personal information,” “personal data,” “personally identifiable information” or analogous term as defined in applicable laws (collectively, “</w:t>
      </w:r>
      <w:r>
        <w:rPr>
          <w:b/>
          <w:szCs w:val="22"/>
        </w:rPr>
        <w:t>Personal Information</w:t>
      </w:r>
      <w:r>
        <w:rPr>
          <w:szCs w:val="22"/>
        </w:rPr>
        <w:t>”), by or on behalf of the Company, to the Company’s knowledge, the Company is and has been in compliance in all material respects with the following (collectively, “</w:t>
      </w:r>
      <w:r>
        <w:rPr>
          <w:b/>
          <w:bCs/>
          <w:szCs w:val="22"/>
        </w:rPr>
        <w:t>Privacy Requirements</w:t>
      </w:r>
      <w:r>
        <w:rPr>
          <w:szCs w:val="22"/>
        </w:rPr>
        <w:t xml:space="preserve">”): (i) all applicable laws governing privacy or data security in all relevant jurisdictions relating to data loss, data theft, and security breach notification obligations, telephone or text message communications, artificial intelligence and automated decision-making, or marketing by email or other channels, (ii) the Company’s published privacy policies, and (iii) the privacy or data security requirements of any contracts, codes of conduct, or industry standards by which the Company is legally bound. </w:t>
      </w:r>
    </w:p>
    <w:p w14:paraId="7763C40C" w14:textId="60F46A77" w:rsidR="00BF69C6" w:rsidRPr="00623780" w:rsidRDefault="00FD5C20" w:rsidP="00AD2F32">
      <w:pPr>
        <w:pStyle w:val="Heading3"/>
        <w:rPr>
          <w:szCs w:val="22"/>
        </w:rPr>
      </w:pPr>
      <w:bookmarkStart w:id="103" w:name="_Hlk184376290"/>
      <w:r>
        <w:rPr>
          <w:szCs w:val="22"/>
        </w:rPr>
        <w:t>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bookmarkEnd w:id="103"/>
      <w:r>
        <w:rPr>
          <w:szCs w:val="22"/>
        </w:rPr>
        <w:t xml:space="preserve"> </w:t>
      </w:r>
    </w:p>
    <w:p w14:paraId="0B6627D2" w14:textId="0C29FDC0" w:rsidR="00BF69C6" w:rsidRPr="00623780" w:rsidRDefault="00BF69C6" w:rsidP="00AD2F32">
      <w:pPr>
        <w:pStyle w:val="Heading3"/>
        <w:rPr>
          <w:szCs w:val="22"/>
        </w:rPr>
      </w:pPr>
      <w:r>
        <w:rPr>
          <w:szCs w:val="22"/>
        </w:rPr>
        <w:t xml:space="preserve">[To the extent the Company maintains or transmits protected health information, as defined under 45 C.F.R. § 160.103, </w:t>
      </w:r>
      <w:r>
        <w:rPr>
          <w:szCs w:val="22"/>
          <w:lang w:eastAsia="ko-KR"/>
        </w:rPr>
        <w:t xml:space="preserve">as a covered entity or business associate, as defined therein, (i) </w:t>
      </w:r>
      <w:r>
        <w:rPr>
          <w:szCs w:val="22"/>
        </w:rPr>
        <w:t xml:space="preserve">the Company is in compliance with the applicable requirements of </w:t>
      </w:r>
      <w:bookmarkStart w:id="104" w:name="_Hlk151396565"/>
      <w:r>
        <w:rPr>
          <w:szCs w:val="22"/>
        </w:rPr>
        <w:t>the Health Insurance Portability and Accountability Act of 1996 (“</w:t>
      </w:r>
      <w:r>
        <w:rPr>
          <w:b/>
          <w:bCs/>
          <w:szCs w:val="22"/>
        </w:rPr>
        <w:t>HIPAA</w:t>
      </w:r>
      <w:r>
        <w:rPr>
          <w:szCs w:val="22"/>
        </w:rPr>
        <w:t>”)</w:t>
      </w:r>
      <w:bookmarkEnd w:id="104"/>
      <w:r>
        <w:rPr>
          <w:szCs w:val="22"/>
        </w:rPr>
        <w:t>, as amended by the Health Information Technology for Economic and Clinical Health Act, including all binding rules and regulations promulgated thereunder and (ii) without limiting the generality of the foregoing</w:t>
      </w:r>
      <w:bookmarkStart w:id="105" w:name="_Ref466857666"/>
      <w:r>
        <w:rPr>
          <w:szCs w:val="22"/>
        </w:rPr>
        <w:t xml:space="preserve">, the Company: (A) has designated a privacy official and a security official who is responsible for the development and implementation of the entity’s privacy and security compliance infrastructure; (B) </w:t>
      </w:r>
      <w:bookmarkEnd w:id="105"/>
      <w:r>
        <w:rPr>
          <w:szCs w:val="22"/>
        </w:rPr>
        <w:t xml:space="preserve">has entered into, and complies with the terms of, business associate </w:t>
      </w:r>
      <w:r>
        <w:rPr>
          <w:szCs w:val="22"/>
        </w:rPr>
        <w:lastRenderedPageBreak/>
        <w:t>agreements as described under HIPAA when required by HIPAA; (C) has provided regular training to its workforce with respect to and to the extent required for compliance with HIPAA; (D) has adopted, and has been in compliance with, privacy and security compliance policies and procedures in compliance with HIPAA; and (E) has completed regular security risk analyses in compliance with HIPAA and has addressed and remediated all material threats, vulnerabilities and deficiencies that have been identified.</w:t>
      </w:r>
      <w:r>
        <w:rPr>
          <w:rStyle w:val="FootnoteReference"/>
          <w:szCs w:val="22"/>
        </w:rPr>
        <w:footnoteReference w:id="67"/>
      </w:r>
      <w:r>
        <w:rPr>
          <w:szCs w:val="22"/>
        </w:rPr>
        <w:t>]</w:t>
      </w:r>
    </w:p>
    <w:p w14:paraId="65A341D6" w14:textId="41F85AE2" w:rsidR="00666D11" w:rsidRPr="00623780" w:rsidRDefault="00FD5C20" w:rsidP="00AD2F32">
      <w:pPr>
        <w:pStyle w:val="Heading3"/>
        <w:rPr>
          <w:szCs w:val="22"/>
        </w:rPr>
      </w:pPr>
      <w:r>
        <w:rPr>
          <w:szCs w:val="22"/>
        </w:rPr>
        <w:t>[To the Company’s knowledge, there has been no material unlawful, accidental or unauthorized access to, or destruction, loss, use, modification, disclosure, or other processing of, Personal Information owned, stored, used, maintained or controlled by or on behalf of the Company [where Privacy Requirements obligate the Company to notify government authorities, affected individuals or other parties of such occurrence].]</w:t>
      </w:r>
    </w:p>
    <w:p w14:paraId="1F4817DD" w14:textId="6FC3696A" w:rsidR="00183D8F" w:rsidRPr="00623780" w:rsidRDefault="009D2311" w:rsidP="00CA12FE">
      <w:pPr>
        <w:pStyle w:val="Heading2"/>
        <w:rPr>
          <w:vanish/>
          <w:szCs w:val="22"/>
          <w:specVanish/>
        </w:rPr>
      </w:pPr>
      <w:r>
        <w:rPr>
          <w:szCs w:val="22"/>
          <w:u w:val="single"/>
        </w:rPr>
        <w:t>[Export Control Laws</w:t>
      </w:r>
    </w:p>
    <w:p w14:paraId="0294786A" w14:textId="1B79EEE4" w:rsidR="00FD5C20" w:rsidRPr="00623780" w:rsidRDefault="009244B2" w:rsidP="00150A0F">
      <w:pPr>
        <w:pStyle w:val="HeadingPara2"/>
        <w:rPr>
          <w:szCs w:val="22"/>
        </w:rPr>
      </w:pPr>
      <w:r>
        <w:rPr>
          <w:szCs w:val="22"/>
        </w:rPr>
        <w:t>. The Company has conducted any export transactions in compliance in all material respects with applicable provisions of United States export control laws and regulations, including the Export Administration Regulations, the International Traffic in Arms Regulations, the regulations administered by the Office of Foreign Assets Control of the U.S. Department of the Treasury, and the export control laws and regulations of any other applicable jurisdiction (collectively, “</w:t>
      </w:r>
      <w:r>
        <w:rPr>
          <w:b/>
          <w:bCs/>
          <w:szCs w:val="22"/>
        </w:rPr>
        <w:t>Export Control Laws</w:t>
      </w:r>
      <w:r>
        <w:rPr>
          <w:szCs w:val="22"/>
        </w:rPr>
        <w:t>”). Without limiting the foregoing: (a) the Company has obtained all required export licenses and other approvals and timely filed any other required filings to the extent required pursuant to Export Control Laws; (b) the Company is in compliance in all material respects with the terms of all applicable export licenses, filing requirements or other approvals; (c) there are no pending or, to the Company’s knowledge, threatened claims or investigations against the Company with respect to Export Control Laws; and (d) [to the Company’s knowledge,] there are no actions, conditions, or circumstances pertaining to the Company’s export transactions that would reasonably be expected to give rise to any material future claims.]</w:t>
      </w:r>
    </w:p>
    <w:p w14:paraId="6D0FAD9B" w14:textId="36AFF521" w:rsidR="00183D8F" w:rsidRPr="00623780" w:rsidRDefault="00FD5C20" w:rsidP="00C62B7D">
      <w:pPr>
        <w:pStyle w:val="Heading2"/>
        <w:rPr>
          <w:vanish/>
          <w:szCs w:val="22"/>
          <w:specVanish/>
        </w:rPr>
      </w:pPr>
      <w:bookmarkStart w:id="106" w:name="_Ref146432964"/>
      <w:bookmarkStart w:id="107" w:name="_Ref146433085"/>
      <w:r>
        <w:rPr>
          <w:szCs w:val="22"/>
        </w:rPr>
        <w:t>[</w:t>
      </w:r>
      <w:r>
        <w:rPr>
          <w:szCs w:val="22"/>
          <w:u w:val="single"/>
        </w:rPr>
        <w:t>Healthcare Laws</w:t>
      </w:r>
    </w:p>
    <w:p w14:paraId="03F18ACD" w14:textId="34F34546" w:rsidR="00FD5C20" w:rsidRPr="00623780" w:rsidRDefault="00FD5C20" w:rsidP="00150A0F">
      <w:pPr>
        <w:pStyle w:val="HeadingPara2"/>
        <w:rPr>
          <w:szCs w:val="22"/>
        </w:rPr>
      </w:pPr>
      <w:r>
        <w:rPr>
          <w:szCs w:val="22"/>
        </w:rPr>
        <w:t>. The Company is and has been in material compliance with all applicable Healthcare Laws. “</w:t>
      </w:r>
      <w:r>
        <w:rPr>
          <w:b/>
          <w:bCs/>
          <w:szCs w:val="22"/>
        </w:rPr>
        <w:t>Healthcare Laws</w:t>
      </w:r>
      <w:r>
        <w:rPr>
          <w:szCs w:val="22"/>
        </w:rPr>
        <w:t>”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[the Health Insurance Portability and Accountability Act of 1996][HIPAA]; and all applicable implementing regulations, rules, ordinances, and orders related to any of the foregoing.]</w:t>
      </w:r>
      <w:r>
        <w:rPr>
          <w:rStyle w:val="FootnoteReference"/>
          <w:szCs w:val="22"/>
        </w:rPr>
        <w:footnoteReference w:id="68"/>
      </w:r>
    </w:p>
    <w:p w14:paraId="054113C1" w14:textId="175BC2F1" w:rsidR="00183D8F" w:rsidRPr="00623780" w:rsidRDefault="00BD1085" w:rsidP="00C62B7D">
      <w:pPr>
        <w:pStyle w:val="Heading2"/>
        <w:rPr>
          <w:vanish/>
          <w:szCs w:val="22"/>
          <w:specVanish/>
        </w:rPr>
      </w:pPr>
      <w:bookmarkStart w:id="108" w:name="_Ref175117049"/>
      <w:bookmarkStart w:id="109" w:name="_Ref_ContractCompanion_9kb9Ur017"/>
      <w:r>
        <w:rPr>
          <w:szCs w:val="22"/>
          <w:u w:val="single"/>
        </w:rPr>
        <w:t>CFIUS Representations</w:t>
      </w:r>
      <w:bookmarkEnd w:id="108"/>
    </w:p>
    <w:p w14:paraId="59A46897" w14:textId="6FA2773D" w:rsidR="006E6CB3" w:rsidRPr="00623780" w:rsidRDefault="00BD1085" w:rsidP="00150A0F">
      <w:pPr>
        <w:pStyle w:val="HeadingPara2"/>
        <w:rPr>
          <w:szCs w:val="22"/>
        </w:rPr>
      </w:pPr>
      <w:r>
        <w:rPr>
          <w:szCs w:val="22"/>
        </w:rPr>
        <w:t>.</w:t>
      </w:r>
      <w:r w:rsidR="0071352D">
        <w:rPr>
          <w:rStyle w:val="FootnoteReference"/>
          <w:color w:val="282828"/>
          <w:szCs w:val="22"/>
        </w:rPr>
        <w:footnoteReference w:id="69"/>
      </w:r>
      <w:r>
        <w:rPr>
          <w:szCs w:val="22"/>
        </w:rPr>
        <w:t xml:space="preserve"> The Company does not engage in (a) the design, fabrication, development, testing, production or manufacture of one or more “critical technologies” within the meaning </w:t>
      </w:r>
      <w:r>
        <w:rPr>
          <w:szCs w:val="22"/>
        </w:rPr>
        <w:lastRenderedPageBreak/>
        <w:t xml:space="preserve">of </w:t>
      </w:r>
      <w:r w:rsidR="00D5173A">
        <w:rPr>
          <w:szCs w:val="22"/>
        </w:rPr>
        <w:t xml:space="preserve">Section 721 of </w:t>
      </w:r>
      <w:r>
        <w:rPr>
          <w:szCs w:val="22"/>
        </w:rPr>
        <w:t>the Defense Production Act of 1950, as amended, including all implementing regulations thereof (the “</w:t>
      </w:r>
      <w:r>
        <w:rPr>
          <w:b/>
          <w:bCs/>
          <w:szCs w:val="22"/>
        </w:rPr>
        <w:t>DPA</w:t>
      </w:r>
      <w:r>
        <w:rPr>
          <w:szCs w:val="22"/>
        </w:rPr>
        <w:t xml:space="preserve">”); (b) the ownership, operation, maintenance, supply, manufacture, or servicing of “covered investment critical infrastructure” within the meaning of the DPA (where such activities are covered by column 2 of Appendix A to 31 C.F.R. Part 800); or (c) the maintenance or collection, directly or indirectly, of “sensitive personal data” of U.S. citizens within the meaning of the DPA. </w:t>
      </w:r>
      <w:r w:rsidR="0071352D">
        <w:rPr>
          <w:szCs w:val="22"/>
        </w:rPr>
        <w:t>[</w:t>
      </w:r>
      <w:r>
        <w:rPr>
          <w:szCs w:val="22"/>
        </w:rPr>
        <w:t>The Company has no current intention of engaging in such activities in the future.</w:t>
      </w:r>
      <w:r w:rsidR="0071352D">
        <w:rPr>
          <w:szCs w:val="22"/>
        </w:rPr>
        <w:t>]</w:t>
      </w:r>
      <w:bookmarkStart w:id="110" w:name="_Ref444619863"/>
      <w:bookmarkEnd w:id="109"/>
    </w:p>
    <w:p w14:paraId="2DE4417A" w14:textId="6D85BFF2" w:rsidR="00623940" w:rsidRPr="00623780" w:rsidRDefault="00623940" w:rsidP="0025639E">
      <w:pPr>
        <w:pStyle w:val="Heading2"/>
        <w:rPr>
          <w:szCs w:val="22"/>
        </w:rPr>
      </w:pPr>
      <w:r>
        <w:rPr>
          <w:szCs w:val="22"/>
          <w:u w:val="single"/>
        </w:rPr>
        <w:t>[Preclinical Development and Clinical Trials</w:t>
      </w:r>
      <w:r>
        <w:rPr>
          <w:szCs w:val="22"/>
        </w:rPr>
        <w:t>.</w:t>
      </w:r>
      <w:r>
        <w:rPr>
          <w:rStyle w:val="FootnoteReference"/>
          <w:color w:val="282828"/>
          <w:szCs w:val="22"/>
        </w:rPr>
        <w:footnoteReference w:id="70"/>
      </w:r>
      <w:r>
        <w:rPr>
          <w:szCs w:val="22"/>
        </w:rPr>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Pr>
          <w:color w:val="282828"/>
          <w:szCs w:val="22"/>
        </w:rPr>
        <w:t xml:space="preserve">, including </w:t>
      </w:r>
      <w:r>
        <w:rPr>
          <w:szCs w:val="22"/>
        </w:rPr>
        <w:t xml:space="preserve">the Federal Food, Drug, and Cosmetic Act </w:t>
      </w:r>
      <w:r>
        <w:rPr>
          <w:color w:val="282828"/>
          <w:szCs w:val="22"/>
        </w:rPr>
        <w:t>and 21 C.F.R. parts 50, 54, 56, 58, [312, and 812]</w:t>
      </w:r>
      <w:r>
        <w:rPr>
          <w:rStyle w:val="FootnoteReference"/>
          <w:szCs w:val="22"/>
        </w:rPr>
        <w:footnoteReference w:id="71"/>
      </w:r>
      <w:r>
        <w:rPr>
          <w:szCs w:val="22"/>
        </w:rPr>
        <w:t>. The descriptions of, protocols for, and data and other results of, the studies, tests, development and trials conducted by or on behalf of the Company that have been furnished or made available to the Purchasers are accurate and complete in all material respects. The Company has not received any notices or correspondence from the U.S. Food and Drug Administration (“</w:t>
      </w:r>
      <w:r>
        <w:rPr>
          <w:b/>
          <w:szCs w:val="22"/>
        </w:rPr>
        <w:t>FDA</w:t>
      </w:r>
      <w:r>
        <w:rPr>
          <w:szCs w:val="22"/>
        </w:rPr>
        <w:t>”) or any other governmental entity or any institutional review board or comparable authority requiring the termination, suspension or material modification of any studies, tests, preclinical development or clinical trials conducted by or on behalf of the Company.]</w:t>
      </w:r>
    </w:p>
    <w:p w14:paraId="28B0BBCA" w14:textId="77777777" w:rsidR="00623940" w:rsidRPr="00623780" w:rsidRDefault="00623940" w:rsidP="00623940">
      <w:pPr>
        <w:pStyle w:val="Heading2"/>
        <w:rPr>
          <w:vanish/>
          <w:szCs w:val="22"/>
          <w:specVanish/>
        </w:rPr>
      </w:pPr>
      <w:r>
        <w:rPr>
          <w:szCs w:val="22"/>
          <w:u w:val="single"/>
        </w:rPr>
        <w:t>[FDA Approvals</w:t>
      </w:r>
    </w:p>
    <w:p w14:paraId="089433DA" w14:textId="3B6FD86D" w:rsidR="00666D11" w:rsidRPr="00623780" w:rsidRDefault="00623940" w:rsidP="003E5B01">
      <w:r>
        <w:t>. (a) The Company possesses all required permits, licenses, registrations, certificates, authorizations, orders, exemptions, clearances and approvals from the appropriate federal, state or foreign regulatory authorities necessary to conduct its business [as now conducted] as required by the FDA or any other federal, state or foreign agencies or bodies engaged in the regulation of [</w:t>
      </w:r>
      <w:r>
        <w:rPr>
          <w:color w:val="282828"/>
        </w:rPr>
        <w:t xml:space="preserve">drugs, </w:t>
      </w:r>
      <w:r>
        <w:t>pharmaceuticals</w:t>
      </w:r>
      <w:r>
        <w:rPr>
          <w:color w:val="282828"/>
        </w:rPr>
        <w:t>, medical devices</w:t>
      </w:r>
      <w:r>
        <w:t xml:space="preserve"> or biohazardous materials]</w:t>
      </w:r>
      <w:r>
        <w:rPr>
          <w:rStyle w:val="FootnoteReference"/>
          <w:szCs w:val="22"/>
        </w:rPr>
        <w:footnoteReference w:id="72"/>
      </w:r>
      <w:r>
        <w:t xml:space="preserve">. (b) The Company has not received any notice of proceedings relating to the suspension, material modification, revocation or cancellation of any such permit, license, registration, certificate, authorization, order or approval. Neither the Company nor, to the Company’s knowledge, any officer, employee or agent of the Company has been convicted of any crime or engaged in any conduct that has previously caused or would reasonably be expected to result in (i) debarment by the FDA under 21 U.S.C. Sections 335a, or disqualification under any similar law, rule or regulation of any other governmental entities, </w:t>
      </w:r>
      <w:r>
        <w:rPr>
          <w:color w:val="282828"/>
        </w:rPr>
        <w:t xml:space="preserve">(ii) debarment, suspension, or exclusion under any federal healthcare programs or by the General Services Administration, </w:t>
      </w:r>
      <w:r>
        <w:t xml:space="preserve">or (iii) exclusion under 42 U.S.C. Section 1320a-7 or any similar law, rule or regulation of any governmental entities. </w:t>
      </w:r>
      <w:bookmarkStart w:id="111" w:name="_Ref347933544"/>
      <w:r>
        <w:t xml:space="preserve">(c) Neither the Company nor any of its officers, employees, or, to the Company’s knowledge, any of its contractors or agents is the subject of any pending or threatened investigation by FDA pursuant to its “Fraud, Untrue Statements of </w:t>
      </w:r>
      <w:r>
        <w:lastRenderedPageBreak/>
        <w:t>Material Facts, Bribery, and Illegal Gratuities” policy as stated at 56 Fed. Reg. 46191 (October 10, 1991) (the “</w:t>
      </w:r>
      <w:r>
        <w:rPr>
          <w:b/>
        </w:rPr>
        <w:t>FDA Application Integrity Policy</w:t>
      </w:r>
      <w:r>
        <w:t xml:space="preserve">”) and any amendments thereto, or by any other similar governmental entity pursuant to any similar policy. (d) Neither the Company nor any of its officers, employees, or to the Company’s knowledge, any of its contractors or agents has made any materially false statements on, or material omissions from, any notifications, applications, approvals, reports and other submissions to </w:t>
      </w:r>
      <w:bookmarkEnd w:id="111"/>
      <w:r>
        <w:t>FDA or any similar governmental entity that would reasonably be expected to provide a basis for FDA to invoke the FDA Application Integrity Policy or for any similar governmental entity to invoke a similar policy.]</w:t>
      </w:r>
      <w:r>
        <w:rPr>
          <w:rStyle w:val="FootnoteReference"/>
          <w:szCs w:val="22"/>
        </w:rPr>
        <w:footnoteReference w:id="73"/>
      </w:r>
      <w:bookmarkEnd w:id="110"/>
    </w:p>
    <w:p w14:paraId="3C0AFC86" w14:textId="1B40C712" w:rsidR="00183D8F" w:rsidRPr="00623780" w:rsidRDefault="000E2A73" w:rsidP="00B91F94">
      <w:pPr>
        <w:pStyle w:val="Heading2"/>
        <w:rPr>
          <w:vanish/>
          <w:color w:val="000000" w:themeColor="text1"/>
          <w:szCs w:val="22"/>
          <w:specVanish/>
        </w:rPr>
      </w:pPr>
      <w:bookmarkStart w:id="112" w:name="_Ref137606194"/>
      <w:r>
        <w:rPr>
          <w:szCs w:val="22"/>
          <w:u w:val="single"/>
        </w:rPr>
        <w:t>Sanctions</w:t>
      </w:r>
      <w:bookmarkEnd w:id="112"/>
    </w:p>
    <w:p w14:paraId="38939544" w14:textId="644D64D0" w:rsidR="00B46031" w:rsidRPr="00623780" w:rsidRDefault="000E2A73" w:rsidP="00150A0F">
      <w:pPr>
        <w:pStyle w:val="HeadingPara2"/>
        <w:rPr>
          <w:szCs w:val="22"/>
        </w:rPr>
      </w:pPr>
      <w:r>
        <w:rPr>
          <w:szCs w:val="22"/>
        </w:rPr>
        <w:t>. (a) [Since April 24, 2019]</w:t>
      </w:r>
      <w:r>
        <w:rPr>
          <w:rStyle w:val="FootnoteReference"/>
          <w:color w:val="000000" w:themeColor="text1"/>
          <w:szCs w:val="22"/>
        </w:rPr>
        <w:footnoteReference w:id="74"/>
      </w:r>
      <w:r>
        <w:t>,</w:t>
      </w:r>
      <w:r>
        <w:rPr>
          <w:szCs w:val="22"/>
        </w:rPr>
        <w:t xml:space="preserve"> the Company and its subsidiaries have complied [in all material respects] with applicable laws and regulations pertaining to trade and economic sanctions administered by the United States[, European Union, or United Kingdom]</w:t>
      </w:r>
      <w:r>
        <w:rPr>
          <w:rStyle w:val="FootnoteReference"/>
          <w:color w:val="000000" w:themeColor="text1"/>
          <w:szCs w:val="22"/>
        </w:rPr>
        <w:footnoteReference w:id="75"/>
      </w:r>
      <w:r>
        <w:rPr>
          <w:szCs w:val="22"/>
        </w:rPr>
        <w:t xml:space="preserve"> (collectively, “</w:t>
      </w:r>
      <w:r>
        <w:rPr>
          <w:b/>
          <w:bCs/>
          <w:szCs w:val="22"/>
        </w:rPr>
        <w:t>Sanctions</w:t>
      </w:r>
      <w:r>
        <w:rPr>
          <w:szCs w:val="22"/>
        </w:rPr>
        <w:t xml:space="preserve">”). (b) </w:t>
      </w:r>
      <w:bookmarkStart w:id="113" w:name="_Hlk176447448"/>
      <w:r>
        <w:rPr>
          <w:szCs w:val="22"/>
        </w:rPr>
        <w:t>None of the Company, its subsidiaries, or their respective directors, officers, employees, or, to the Company’s knowledge, the Company’s or subsidiaries’ agents is: (i) organized under the laws of, ordinarily resident in, or located in a country or territory that is the subject of comprehensive Sanctions (“</w:t>
      </w:r>
      <w:r>
        <w:rPr>
          <w:b/>
          <w:bCs/>
          <w:szCs w:val="22"/>
        </w:rPr>
        <w:t>Restricted Countries</w:t>
      </w:r>
      <w:r>
        <w:rPr>
          <w:szCs w:val="22"/>
        </w:rPr>
        <w:t>”</w:t>
      </w:r>
      <w:r>
        <w:rPr>
          <w:rStyle w:val="FootnoteReference"/>
          <w:szCs w:val="22"/>
        </w:rPr>
        <w:footnoteReference w:id="76"/>
      </w:r>
      <w:r>
        <w:rPr>
          <w:szCs w:val="22"/>
        </w:rPr>
        <w:t>)</w:t>
      </w:r>
      <w:bookmarkEnd w:id="113"/>
      <w:r>
        <w:rPr>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[and ]Sectoral Sanctions Identification List[, the Consolidated List of Persons, Groups, and Entities Subject to EU Financial Sanctions, and the UK’s Consolidated Sanctions List] (collectively, “</w:t>
      </w:r>
      <w:r>
        <w:rPr>
          <w:b/>
          <w:bCs/>
          <w:szCs w:val="22"/>
        </w:rPr>
        <w:t>Designated Parties</w:t>
      </w:r>
      <w:r>
        <w:rPr>
          <w:szCs w:val="22"/>
        </w:rPr>
        <w:t>”); or (B) 50% or more owned or, where relevant under applicable Sanctions, controlled, individually or in the aggregate, by one or more Designated Party, in each case only to the extent that dealings with such persons are prohibited pursuant to applicable Sanctions</w:t>
      </w:r>
      <w:r>
        <w:rPr>
          <w:rStyle w:val="FootnoteReference"/>
          <w:color w:val="000000" w:themeColor="text1"/>
          <w:szCs w:val="22"/>
        </w:rPr>
        <w:footnoteReference w:id="77"/>
      </w:r>
      <w:r>
        <w:rPr>
          <w:szCs w:val="22"/>
        </w:rPr>
        <w:t xml:space="preserve"> (collectively, “</w:t>
      </w:r>
      <w:r>
        <w:rPr>
          <w:b/>
          <w:bCs/>
          <w:szCs w:val="22"/>
        </w:rPr>
        <w:t>Sanctioned Parties</w:t>
      </w:r>
      <w:r>
        <w:rPr>
          <w:szCs w:val="22"/>
        </w:rPr>
        <w:t>”). (c) [Since April 24, 2019], none of the Company, its subsidiaries, or any of their respective officers, directors, or employees: (i) has been the subject or target of any investigation, prosecution, other enforcement action, or government inquiry related to Sanctions violations; or (ii) submitted a voluntary self-disclosure to any U.S. [or, [to the Company’s knowledge,] other relevant] government agency regarding actual or potential Sanctions violations. (d) The Company maintains policies and procedures reasonably designed to promote compliance with applicable Sanctions.</w:t>
      </w:r>
    </w:p>
    <w:p w14:paraId="3DD9E5A5" w14:textId="1F21C59F" w:rsidR="00183D8F" w:rsidRPr="00623780" w:rsidRDefault="00B46031" w:rsidP="00500FA8">
      <w:pPr>
        <w:pStyle w:val="Heading2"/>
        <w:rPr>
          <w:vanish/>
          <w:szCs w:val="22"/>
          <w:specVanish/>
        </w:rPr>
      </w:pPr>
      <w:r>
        <w:rPr>
          <w:szCs w:val="22"/>
        </w:rPr>
        <w:lastRenderedPageBreak/>
        <w:t>[</w:t>
      </w:r>
      <w:r>
        <w:rPr>
          <w:szCs w:val="22"/>
          <w:u w:val="single"/>
        </w:rPr>
        <w:t>FCC Regulation and Compliance</w:t>
      </w:r>
    </w:p>
    <w:p w14:paraId="00E3E0E6" w14:textId="155A6177" w:rsidR="00B43D50" w:rsidRPr="00623780" w:rsidRDefault="00B46031" w:rsidP="00B43D50">
      <w:pPr>
        <w:pStyle w:val="HeadingPara2"/>
        <w:rPr>
          <w:szCs w:val="22"/>
        </w:rPr>
      </w:pPr>
      <w:r>
        <w:rPr>
          <w:szCs w:val="22"/>
        </w:rPr>
        <w:t>. (a) The Company possesses all required permits, licenses, registrations, certificates, authorizations, and approvals from the appropriate federal, state or foreign regulatory authorities necessary to conduct its business [as now conducted] as required by the Federal Communications Commission (“</w:t>
      </w:r>
      <w:r>
        <w:rPr>
          <w:b/>
          <w:bCs/>
          <w:szCs w:val="22"/>
        </w:rPr>
        <w:t>FCC</w:t>
      </w:r>
      <w:r>
        <w:rPr>
          <w:szCs w:val="22"/>
        </w:rPr>
        <w:t>”) or any other state or foreign agencies or bodies engaged in the regulation of [</w:t>
      </w:r>
      <w:r>
        <w:rPr>
          <w:color w:val="282828"/>
          <w:szCs w:val="22"/>
        </w:rPr>
        <w:t>telecommunications, media, equipment manufacturers, and technology companies</w:t>
      </w:r>
      <w:r>
        <w:rPr>
          <w:szCs w:val="22"/>
        </w:rPr>
        <w:t>]</w:t>
      </w:r>
      <w:r>
        <w:rPr>
          <w:rStyle w:val="FootnoteReference"/>
          <w:szCs w:val="22"/>
        </w:rPr>
        <w:footnoteReference w:id="78"/>
      </w:r>
      <w:r>
        <w:rPr>
          <w:szCs w:val="22"/>
        </w:rPr>
        <w:t>. (b) The Company has not received any notice of proceedings relating to the suspension, material modification, revocation or cancellation of any such permit, license, registration, certificate, authorization, or approval. Neither the Company nor, to the Company’s knowledge, any officer, employee or agent of the Company has been convicted of any crime or engaged in any conduct that has previously caused or would reasonably be expected to result in disqualification under the FCC’s rules or any similar law, rule or regulation of any other governmental entities. (c) To the Company’s knowledge, neither the Company nor any of its officers or employees is the subject of any pending or threatened investigation by FCC or by any other similar governmental entity. (d) Neither the Company nor any of its officers or employees has made any materially false statements on, or material omissions from, any notifications, applications, reports and other submissions to the FCC or any similar governmental entity. (e) The Company is and has been in material compliance with the Communications Act of 1934, as amended, and all applicable rules and regulations of the FCC or any similar governmental entity.]</w:t>
      </w:r>
      <w:r>
        <w:rPr>
          <w:rStyle w:val="FootnoteReference"/>
          <w:szCs w:val="22"/>
        </w:rPr>
        <w:footnoteReference w:id="79"/>
      </w:r>
    </w:p>
    <w:p w14:paraId="6CDF12DC" w14:textId="676DB126" w:rsidR="00B43D50" w:rsidRPr="00623780" w:rsidRDefault="00B43D50" w:rsidP="00B43D50">
      <w:pPr>
        <w:pStyle w:val="Heading2"/>
        <w:rPr>
          <w:vanish/>
          <w:color w:val="000000" w:themeColor="text1"/>
          <w:szCs w:val="22"/>
          <w:u w:val="single"/>
          <w:specVanish/>
        </w:rPr>
      </w:pPr>
      <w:r>
        <w:rPr>
          <w:szCs w:val="22"/>
          <w:u w:val="single"/>
        </w:rPr>
        <w:t>Not a Covered Outbound Investment</w:t>
      </w:r>
    </w:p>
    <w:p w14:paraId="44E36427" w14:textId="177FC863" w:rsidR="00B43D50" w:rsidRDefault="00B43D50" w:rsidP="00B43D50">
      <w:pPr>
        <w:pStyle w:val="HeadingPara2"/>
        <w:rPr>
          <w:szCs w:val="22"/>
        </w:rPr>
      </w:pPr>
      <w:r>
        <w:rPr>
          <w:szCs w:val="22"/>
        </w:rPr>
        <w:t>.</w:t>
      </w:r>
      <w:r w:rsidR="0011272F">
        <w:rPr>
          <w:rStyle w:val="FootnoteReference"/>
          <w:szCs w:val="22"/>
        </w:rPr>
        <w:footnoteReference w:id="80"/>
      </w:r>
      <w:r>
        <w:rPr>
          <w:szCs w:val="22"/>
        </w:rPr>
        <w:t xml:space="preserve"> </w:t>
      </w:r>
      <w:r w:rsidR="00A93792">
        <w:rPr>
          <w:szCs w:val="22"/>
        </w:rPr>
        <w:t xml:space="preserve">(a) </w:t>
      </w:r>
      <w:r w:rsidR="001E5215">
        <w:t>The Company either is (i) not a “person of a country of concern”; or (ii) not engaged in any “covered activity,” as these terms are defined in 31 C.F.R. Part 850, as implemented or revised from time to time (the “</w:t>
      </w:r>
      <w:r w:rsidR="001E5215" w:rsidRPr="00CC6133">
        <w:rPr>
          <w:b/>
          <w:bCs/>
        </w:rPr>
        <w:t xml:space="preserve">Outbound Investment </w:t>
      </w:r>
      <w:r w:rsidR="001E5215">
        <w:rPr>
          <w:b/>
          <w:bCs/>
        </w:rPr>
        <w:t>Security Program</w:t>
      </w:r>
      <w:r w:rsidR="001E5215">
        <w:t>”)</w:t>
      </w:r>
      <w:r w:rsidR="00DB1D5F">
        <w:t>.</w:t>
      </w:r>
      <w:r w:rsidR="001E5215">
        <w:t xml:space="preserve"> </w:t>
      </w:r>
      <w:r w:rsidR="00A93792">
        <w:t xml:space="preserve">(b) </w:t>
      </w:r>
      <w:r w:rsidR="001E5215">
        <w:t xml:space="preserve">The Company has no intention of becoming a “person of a country of concern” that engages in any “covered activity.” </w:t>
      </w:r>
      <w:r w:rsidR="001E5215">
        <w:rPr>
          <w:szCs w:val="22"/>
        </w:rPr>
        <w:t>[(</w:t>
      </w:r>
      <w:r w:rsidR="00A93792">
        <w:rPr>
          <w:szCs w:val="22"/>
        </w:rPr>
        <w:t>c</w:t>
      </w:r>
      <w:r w:rsidR="001E5215">
        <w:rPr>
          <w:szCs w:val="22"/>
        </w:rPr>
        <w:t>) The Company is not, and does not intend to become, a person that directly or indirectly holds a board seat or a voting or equity interest in, or any contractual power to direct or cause the direction of the management of policies of, any “covered foreign person” as defined in the Outbound Investment Security Program.</w:t>
      </w:r>
      <w:r w:rsidR="00455734">
        <w:rPr>
          <w:szCs w:val="22"/>
        </w:rPr>
        <w:t>]</w:t>
      </w:r>
    </w:p>
    <w:p w14:paraId="01D8A074" w14:textId="26433E54" w:rsidR="000A3595" w:rsidRPr="000A3595" w:rsidRDefault="000A3595" w:rsidP="000A3595">
      <w:pPr>
        <w:pStyle w:val="Heading2"/>
        <w:rPr>
          <w:vanish/>
          <w:color w:val="000000" w:themeColor="text1"/>
          <w:u w:val="single"/>
          <w:specVanish/>
        </w:rPr>
      </w:pPr>
      <w:r>
        <w:rPr>
          <w:u w:val="single"/>
        </w:rPr>
        <w:t>Data Security Program</w:t>
      </w:r>
    </w:p>
    <w:p w14:paraId="607BA0E7" w14:textId="41FC5F3C" w:rsidR="000A3595" w:rsidRPr="000A3595" w:rsidRDefault="000A3595" w:rsidP="000A3595">
      <w:r>
        <w:rPr>
          <w:rStyle w:val="FootnoteReference"/>
        </w:rPr>
        <w:footnoteReference w:id="81"/>
      </w:r>
      <w:r>
        <w:t>. The Company is not a “covered person” as defined in Executive Order 14117 and rules and regulations issued thereunder, including 28 C.F.R. Part 202, as implemented or amended from time to time (the “</w:t>
      </w:r>
      <w:r>
        <w:rPr>
          <w:b/>
          <w:bCs/>
        </w:rPr>
        <w:t>DSP</w:t>
      </w:r>
      <w:r>
        <w:t xml:space="preserve">”).  Since April 8, 2025, </w:t>
      </w:r>
      <w:r w:rsidR="005361B6">
        <w:t>t</w:t>
      </w:r>
      <w:r>
        <w:t>he Company has not</w:t>
      </w:r>
      <w:r w:rsidR="00954CE7">
        <w:t xml:space="preserve"> knowingly</w:t>
      </w:r>
      <w:r>
        <w:t xml:space="preserve"> engaged in </w:t>
      </w:r>
      <w:r>
        <w:lastRenderedPageBreak/>
        <w:t>or directed any “covered data transaction” as that term is defined in the DSP, except in compliance with the DSP.  [The Company maintains policies and procedures reasonably designed to promote compliance with the DSP.]</w:t>
      </w:r>
    </w:p>
    <w:p w14:paraId="5EDC9948" w14:textId="1005FCE9" w:rsidR="00183D8F" w:rsidRPr="00623780" w:rsidRDefault="009D2311" w:rsidP="004B0391">
      <w:pPr>
        <w:pStyle w:val="Heading2"/>
        <w:rPr>
          <w:vanish/>
          <w:szCs w:val="22"/>
          <w:specVanish/>
        </w:rPr>
      </w:pPr>
      <w:r>
        <w:rPr>
          <w:szCs w:val="22"/>
          <w:u w:val="single"/>
        </w:rPr>
        <w:t>Disclosure</w:t>
      </w:r>
    </w:p>
    <w:p w14:paraId="3895DA0F" w14:textId="0E5F2BF6" w:rsidR="00666D11" w:rsidRPr="00623780" w:rsidRDefault="009244B2" w:rsidP="00150A0F">
      <w:pPr>
        <w:pStyle w:val="HeadingPara2"/>
        <w:rPr>
          <w:szCs w:val="22"/>
        </w:rPr>
      </w:pPr>
      <w:r>
        <w:rPr>
          <w:szCs w:val="22"/>
        </w:rPr>
        <w:t>.</w:t>
      </w:r>
      <w:r>
        <w:rPr>
          <w:rStyle w:val="FootnoteReference"/>
          <w:szCs w:val="22"/>
        </w:rPr>
        <w:footnoteReference w:id="82"/>
      </w:r>
      <w:r>
        <w:rPr>
          <w:szCs w:val="22"/>
        </w:rPr>
        <w:t xml:space="preserve"> The Company has made available to the Purchasers all the information that the Purchasers have requested for deciding whether to acquire the Shares, including certain of the Company’s projections describing its proposed business plan (the “</w:t>
      </w:r>
      <w:r>
        <w:rPr>
          <w:b/>
          <w:bCs/>
          <w:szCs w:val="22"/>
        </w:rPr>
        <w:t>Business Plan</w:t>
      </w:r>
      <w:r>
        <w:rPr>
          <w:szCs w:val="22"/>
        </w:rPr>
        <w:t>”). No representation or warranty of the Company contained in this Agreement, as qualified by the Disclosure Schedule, and no certificate furnished or to be furnished to Purchasers at the Closing contains any untrue statement of a material fact or, to the Company’s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1A5DA132" w14:textId="42983CF2" w:rsidR="00183D8F" w:rsidRPr="00623780" w:rsidRDefault="009D2311" w:rsidP="00530B27">
      <w:pPr>
        <w:pStyle w:val="Heading1"/>
        <w:keepNext/>
        <w:spacing w:before="240" w:after="0"/>
        <w:rPr>
          <w:vanish/>
          <w:szCs w:val="22"/>
          <w:specVanish/>
        </w:rPr>
      </w:pPr>
      <w:bookmarkStart w:id="115" w:name="_Ref431379101"/>
      <w:bookmarkStart w:id="116" w:name="_Ref146432735"/>
      <w:bookmarkStart w:id="117" w:name="_Ref146432771"/>
      <w:bookmarkStart w:id="118" w:name="_Ref146433135"/>
      <w:bookmarkStart w:id="119" w:name="_Ref264024389"/>
      <w:bookmarkStart w:id="120" w:name="_Ref_ContractCompanion_9kb9Ur04E"/>
      <w:r>
        <w:rPr>
          <w:szCs w:val="22"/>
          <w:u w:val="single"/>
        </w:rPr>
        <w:t>Representations and Warranties of the Purchasers</w:t>
      </w:r>
      <w:bookmarkEnd w:id="115"/>
    </w:p>
    <w:p w14:paraId="60C7BFDE" w14:textId="6694138B" w:rsidR="00666D11" w:rsidRPr="00623780" w:rsidRDefault="009244B2" w:rsidP="00530B27">
      <w:pPr>
        <w:pStyle w:val="HeadingPara1"/>
        <w:keepNext/>
        <w:rPr>
          <w:szCs w:val="22"/>
        </w:rPr>
      </w:pPr>
      <w:r>
        <w:rPr>
          <w:szCs w:val="22"/>
        </w:rPr>
        <w:t>.</w:t>
      </w:r>
      <w:bookmarkEnd w:id="116"/>
      <w:bookmarkEnd w:id="117"/>
      <w:bookmarkEnd w:id="118"/>
      <w:r>
        <w:rPr>
          <w:rStyle w:val="FootnoteReference"/>
          <w:szCs w:val="22"/>
        </w:rPr>
        <w:footnoteReference w:id="83"/>
      </w:r>
      <w:bookmarkEnd w:id="106"/>
      <w:bookmarkEnd w:id="107"/>
      <w:r>
        <w:rPr>
          <w:szCs w:val="22"/>
        </w:rPr>
        <w:t xml:space="preserve"> Each Purchaser hereby represents and warrants to the Company, severally and not jointly, that:</w:t>
      </w:r>
      <w:bookmarkEnd w:id="119"/>
      <w:bookmarkEnd w:id="120"/>
    </w:p>
    <w:p w14:paraId="3991219B" w14:textId="6566F870" w:rsidR="00183D8F" w:rsidRPr="00623780" w:rsidRDefault="009D2311" w:rsidP="00551C69">
      <w:pPr>
        <w:pStyle w:val="Heading2"/>
        <w:rPr>
          <w:vanish/>
          <w:szCs w:val="22"/>
          <w:specVanish/>
        </w:rPr>
      </w:pPr>
      <w:bookmarkStart w:id="121" w:name="_Ref_ContractCompanion_9kb9Ur09B"/>
      <w:r>
        <w:rPr>
          <w:szCs w:val="22"/>
          <w:u w:val="single"/>
        </w:rPr>
        <w:t>Authorization</w:t>
      </w:r>
    </w:p>
    <w:p w14:paraId="4A3A9DED" w14:textId="469E7132" w:rsidR="00666D11" w:rsidRPr="00623780" w:rsidRDefault="009244B2" w:rsidP="00150A0F">
      <w:pPr>
        <w:pStyle w:val="HeadingPara2"/>
        <w:rPr>
          <w:szCs w:val="22"/>
        </w:rPr>
      </w:pPr>
      <w:r>
        <w:rPr>
          <w:szCs w:val="22"/>
        </w:rPr>
        <w:t xml:space="preserve">.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or (b) to the extent the indemnification provisions contained in the Investors’ Rights Agreement may be limited by applicable federal or state securities laws. </w:t>
      </w:r>
      <w:bookmarkEnd w:id="121"/>
    </w:p>
    <w:p w14:paraId="32C840E4" w14:textId="3A55C970" w:rsidR="00183D8F" w:rsidRPr="00623780" w:rsidRDefault="009D2311" w:rsidP="00965174">
      <w:pPr>
        <w:pStyle w:val="Heading2"/>
        <w:rPr>
          <w:vanish/>
          <w:szCs w:val="22"/>
          <w:specVanish/>
        </w:rPr>
      </w:pPr>
      <w:r>
        <w:rPr>
          <w:szCs w:val="22"/>
          <w:u w:val="single"/>
        </w:rPr>
        <w:t>Purchase Entirely for Own Account</w:t>
      </w:r>
    </w:p>
    <w:p w14:paraId="45C962BE" w14:textId="00B81736" w:rsidR="00666D11" w:rsidRPr="00623780" w:rsidRDefault="009244B2" w:rsidP="00150A0F">
      <w:pPr>
        <w:pStyle w:val="HeadingPara2"/>
        <w:rPr>
          <w:szCs w:val="22"/>
        </w:rPr>
      </w:pPr>
      <w:r>
        <w:rPr>
          <w:szCs w:val="22"/>
        </w:rPr>
        <w:t>.</w:t>
      </w:r>
      <w:r>
        <w:rPr>
          <w:rStyle w:val="FootnoteReference"/>
          <w:szCs w:val="22"/>
        </w:rPr>
        <w:footnoteReference w:id="84"/>
      </w:r>
      <w:r>
        <w:rPr>
          <w:szCs w:val="22"/>
        </w:rPr>
        <w:t xml:space="preserve"> This Agreement is made with the Purchaser in reliance upon the Purchaser’s representation to the Company, which by the Purchaser’s execution of this Agreement, the Purchaser hereby confirms, that the Shares to be acquired by the Purchaser will be acquired for investment for the Purchaser’s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w:t>
      </w:r>
    </w:p>
    <w:p w14:paraId="6946E9B0" w14:textId="081DA4FC" w:rsidR="00183D8F" w:rsidRPr="00623780" w:rsidRDefault="009D2311" w:rsidP="00314999">
      <w:pPr>
        <w:pStyle w:val="Heading2"/>
        <w:rPr>
          <w:vanish/>
          <w:szCs w:val="22"/>
          <w:specVanish/>
        </w:rPr>
      </w:pPr>
      <w:r>
        <w:rPr>
          <w:szCs w:val="22"/>
          <w:u w:val="single"/>
        </w:rPr>
        <w:lastRenderedPageBreak/>
        <w:t>Disclosure of Information</w:t>
      </w:r>
    </w:p>
    <w:p w14:paraId="2F9E656F" w14:textId="7E1E43F9" w:rsidR="00666D11" w:rsidRPr="00623780" w:rsidRDefault="009244B2" w:rsidP="00150A0F">
      <w:pPr>
        <w:pStyle w:val="HeadingPara2"/>
        <w:rPr>
          <w:szCs w:val="22"/>
        </w:rPr>
      </w:pPr>
      <w:r>
        <w:rPr>
          <w:szCs w:val="22"/>
        </w:rPr>
        <w:t xml:space="preserve">. The Purchaser has had an opportunity to discuss the Company’s business, management, financial affairs and the terms and conditions of the offering of the Shares with the Company’s management and has had an opportunity to review the Company’s facilities. The foregoing, however, does not limit or modify the representations and warranties of the Company in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of this Agreement or the right of the Purchasers to rely thereon.</w:t>
      </w:r>
    </w:p>
    <w:p w14:paraId="4D6A9766" w14:textId="744EFC1C" w:rsidR="00183D8F" w:rsidRPr="00623780" w:rsidRDefault="009D2311" w:rsidP="00755C36">
      <w:pPr>
        <w:pStyle w:val="Heading2"/>
        <w:rPr>
          <w:vanish/>
          <w:szCs w:val="22"/>
          <w:specVanish/>
        </w:rPr>
      </w:pPr>
      <w:r>
        <w:rPr>
          <w:szCs w:val="22"/>
          <w:u w:val="single"/>
        </w:rPr>
        <w:t>Restricted Securities</w:t>
      </w:r>
    </w:p>
    <w:p w14:paraId="6AA632EE" w14:textId="45A77FF7" w:rsidR="00666D11" w:rsidRPr="00623780" w:rsidRDefault="009244B2" w:rsidP="00150A0F">
      <w:pPr>
        <w:pStyle w:val="HeadingPara2"/>
        <w:rPr>
          <w:szCs w:val="22"/>
        </w:rPr>
      </w:pPr>
      <w:r>
        <w:rPr>
          <w:szCs w:val="22"/>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Purchaser’s representations as expressed herein. The Purchaser understands that the Shares are “restricted securities” under applicable U.S. federal and state securities laws and that, pursuant to these laws, the Purchaser must hold the</w:t>
      </w:r>
      <w:r>
        <w:rPr>
          <w:b/>
          <w:szCs w:val="22"/>
        </w:rPr>
        <w:t xml:space="preserve"> </w:t>
      </w:r>
      <w:r>
        <w:rPr>
          <w:szCs w:val="22"/>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Purchaser’s control, and which the Company is under no obligation</w:t>
      </w:r>
      <w:r>
        <w:rPr>
          <w:i/>
          <w:szCs w:val="22"/>
        </w:rPr>
        <w:t xml:space="preserve"> </w:t>
      </w:r>
      <w:r>
        <w:rPr>
          <w:szCs w:val="22"/>
        </w:rPr>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Pr>
          <w:rStyle w:val="FootnoteReference"/>
          <w:szCs w:val="22"/>
        </w:rPr>
        <w:footnoteReference w:id="85"/>
      </w:r>
      <w:r>
        <w:rPr>
          <w:szCs w:val="22"/>
        </w:rPr>
        <w:t>]</w:t>
      </w:r>
    </w:p>
    <w:p w14:paraId="2BAF8FFA" w14:textId="152AB097" w:rsidR="00183D8F" w:rsidRPr="00623780" w:rsidRDefault="009D2311" w:rsidP="00D51E86">
      <w:pPr>
        <w:pStyle w:val="Heading2"/>
        <w:rPr>
          <w:vanish/>
          <w:szCs w:val="22"/>
          <w:specVanish/>
        </w:rPr>
      </w:pPr>
      <w:r>
        <w:rPr>
          <w:szCs w:val="22"/>
          <w:u w:val="single"/>
        </w:rPr>
        <w:t>No Public Market</w:t>
      </w:r>
    </w:p>
    <w:p w14:paraId="7129DE6E" w14:textId="0B1425F9" w:rsidR="00666D11" w:rsidRPr="00623780" w:rsidRDefault="009244B2" w:rsidP="00150A0F">
      <w:pPr>
        <w:pStyle w:val="HeadingPara2"/>
        <w:rPr>
          <w:szCs w:val="22"/>
        </w:rPr>
      </w:pPr>
      <w:r>
        <w:rPr>
          <w:szCs w:val="22"/>
        </w:rPr>
        <w:t>. The Purchaser understands that no public market now exists for the Shares, and that the Company has made no assurances that a public market will ever exist for the Shares.</w:t>
      </w:r>
    </w:p>
    <w:p w14:paraId="46FE3FE6" w14:textId="21C5526B" w:rsidR="00183D8F" w:rsidRPr="00623780" w:rsidRDefault="009D2311" w:rsidP="00764BF2">
      <w:pPr>
        <w:pStyle w:val="Heading2"/>
        <w:rPr>
          <w:vanish/>
          <w:szCs w:val="22"/>
          <w:specVanish/>
        </w:rPr>
      </w:pPr>
      <w:r>
        <w:rPr>
          <w:szCs w:val="22"/>
          <w:u w:val="single"/>
        </w:rPr>
        <w:t>Legends</w:t>
      </w:r>
    </w:p>
    <w:p w14:paraId="6E470D08" w14:textId="743B5AF2" w:rsidR="00666D11" w:rsidRPr="00623780" w:rsidRDefault="009244B2" w:rsidP="00150A0F">
      <w:pPr>
        <w:pStyle w:val="HeadingPara2"/>
        <w:rPr>
          <w:szCs w:val="22"/>
        </w:rPr>
      </w:pPr>
      <w:r>
        <w:rPr>
          <w:szCs w:val="22"/>
        </w:rPr>
        <w:t>. The Purchaser understands that the Shares and any securities issued in respect of or exchange for the Shares, may be notated with one or all of the following legends:</w:t>
      </w:r>
    </w:p>
    <w:p w14:paraId="4AED0046" w14:textId="748BC109" w:rsidR="009D2311" w:rsidRPr="00623780" w:rsidRDefault="00E63FEF" w:rsidP="00E77B81">
      <w:pPr>
        <w:widowControl/>
        <w:ind w:left="720" w:right="720"/>
        <w:jc w:val="both"/>
      </w:pPr>
      <w:r>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p>
    <w:p w14:paraId="013062F6" w14:textId="29F7AA3D" w:rsidR="009D2311" w:rsidRPr="00623780" w:rsidRDefault="009D2311" w:rsidP="00771F9D">
      <w:pPr>
        <w:pStyle w:val="Heading3"/>
        <w:rPr>
          <w:szCs w:val="22"/>
        </w:rPr>
      </w:pPr>
      <w:r>
        <w:rPr>
          <w:szCs w:val="22"/>
        </w:rPr>
        <w:t>Any legend set forth in, or required by, the other Transaction Agreements.</w:t>
      </w:r>
    </w:p>
    <w:p w14:paraId="38512F90" w14:textId="1D4AB80F" w:rsidR="009D2311" w:rsidRPr="00623780" w:rsidRDefault="009D2311" w:rsidP="00771F9D">
      <w:pPr>
        <w:pStyle w:val="Heading3"/>
        <w:rPr>
          <w:szCs w:val="22"/>
        </w:rPr>
      </w:pPr>
      <w:r>
        <w:rPr>
          <w:szCs w:val="22"/>
        </w:rPr>
        <w:t>Any legend required by the securities laws of any state to the extent such laws are applicable to the Shares represented by the certificate, instrument, or book entry so legended.</w:t>
      </w:r>
    </w:p>
    <w:p w14:paraId="14ED9A34" w14:textId="5683DF61" w:rsidR="00183D8F" w:rsidRPr="00623780" w:rsidRDefault="009D2311" w:rsidP="00AD2F32">
      <w:pPr>
        <w:pStyle w:val="Heading2"/>
        <w:rPr>
          <w:vanish/>
          <w:szCs w:val="22"/>
          <w:u w:val="single"/>
          <w:specVanish/>
        </w:rPr>
      </w:pPr>
      <w:r>
        <w:rPr>
          <w:szCs w:val="22"/>
          <w:u w:val="single"/>
        </w:rPr>
        <w:t>Accredited Investor</w:t>
      </w:r>
    </w:p>
    <w:p w14:paraId="36CBDB7A" w14:textId="3E1E59B0" w:rsidR="00666D11" w:rsidRPr="00623780" w:rsidRDefault="009244B2" w:rsidP="00150A0F">
      <w:pPr>
        <w:pStyle w:val="HeadingPara2"/>
        <w:rPr>
          <w:szCs w:val="22"/>
        </w:rPr>
      </w:pPr>
      <w:r>
        <w:rPr>
          <w:szCs w:val="22"/>
        </w:rPr>
        <w:t>. The Purchaser is an accredited investor as defined in Rule 501(a) of Regulation D promulgated under the Securities Act.</w:t>
      </w:r>
    </w:p>
    <w:p w14:paraId="089970C5" w14:textId="1C1D7477" w:rsidR="00183D8F" w:rsidRPr="00623780" w:rsidRDefault="009D2311" w:rsidP="006040B8">
      <w:pPr>
        <w:pStyle w:val="Heading2"/>
        <w:rPr>
          <w:vanish/>
          <w:szCs w:val="22"/>
          <w:specVanish/>
        </w:rPr>
      </w:pPr>
      <w:r>
        <w:rPr>
          <w:szCs w:val="22"/>
          <w:u w:val="single"/>
        </w:rPr>
        <w:lastRenderedPageBreak/>
        <w:t>Foreign Investors</w:t>
      </w:r>
    </w:p>
    <w:p w14:paraId="45AF9CA1" w14:textId="581504DF" w:rsidR="00666D11" w:rsidRPr="00623780" w:rsidRDefault="009244B2" w:rsidP="00150A0F">
      <w:pPr>
        <w:pStyle w:val="HeadingPara2"/>
        <w:rPr>
          <w:szCs w:val="22"/>
        </w:rPr>
      </w:pPr>
      <w:r>
        <w:rPr>
          <w:szCs w:val="22"/>
        </w:rPr>
        <w:t xml:space="preserve">. 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Purchaser’s subscription and payment for and continued beneficial ownership of the Shares will not violate any applicable securities or other laws of the Purchaser’s jurisdiction. </w:t>
      </w:r>
    </w:p>
    <w:p w14:paraId="24631E13" w14:textId="3109C61C" w:rsidR="00183D8F" w:rsidRPr="00623780" w:rsidRDefault="009D2311" w:rsidP="006105AE">
      <w:pPr>
        <w:pStyle w:val="Heading2"/>
        <w:rPr>
          <w:vanish/>
          <w:szCs w:val="22"/>
          <w:specVanish/>
        </w:rPr>
      </w:pPr>
      <w:bookmarkStart w:id="122" w:name="_Ref_ContractCompanion_9kb9Ur057"/>
      <w:r>
        <w:rPr>
          <w:szCs w:val="22"/>
          <w:u w:val="single"/>
        </w:rPr>
        <w:t>[CFIUS Foreign Person Status</w:t>
      </w:r>
    </w:p>
    <w:p w14:paraId="7F3A6963" w14:textId="77777777" w:rsidR="00E86025" w:rsidRPr="00623780" w:rsidRDefault="009244B2" w:rsidP="00E86025">
      <w:pPr>
        <w:pStyle w:val="HeadingPara2"/>
        <w:rPr>
          <w:szCs w:val="22"/>
        </w:rPr>
      </w:pPr>
      <w:r>
        <w:rPr>
          <w:szCs w:val="22"/>
        </w:rPr>
        <w:t xml:space="preserve">. </w:t>
      </w:r>
      <w:bookmarkEnd w:id="122"/>
      <w:r w:rsidR="00E86025">
        <w:rPr>
          <w:szCs w:val="22"/>
        </w:rPr>
        <w:t>[Except for Purchasers indicated as Known Foreign Purchasers on Exhibit A,] The Purchaser is not a “foreign person” or a “foreign entity” and is not controlled by a “foreign person,” as those terms are defined in the DPA. The Purchaser does not permit any foreign person affiliated with the Purchaser, whether affiliated as a limited partner or equivalent, to obtain through the Purchaser as a result of that foreign person’s investment any of the following with respect to the Company: (i) access to any “material nonpublic technical information” (as defined in the DPA) in the possession of the Company; (ii) membership or observer rights on the Board of Directors or equivalent governing body of the Company or the right to nominate an individual to a position on the Board of Directors or equivalent governing body of the Company; (iii) any “involvement,” other than through the voting of shares, in the “substantive decisionmaking” of the Company (as defined in the DPA) regarding (x) the use, development, acquisition, or release of 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 or (iv) “control” of the Company (as defined in the DPA).]</w:t>
      </w:r>
      <w:r w:rsidR="00E86025">
        <w:rPr>
          <w:rStyle w:val="FootnoteReference"/>
          <w:szCs w:val="22"/>
        </w:rPr>
        <w:footnoteReference w:id="86"/>
      </w:r>
    </w:p>
    <w:p w14:paraId="16A6DE70" w14:textId="5F01E195" w:rsidR="00183D8F" w:rsidRPr="00623780" w:rsidRDefault="0008699F" w:rsidP="0098330D">
      <w:pPr>
        <w:pStyle w:val="Heading2"/>
        <w:rPr>
          <w:vanish/>
          <w:szCs w:val="22"/>
          <w:specVanish/>
        </w:rPr>
      </w:pPr>
      <w:r>
        <w:rPr>
          <w:szCs w:val="22"/>
          <w:u w:val="single"/>
        </w:rPr>
        <w:t>Sanctions</w:t>
      </w:r>
    </w:p>
    <w:p w14:paraId="4A02C59A" w14:textId="74D8D75F" w:rsidR="00727B88" w:rsidRPr="00623780" w:rsidRDefault="0008699F" w:rsidP="00150A0F">
      <w:pPr>
        <w:pStyle w:val="HeadingPara2"/>
        <w:rPr>
          <w:szCs w:val="22"/>
        </w:rPr>
      </w:pPr>
      <w:r>
        <w:rPr>
          <w:szCs w:val="22"/>
        </w:rPr>
        <w:t>.</w:t>
      </w:r>
      <w:r>
        <w:rPr>
          <w:color w:val="000000" w:themeColor="text1"/>
          <w:szCs w:val="22"/>
        </w:rPr>
        <w:t xml:space="preserve"> Neither the Purchaser, nor </w:t>
      </w:r>
      <w:r>
        <w:rPr>
          <w:szCs w:val="22"/>
        </w:rPr>
        <w:t xml:space="preserve">any of its officers, directors, employees, agents, stockholders or partners, </w:t>
      </w:r>
      <w:r>
        <w:rPr>
          <w:color w:val="000000" w:themeColor="text1"/>
          <w:szCs w:val="22"/>
        </w:rPr>
        <w:t>is a Sanctioned Party.</w:t>
      </w:r>
    </w:p>
    <w:p w14:paraId="4C128B8B" w14:textId="663800EB" w:rsidR="00183D8F" w:rsidRPr="00623780" w:rsidRDefault="009D2311" w:rsidP="00CC6DAD">
      <w:pPr>
        <w:pStyle w:val="Heading2"/>
        <w:rPr>
          <w:vanish/>
          <w:szCs w:val="22"/>
          <w:specVanish/>
        </w:rPr>
      </w:pPr>
      <w:bookmarkStart w:id="123" w:name="_Ref431381214"/>
      <w:r>
        <w:rPr>
          <w:szCs w:val="22"/>
          <w:u w:val="single"/>
        </w:rPr>
        <w:t>No General Solicitation</w:t>
      </w:r>
      <w:bookmarkEnd w:id="123"/>
    </w:p>
    <w:p w14:paraId="2E87CCF0" w14:textId="03615E9F" w:rsidR="00666D11" w:rsidRPr="00623780" w:rsidRDefault="009244B2" w:rsidP="00150A0F">
      <w:pPr>
        <w:pStyle w:val="HeadingPara2"/>
        <w:rPr>
          <w:szCs w:val="22"/>
        </w:rPr>
      </w:pPr>
      <w:r>
        <w:rPr>
          <w:szCs w:val="22"/>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26B99888" w14:textId="0D8837E0" w:rsidR="00183D8F" w:rsidRPr="00623780" w:rsidRDefault="009D2311" w:rsidP="00E83852">
      <w:pPr>
        <w:pStyle w:val="Heading2"/>
        <w:rPr>
          <w:vanish/>
          <w:szCs w:val="22"/>
          <w:specVanish/>
        </w:rPr>
      </w:pPr>
      <w:r>
        <w:rPr>
          <w:szCs w:val="22"/>
          <w:u w:val="single"/>
        </w:rPr>
        <w:t>Exculpation Among Purchasers</w:t>
      </w:r>
    </w:p>
    <w:p w14:paraId="2ACDE17D" w14:textId="5D7D659C" w:rsidR="00666D11" w:rsidRPr="00623780" w:rsidRDefault="009244B2" w:rsidP="00150A0F">
      <w:pPr>
        <w:pStyle w:val="HeadingPara2"/>
        <w:rPr>
          <w:szCs w:val="22"/>
        </w:rPr>
      </w:pPr>
      <w:r>
        <w:rPr>
          <w:szCs w:val="22"/>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14:paraId="79223120" w14:textId="3DD4538F" w:rsidR="00183D8F" w:rsidRPr="00623780" w:rsidRDefault="009D2311" w:rsidP="00384120">
      <w:pPr>
        <w:pStyle w:val="Heading2"/>
        <w:rPr>
          <w:vanish/>
          <w:szCs w:val="22"/>
          <w:specVanish/>
        </w:rPr>
      </w:pPr>
      <w:r>
        <w:rPr>
          <w:szCs w:val="22"/>
          <w:u w:val="single"/>
        </w:rPr>
        <w:lastRenderedPageBreak/>
        <w:t>Residence</w:t>
      </w:r>
    </w:p>
    <w:p w14:paraId="46CAE3F7" w14:textId="34C3FA04" w:rsidR="009D2311" w:rsidRPr="00623780" w:rsidRDefault="009244B2" w:rsidP="00150A0F">
      <w:pPr>
        <w:pStyle w:val="HeadingPara2"/>
        <w:rPr>
          <w:szCs w:val="22"/>
        </w:rPr>
      </w:pPr>
      <w:r>
        <w:rPr>
          <w:szCs w:val="22"/>
        </w:rPr>
        <w:t xml:space="preserve">. If the Purchaser is an individual, then the Purchaser resides in the state or province identified in the address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if the Purchaser is a partnership, corporation, limited liability company or other entity, then the office or offices of the Purchaser in which it has its principal place of business is identified in the address or addresses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bookmarkStart w:id="124" w:name="_Ref264024976"/>
    </w:p>
    <w:p w14:paraId="348A4CB3" w14:textId="33736792" w:rsidR="00B73BE1" w:rsidRPr="00623780" w:rsidRDefault="00B73BE1" w:rsidP="00B73BE1">
      <w:pPr>
        <w:pStyle w:val="Heading2"/>
        <w:rPr>
          <w:vanish/>
          <w:color w:val="000000" w:themeColor="text1"/>
          <w:szCs w:val="22"/>
          <w:u w:val="single"/>
          <w:specVanish/>
        </w:rPr>
      </w:pPr>
      <w:r>
        <w:rPr>
          <w:szCs w:val="22"/>
        </w:rPr>
        <w:t>[</w:t>
      </w:r>
      <w:r>
        <w:rPr>
          <w:szCs w:val="22"/>
          <w:u w:val="single"/>
        </w:rPr>
        <w:t>Not a Person of a Country of Concern</w:t>
      </w:r>
    </w:p>
    <w:p w14:paraId="5286D68B" w14:textId="3009EEBE" w:rsidR="00B73BE1" w:rsidRDefault="00B73BE1" w:rsidP="00B73BE1">
      <w:pPr>
        <w:pStyle w:val="HeadingPara2"/>
        <w:rPr>
          <w:szCs w:val="22"/>
        </w:rPr>
      </w:pPr>
      <w:r>
        <w:rPr>
          <w:rStyle w:val="FootnoteReference"/>
          <w:szCs w:val="22"/>
        </w:rPr>
        <w:footnoteReference w:id="87"/>
      </w:r>
      <w:r>
        <w:rPr>
          <w:szCs w:val="22"/>
        </w:rPr>
        <w:t xml:space="preserve">. Except as otherwise disclosed in writing to the Company, the Purchaser is not a “person of a country of concern” within the meaning of the Outbound Investment </w:t>
      </w:r>
      <w:r w:rsidR="009D56E0">
        <w:rPr>
          <w:szCs w:val="22"/>
        </w:rPr>
        <w:t>Security Program</w:t>
      </w:r>
      <w:r>
        <w:rPr>
          <w:szCs w:val="22"/>
        </w:rPr>
        <w:t>.</w:t>
      </w:r>
      <w:r w:rsidR="00F72968">
        <w:rPr>
          <w:szCs w:val="22"/>
        </w:rPr>
        <w:t>]</w:t>
      </w:r>
    </w:p>
    <w:p w14:paraId="7E7A33C8" w14:textId="66CD62F6" w:rsidR="00A25836" w:rsidRPr="00A25836" w:rsidRDefault="00A25836" w:rsidP="00A25836">
      <w:pPr>
        <w:pStyle w:val="Heading2"/>
        <w:rPr>
          <w:vanish/>
          <w:color w:val="000000" w:themeColor="text1"/>
          <w:specVanish/>
        </w:rPr>
      </w:pPr>
      <w:r>
        <w:t>[</w:t>
      </w:r>
      <w:r>
        <w:rPr>
          <w:u w:val="single"/>
        </w:rPr>
        <w:t>Data Security Program</w:t>
      </w:r>
    </w:p>
    <w:p w14:paraId="312182C8" w14:textId="51ED21A3" w:rsidR="00A25836" w:rsidRPr="009978E0" w:rsidRDefault="00A25836" w:rsidP="00A25836">
      <w:pPr>
        <w:pStyle w:val="HeadingPara2"/>
      </w:pPr>
      <w:r>
        <w:rPr>
          <w:rStyle w:val="FootnoteReference"/>
        </w:rPr>
        <w:footnoteReference w:id="88"/>
      </w:r>
      <w:r>
        <w:t>. The Purchaser is not a “covered person” as that term is defined in the DSP.]</w:t>
      </w:r>
    </w:p>
    <w:p w14:paraId="23A439A2" w14:textId="15965DDB" w:rsidR="00183D8F" w:rsidRPr="00623780" w:rsidRDefault="009D2311" w:rsidP="00A466BB">
      <w:pPr>
        <w:pStyle w:val="Heading1"/>
        <w:spacing w:before="240" w:after="0"/>
        <w:rPr>
          <w:vanish/>
          <w:szCs w:val="22"/>
          <w:specVanish/>
        </w:rPr>
      </w:pPr>
      <w:bookmarkStart w:id="125" w:name="_Ref431378710"/>
      <w:bookmarkStart w:id="126" w:name="_Ref_ContractCompanion_9kb9Ur05F"/>
      <w:r>
        <w:rPr>
          <w:szCs w:val="22"/>
          <w:u w:val="single"/>
        </w:rPr>
        <w:t xml:space="preserve">Conditions to </w:t>
      </w:r>
      <w:r>
        <w:rPr>
          <w:rStyle w:val="Heading1Char"/>
          <w:szCs w:val="22"/>
          <w:u w:val="single"/>
          <w:shd w:val="clear" w:color="auto" w:fill="auto"/>
        </w:rPr>
        <w:t>t</w:t>
      </w:r>
      <w:r>
        <w:rPr>
          <w:szCs w:val="22"/>
          <w:u w:val="single"/>
        </w:rPr>
        <w:t>he Purchasers’ Obligations at Closing</w:t>
      </w:r>
      <w:bookmarkEnd w:id="125"/>
    </w:p>
    <w:p w14:paraId="0C4F48E6" w14:textId="717CFACB" w:rsidR="00666D11" w:rsidRPr="00623780" w:rsidRDefault="009244B2" w:rsidP="00183D8F">
      <w:pPr>
        <w:pStyle w:val="HeadingPara1"/>
        <w:rPr>
          <w:szCs w:val="22"/>
        </w:rPr>
      </w:pPr>
      <w:r>
        <w:rPr>
          <w:szCs w:val="22"/>
        </w:rPr>
        <w:t>.</w:t>
      </w:r>
      <w:r>
        <w:rPr>
          <w:rStyle w:val="FootnoteReference"/>
          <w:szCs w:val="22"/>
        </w:rPr>
        <w:footnoteReference w:id="89"/>
      </w:r>
      <w:r>
        <w:rPr>
          <w:szCs w:val="22"/>
        </w:rPr>
        <w:t xml:space="preserve"> The obligations of each Purchaser to purchase Shares at the [Initial] Closing [or any subsequent Closing] are subject to the fulfillment, on or before the [Initial/applicable] Closing, of each of the following conditions, unless otherwise waived by Purchasers purchasing [at least [___]%/a majority] of the Shares in such Closing, in their sole discretion:</w:t>
      </w:r>
      <w:bookmarkStart w:id="127" w:name="_Ref146433108"/>
      <w:bookmarkStart w:id="128" w:name="_Ref264024568"/>
      <w:bookmarkEnd w:id="124"/>
      <w:bookmarkEnd w:id="126"/>
    </w:p>
    <w:p w14:paraId="19D5E007" w14:textId="449B6A48" w:rsidR="00183D8F" w:rsidRPr="00623780" w:rsidRDefault="009D2311" w:rsidP="005A7EA7">
      <w:pPr>
        <w:pStyle w:val="Heading2"/>
        <w:rPr>
          <w:vanish/>
          <w:szCs w:val="22"/>
          <w:specVanish/>
        </w:rPr>
      </w:pPr>
      <w:bookmarkStart w:id="129" w:name="_Ref431379066"/>
      <w:bookmarkStart w:id="130" w:name="_Ref_ContractCompanion_9kb9Ur09D"/>
      <w:r>
        <w:rPr>
          <w:szCs w:val="22"/>
          <w:u w:val="single"/>
        </w:rPr>
        <w:t>Representations and Warranties</w:t>
      </w:r>
      <w:bookmarkEnd w:id="129"/>
    </w:p>
    <w:p w14:paraId="640BC1D2" w14:textId="0EF19D47" w:rsidR="00666D11" w:rsidRPr="00623780" w:rsidRDefault="009244B2" w:rsidP="00150A0F">
      <w:pPr>
        <w:pStyle w:val="HeadingPara2"/>
        <w:rPr>
          <w:szCs w:val="22"/>
        </w:rPr>
      </w:pPr>
      <w:r>
        <w:rPr>
          <w:szCs w:val="22"/>
        </w:rPr>
        <w:t>.</w:t>
      </w:r>
      <w:bookmarkEnd w:id="127"/>
      <w:r>
        <w:rPr>
          <w:szCs w:val="22"/>
        </w:rPr>
        <w:t xml:space="preserve"> The representations and warranties of the Company contained in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as modified by the Disclosure Schedule, shall be true and correct in all respects as of the [Initial] Closing [and, as to any subsequent Closing, in all material respects as of such subsequent Closing]</w:t>
      </w:r>
      <w:r>
        <w:rPr>
          <w:rStyle w:val="FootnoteReference"/>
        </w:rPr>
        <w:footnoteReference w:id="90"/>
      </w:r>
      <w:r>
        <w:rPr>
          <w:szCs w:val="22"/>
        </w:rPr>
        <w:t>.</w:t>
      </w:r>
      <w:bookmarkStart w:id="131" w:name="_Ref146433110"/>
      <w:bookmarkStart w:id="132" w:name="_Ref264024574"/>
      <w:bookmarkEnd w:id="128"/>
      <w:bookmarkEnd w:id="130"/>
    </w:p>
    <w:p w14:paraId="0198A5C7" w14:textId="19493030" w:rsidR="00183D8F" w:rsidRPr="00623780" w:rsidRDefault="009D2311" w:rsidP="00BC3CFF">
      <w:pPr>
        <w:pStyle w:val="Heading2"/>
        <w:rPr>
          <w:vanish/>
          <w:szCs w:val="22"/>
          <w:specVanish/>
        </w:rPr>
      </w:pPr>
      <w:bookmarkStart w:id="133" w:name="_Ref431379077"/>
      <w:bookmarkStart w:id="134" w:name="_Ref_ContractCompanion_9kb9Ur09F"/>
      <w:r>
        <w:rPr>
          <w:szCs w:val="22"/>
          <w:u w:val="single"/>
        </w:rPr>
        <w:t>Performance</w:t>
      </w:r>
      <w:bookmarkEnd w:id="133"/>
    </w:p>
    <w:p w14:paraId="321780F6" w14:textId="31E69FF7" w:rsidR="00666D11" w:rsidRPr="00623780" w:rsidRDefault="009244B2" w:rsidP="00150A0F">
      <w:pPr>
        <w:pStyle w:val="HeadingPara2"/>
        <w:rPr>
          <w:szCs w:val="22"/>
        </w:rPr>
      </w:pPr>
      <w:r>
        <w:rPr>
          <w:szCs w:val="22"/>
        </w:rPr>
        <w:t>.</w:t>
      </w:r>
      <w:bookmarkEnd w:id="131"/>
      <w:r>
        <w:rPr>
          <w:szCs w:val="22"/>
        </w:rPr>
        <w:t xml:space="preserve"> The Company shall have performed and complied with all covenants, agreements, obligations and conditions contained in this Agreement that are required to be performed or </w:t>
      </w:r>
      <w:r>
        <w:rPr>
          <w:szCs w:val="22"/>
        </w:rPr>
        <w:lastRenderedPageBreak/>
        <w:t>complied with by the Company in all respects on or before the [Initial] Closing [and, as to any subsequent Closing, in all material respects on or before such subsequent Closing].</w:t>
      </w:r>
      <w:bookmarkStart w:id="135" w:name="_Ref264025079"/>
      <w:bookmarkEnd w:id="132"/>
      <w:bookmarkEnd w:id="134"/>
    </w:p>
    <w:p w14:paraId="09BE7069" w14:textId="27CA67B9" w:rsidR="00183D8F" w:rsidRPr="00623780" w:rsidRDefault="009D2311" w:rsidP="00421369">
      <w:pPr>
        <w:pStyle w:val="Heading2"/>
        <w:rPr>
          <w:vanish/>
          <w:szCs w:val="22"/>
          <w:specVanish/>
        </w:rPr>
      </w:pPr>
      <w:bookmarkStart w:id="136" w:name="_Ref431380879"/>
      <w:bookmarkStart w:id="137" w:name="_Ref_ContractCompanion_9kb9Ur079"/>
      <w:r>
        <w:rPr>
          <w:szCs w:val="22"/>
          <w:u w:val="single"/>
        </w:rPr>
        <w:t>Compliance Certificate</w:t>
      </w:r>
      <w:bookmarkEnd w:id="136"/>
    </w:p>
    <w:p w14:paraId="4ABB37E1" w14:textId="430ADBAD" w:rsidR="00666D11" w:rsidRPr="00623780" w:rsidRDefault="009244B2" w:rsidP="00150A0F">
      <w:pPr>
        <w:pStyle w:val="HeadingPara2"/>
        <w:rPr>
          <w:szCs w:val="22"/>
        </w:rPr>
      </w:pPr>
      <w:r>
        <w:rPr>
          <w:szCs w:val="22"/>
        </w:rPr>
        <w:t xml:space="preserve">. The Chief Executive Officer or President of the Company shall deliver to the Purchasers at the [Initial/applicable] Closing a certificate certifying that the conditions specified in </w:t>
      </w:r>
      <w:r>
        <w:rPr>
          <w:szCs w:val="22"/>
          <w:u w:val="single"/>
        </w:rPr>
        <w:t>Sections </w:t>
      </w:r>
      <w:r>
        <w:rPr>
          <w:szCs w:val="22"/>
          <w:u w:val="single"/>
        </w:rPr>
        <w:fldChar w:fldCharType="begin"/>
      </w:r>
      <w:r>
        <w:rPr>
          <w:szCs w:val="22"/>
          <w:u w:val="single"/>
        </w:rPr>
        <w:instrText xml:space="preserve"> REF _Ref_ContractCompanion_9kb9Ur09D \n \h \t \* MERGEFORMAT </w:instrText>
      </w:r>
      <w:r>
        <w:rPr>
          <w:szCs w:val="22"/>
          <w:u w:val="single"/>
        </w:rPr>
      </w:r>
      <w:r>
        <w:rPr>
          <w:szCs w:val="22"/>
          <w:u w:val="single"/>
        </w:rPr>
        <w:fldChar w:fldCharType="separate"/>
      </w:r>
      <w:r w:rsidR="008E009B">
        <w:rPr>
          <w:szCs w:val="22"/>
          <w:u w:val="single"/>
        </w:rPr>
        <w:t>4.1</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_Ref_ContractCompanion_9kb9Ur09F \n \h \t \* MERGEFORMAT </w:instrText>
      </w:r>
      <w:r>
        <w:rPr>
          <w:szCs w:val="22"/>
          <w:u w:val="single"/>
        </w:rPr>
      </w:r>
      <w:r>
        <w:rPr>
          <w:szCs w:val="22"/>
          <w:u w:val="single"/>
        </w:rPr>
        <w:fldChar w:fldCharType="separate"/>
      </w:r>
      <w:r w:rsidR="008E009B">
        <w:rPr>
          <w:szCs w:val="22"/>
          <w:u w:val="single"/>
        </w:rPr>
        <w:t>4.2</w:t>
      </w:r>
      <w:r>
        <w:rPr>
          <w:szCs w:val="22"/>
          <w:u w:val="single"/>
        </w:rPr>
        <w:fldChar w:fldCharType="end"/>
      </w:r>
      <w:r>
        <w:rPr>
          <w:szCs w:val="22"/>
        </w:rPr>
        <w:t xml:space="preserve"> have been fulfilled.</w:t>
      </w:r>
      <w:bookmarkStart w:id="138" w:name="_Ref264025015"/>
      <w:bookmarkEnd w:id="135"/>
      <w:bookmarkEnd w:id="137"/>
    </w:p>
    <w:p w14:paraId="78D67FD5" w14:textId="1AF9E639" w:rsidR="00183D8F" w:rsidRPr="00623780" w:rsidRDefault="009D2311" w:rsidP="00A64BA2">
      <w:pPr>
        <w:pStyle w:val="Heading2"/>
        <w:rPr>
          <w:vanish/>
          <w:szCs w:val="22"/>
          <w:specVanish/>
        </w:rPr>
      </w:pPr>
      <w:bookmarkStart w:id="139" w:name="_Ref431380776"/>
      <w:bookmarkStart w:id="140" w:name="_Ref_ContractCompanion_9kb9Ur06A"/>
      <w:r>
        <w:rPr>
          <w:szCs w:val="22"/>
          <w:u w:val="single"/>
        </w:rPr>
        <w:t>Qualifications</w:t>
      </w:r>
      <w:bookmarkEnd w:id="139"/>
    </w:p>
    <w:p w14:paraId="0B5B9CC4" w14:textId="570A181F" w:rsidR="00666D11" w:rsidRPr="00623780" w:rsidRDefault="009244B2" w:rsidP="00150A0F">
      <w:pPr>
        <w:pStyle w:val="HeadingPara2"/>
        <w:rPr>
          <w:szCs w:val="22"/>
        </w:rPr>
      </w:pPr>
      <w:r>
        <w:rPr>
          <w:szCs w:val="22"/>
        </w:rPr>
        <w:t xml:space="preserve">. </w:t>
      </w:r>
      <w:r>
        <w:rPr>
          <w:kern w:val="28"/>
          <w:szCs w:val="22"/>
        </w:rPr>
        <w:t>Except for any notices required</w:t>
      </w:r>
      <w:r>
        <w:rPr>
          <w:szCs w:val="22"/>
        </w:rPr>
        <w:t xml:space="preserve"> or permitted to be filed with certain federal and state securities commissions after the [applicable/Initial] Closing,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applicable Closing.</w:t>
      </w:r>
      <w:bookmarkStart w:id="141" w:name="_Ref264025085"/>
      <w:bookmarkEnd w:id="138"/>
      <w:bookmarkEnd w:id="140"/>
    </w:p>
    <w:p w14:paraId="48E3ED7F" w14:textId="0001CD29" w:rsidR="00183D8F" w:rsidRPr="00623780" w:rsidRDefault="009D2311" w:rsidP="00F72F16">
      <w:pPr>
        <w:pStyle w:val="Heading2"/>
        <w:rPr>
          <w:vanish/>
          <w:szCs w:val="22"/>
          <w:specVanish/>
        </w:rPr>
      </w:pPr>
      <w:bookmarkStart w:id="142" w:name="_Ref431380890"/>
      <w:bookmarkStart w:id="143" w:name="_Ref_ContractCompanion_9kb9Ur07B"/>
      <w:r>
        <w:rPr>
          <w:szCs w:val="22"/>
          <w:u w:val="single"/>
        </w:rPr>
        <w:t>[Opinion of Company Counsel</w:t>
      </w:r>
      <w:bookmarkEnd w:id="142"/>
    </w:p>
    <w:p w14:paraId="5499BF81" w14:textId="4668AC03" w:rsidR="00666D11" w:rsidRPr="00623780" w:rsidRDefault="009244B2" w:rsidP="00150A0F">
      <w:pPr>
        <w:pStyle w:val="HeadingPara2"/>
        <w:rPr>
          <w:szCs w:val="22"/>
        </w:rPr>
      </w:pPr>
      <w:r>
        <w:rPr>
          <w:szCs w:val="22"/>
        </w:rPr>
        <w:t>. The Purchasers shall have received from [___________], counsel for the Company, an opinion, dated as of the [Initial] Closing, in substantially the form of</w:t>
      </w:r>
      <w:r>
        <w:rPr>
          <w:i/>
          <w:szCs w:val="22"/>
        </w:rPr>
        <w:t xml:space="preserve"> </w:t>
      </w:r>
      <w:r>
        <w:rPr>
          <w:szCs w:val="22"/>
          <w:u w:val="single"/>
        </w:rPr>
        <w:fldChar w:fldCharType="begin"/>
      </w:r>
      <w:r>
        <w:rPr>
          <w:szCs w:val="22"/>
          <w:u w:val="single"/>
        </w:rPr>
        <w:instrText xml:space="preserve"> REF _Ref137575701 \r \h  \* MERGEFORMAT </w:instrText>
      </w:r>
      <w:r>
        <w:rPr>
          <w:szCs w:val="22"/>
          <w:u w:val="single"/>
        </w:rPr>
      </w:r>
      <w:r>
        <w:rPr>
          <w:szCs w:val="22"/>
          <w:u w:val="single"/>
        </w:rPr>
        <w:fldChar w:fldCharType="separate"/>
      </w:r>
      <w:r w:rsidR="008E009B">
        <w:rPr>
          <w:szCs w:val="22"/>
          <w:u w:val="single"/>
        </w:rPr>
        <w:t>Exhibit I</w:t>
      </w:r>
      <w:r>
        <w:rPr>
          <w:szCs w:val="22"/>
          <w:u w:val="single"/>
        </w:rPr>
        <w:fldChar w:fldCharType="end"/>
      </w:r>
      <w:r>
        <w:rPr>
          <w:szCs w:val="22"/>
        </w:rPr>
        <w:t xml:space="preserve"> attached to this Agreement</w:t>
      </w:r>
      <w:r>
        <w:rPr>
          <w:iCs/>
          <w:szCs w:val="22"/>
        </w:rPr>
        <w:t>.</w:t>
      </w:r>
      <w:bookmarkStart w:id="144" w:name="_Ref264025020"/>
      <w:bookmarkEnd w:id="141"/>
      <w:r>
        <w:rPr>
          <w:iCs/>
          <w:szCs w:val="22"/>
        </w:rPr>
        <w:t>]</w:t>
      </w:r>
      <w:r>
        <w:rPr>
          <w:rStyle w:val="FootnoteReference"/>
          <w:iCs/>
          <w:szCs w:val="22"/>
        </w:rPr>
        <w:footnoteReference w:id="91"/>
      </w:r>
      <w:bookmarkEnd w:id="143"/>
    </w:p>
    <w:p w14:paraId="07C6DD9A" w14:textId="60285710" w:rsidR="00183D8F" w:rsidRPr="00623780" w:rsidRDefault="009D2311" w:rsidP="007D198A">
      <w:pPr>
        <w:pStyle w:val="Heading2"/>
        <w:rPr>
          <w:vanish/>
          <w:szCs w:val="22"/>
          <w:specVanish/>
        </w:rPr>
      </w:pPr>
      <w:bookmarkStart w:id="145" w:name="_Ref431380793"/>
      <w:bookmarkStart w:id="146" w:name="_Ref_ContractCompanion_9kb9Ur06C"/>
      <w:r>
        <w:rPr>
          <w:szCs w:val="22"/>
          <w:u w:val="single"/>
        </w:rPr>
        <w:t>[</w:t>
      </w:r>
      <w:bookmarkStart w:id="147" w:name="_Hlk184376433"/>
      <w:r>
        <w:rPr>
          <w:szCs w:val="22"/>
          <w:u w:val="single"/>
        </w:rPr>
        <w:t>Board of Directors</w:t>
      </w:r>
      <w:bookmarkEnd w:id="145"/>
    </w:p>
    <w:p w14:paraId="2B2A464A" w14:textId="2187F60D" w:rsidR="00666D11" w:rsidRPr="00623780" w:rsidRDefault="009244B2" w:rsidP="00150A0F">
      <w:pPr>
        <w:pStyle w:val="HeadingPara2"/>
        <w:rPr>
          <w:szCs w:val="22"/>
        </w:rPr>
      </w:pPr>
      <w:r>
        <w:rPr>
          <w:szCs w:val="22"/>
        </w:rPr>
        <w:t>. As of the [Initial] Closing, the authorized size of the Board of Directors shall be [______], and the Board of Directors shall be comprised of [_________________].</w:t>
      </w:r>
      <w:bookmarkEnd w:id="144"/>
      <w:bookmarkEnd w:id="146"/>
      <w:bookmarkEnd w:id="147"/>
      <w:r>
        <w:rPr>
          <w:szCs w:val="22"/>
        </w:rPr>
        <w:t>]</w:t>
      </w:r>
      <w:r>
        <w:rPr>
          <w:rStyle w:val="FootnoteReference"/>
          <w:szCs w:val="22"/>
        </w:rPr>
        <w:footnoteReference w:id="92"/>
      </w:r>
    </w:p>
    <w:p w14:paraId="570829FF" w14:textId="06A0F15C" w:rsidR="00183D8F" w:rsidRPr="00623780" w:rsidRDefault="009D2311" w:rsidP="008B33AB">
      <w:pPr>
        <w:pStyle w:val="Heading2"/>
        <w:rPr>
          <w:vanish/>
          <w:szCs w:val="22"/>
          <w:specVanish/>
        </w:rPr>
      </w:pPr>
      <w:r>
        <w:rPr>
          <w:szCs w:val="22"/>
          <w:u w:val="single"/>
        </w:rPr>
        <w:t>Indemnification Agreement</w:t>
      </w:r>
    </w:p>
    <w:p w14:paraId="0FD7573B" w14:textId="070914D8" w:rsidR="00666D11" w:rsidRPr="00623780" w:rsidRDefault="009244B2" w:rsidP="00150A0F">
      <w:pPr>
        <w:pStyle w:val="HeadingPara2"/>
        <w:rPr>
          <w:szCs w:val="22"/>
        </w:rPr>
      </w:pPr>
      <w:r>
        <w:rPr>
          <w:szCs w:val="22"/>
        </w:rPr>
        <w:t>. The Company shall have executed and delivered the Indemnification Agreements.</w:t>
      </w:r>
    </w:p>
    <w:p w14:paraId="7AEFB075" w14:textId="67581104" w:rsidR="00E303D7" w:rsidRPr="00623780" w:rsidRDefault="009D2311" w:rsidP="007B5F80">
      <w:pPr>
        <w:pStyle w:val="Heading2"/>
        <w:rPr>
          <w:vanish/>
          <w:szCs w:val="22"/>
          <w:specVanish/>
        </w:rPr>
      </w:pPr>
      <w:r>
        <w:rPr>
          <w:szCs w:val="22"/>
          <w:u w:val="single"/>
        </w:rPr>
        <w:t>Investors’ Rights Agreement</w:t>
      </w:r>
    </w:p>
    <w:p w14:paraId="533A3DD0" w14:textId="48D2A69A" w:rsidR="00666D11" w:rsidRPr="00623780" w:rsidRDefault="009244B2" w:rsidP="00150A0F">
      <w:pPr>
        <w:pStyle w:val="HeadingPara2"/>
        <w:rPr>
          <w:szCs w:val="22"/>
        </w:rPr>
      </w:pPr>
      <w:r>
        <w:rPr>
          <w:szCs w:val="22"/>
        </w:rPr>
        <w:t>. The Company and</w:t>
      </w:r>
      <w:r>
        <w:rPr>
          <w:b/>
          <w:szCs w:val="22"/>
        </w:rPr>
        <w:t xml:space="preserve"> </w:t>
      </w:r>
      <w:r>
        <w:rPr>
          <w:szCs w:val="22"/>
        </w:rPr>
        <w:t>each Purchaser (other than the Purchaser relying upon this condition to excuse such Purchaser’s performance hereunder) [and the other stockholders of the Company named as parties thereto] shall have executed and delivered the Investors’ Rights Agreement.</w:t>
      </w:r>
    </w:p>
    <w:p w14:paraId="0A9565E8" w14:textId="3891A1F1" w:rsidR="00E303D7" w:rsidRPr="00623780" w:rsidRDefault="009D2311" w:rsidP="009403E5">
      <w:pPr>
        <w:pStyle w:val="Heading2"/>
        <w:rPr>
          <w:vanish/>
          <w:szCs w:val="22"/>
          <w:specVanish/>
        </w:rPr>
      </w:pPr>
      <w:r>
        <w:rPr>
          <w:szCs w:val="22"/>
          <w:u w:val="single"/>
        </w:rPr>
        <w:t>Right of First Refusal and Co</w:t>
      </w:r>
      <w:r>
        <w:rPr>
          <w:szCs w:val="22"/>
          <w:u w:val="single"/>
        </w:rPr>
        <w:noBreakHyphen/>
        <w:t>Sale Agreement</w:t>
      </w:r>
    </w:p>
    <w:p w14:paraId="7C62240F" w14:textId="7E53DC1C" w:rsidR="00666D11" w:rsidRPr="00623780" w:rsidRDefault="009244B2" w:rsidP="00150A0F">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Right of First Refusal and Co</w:t>
      </w:r>
      <w:r>
        <w:rPr>
          <w:szCs w:val="22"/>
        </w:rPr>
        <w:noBreakHyphen/>
        <w:t>Sale Agreement.</w:t>
      </w:r>
    </w:p>
    <w:p w14:paraId="332DE0B4" w14:textId="45FE6C13" w:rsidR="00E303D7" w:rsidRPr="00623780" w:rsidRDefault="009D2311" w:rsidP="00121D48">
      <w:pPr>
        <w:pStyle w:val="Heading2"/>
        <w:rPr>
          <w:vanish/>
          <w:szCs w:val="22"/>
          <w:specVanish/>
        </w:rPr>
      </w:pPr>
      <w:r>
        <w:rPr>
          <w:szCs w:val="22"/>
          <w:u w:val="single"/>
        </w:rPr>
        <w:t>Voting Agreement</w:t>
      </w:r>
    </w:p>
    <w:p w14:paraId="5C0E48EF" w14:textId="0AFA2183" w:rsidR="00666D11" w:rsidRPr="00623780" w:rsidRDefault="009244B2" w:rsidP="00150A0F">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Voting Agreement.</w:t>
      </w:r>
    </w:p>
    <w:p w14:paraId="46A7291A" w14:textId="4C84E05B" w:rsidR="00E303D7" w:rsidRPr="00623780" w:rsidRDefault="009D2311" w:rsidP="001C1AFD">
      <w:pPr>
        <w:pStyle w:val="Heading2"/>
        <w:rPr>
          <w:vanish/>
          <w:szCs w:val="22"/>
          <w:specVanish/>
        </w:rPr>
      </w:pPr>
      <w:r>
        <w:rPr>
          <w:szCs w:val="22"/>
          <w:u w:val="single"/>
        </w:rPr>
        <w:t>Restated Certificate</w:t>
      </w:r>
    </w:p>
    <w:p w14:paraId="2B10F1D6" w14:textId="5873F5D4" w:rsidR="00666D11" w:rsidRPr="00623780" w:rsidRDefault="009244B2" w:rsidP="00150A0F">
      <w:pPr>
        <w:pStyle w:val="HeadingPara2"/>
        <w:rPr>
          <w:szCs w:val="22"/>
        </w:rPr>
      </w:pPr>
      <w:r>
        <w:rPr>
          <w:szCs w:val="22"/>
        </w:rPr>
        <w:t>. The Company shall have filed the Restated Certificate with the Secretary of State of Delaware on or prior to the [Initial] Closing, which shall continue to be in full force and effect as of the [Initial] Closing.</w:t>
      </w:r>
    </w:p>
    <w:p w14:paraId="18AB4AAB" w14:textId="209FD987" w:rsidR="00E303D7" w:rsidRPr="00623780" w:rsidRDefault="009D2311" w:rsidP="00E6467B">
      <w:pPr>
        <w:pStyle w:val="Heading2"/>
        <w:rPr>
          <w:vanish/>
          <w:szCs w:val="22"/>
          <w:specVanish/>
        </w:rPr>
      </w:pPr>
      <w:r>
        <w:rPr>
          <w:szCs w:val="22"/>
          <w:u w:val="single"/>
        </w:rPr>
        <w:t>Secretary’s Certificate</w:t>
      </w:r>
    </w:p>
    <w:p w14:paraId="441A5FA1" w14:textId="289F7D50" w:rsidR="00666D11" w:rsidRPr="00623780" w:rsidRDefault="009244B2" w:rsidP="00150A0F">
      <w:pPr>
        <w:pStyle w:val="HeadingPara2"/>
        <w:rPr>
          <w:szCs w:val="22"/>
        </w:rPr>
      </w:pPr>
      <w:r>
        <w:rPr>
          <w:szCs w:val="22"/>
        </w:rPr>
        <w:t xml:space="preserve">. The Secretary of the Company shall have delivered to the Purchasers at the [Initial] Closing a certificate certifying (i) the Certificate of Incorporation and Bylaws of the Company as in effect at the [Initial] Closing; (ii) resolutions of the Board of Directors approving the </w:t>
      </w:r>
      <w:r>
        <w:rPr>
          <w:szCs w:val="22"/>
        </w:rPr>
        <w:lastRenderedPageBreak/>
        <w:t>Restated Certificate, the Transaction Agreements and the transactions contemplated under the Transaction Agreements; and (iii) resolutions of the stockholders of the Company approving the Restated Certificate.</w:t>
      </w:r>
      <w:bookmarkStart w:id="148" w:name="_Ref264025025"/>
    </w:p>
    <w:p w14:paraId="096D39CB" w14:textId="2F68DB0C" w:rsidR="00E303D7" w:rsidRPr="00623780" w:rsidRDefault="009D2311" w:rsidP="00531D65">
      <w:pPr>
        <w:pStyle w:val="Heading2"/>
        <w:rPr>
          <w:vanish/>
          <w:szCs w:val="22"/>
          <w:specVanish/>
        </w:rPr>
      </w:pPr>
      <w:bookmarkStart w:id="149" w:name="_Ref431380814"/>
      <w:bookmarkStart w:id="150" w:name="_Ref_ContractCompanion_9kb9Ur06E"/>
      <w:r>
        <w:rPr>
          <w:szCs w:val="22"/>
          <w:u w:val="single"/>
        </w:rPr>
        <w:t>Proceedings and Documents</w:t>
      </w:r>
      <w:bookmarkEnd w:id="149"/>
    </w:p>
    <w:p w14:paraId="42D388DE" w14:textId="17CE8778" w:rsidR="00666D11" w:rsidRPr="00623780" w:rsidRDefault="009244B2" w:rsidP="00150A0F">
      <w:pPr>
        <w:pStyle w:val="HeadingPara2"/>
        <w:rPr>
          <w:szCs w:val="22"/>
        </w:rPr>
      </w:pPr>
      <w:r>
        <w:rPr>
          <w:szCs w:val="22"/>
        </w:rPr>
        <w:t>. All corporate and other proceedings in connection with the transactions contemplated at the [Initial]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51" w:name="_Ref264025031"/>
      <w:bookmarkEnd w:id="148"/>
      <w:r>
        <w:rPr>
          <w:szCs w:val="22"/>
        </w:rPr>
        <w:t>.</w:t>
      </w:r>
      <w:bookmarkEnd w:id="150"/>
      <w:r>
        <w:rPr>
          <w:szCs w:val="22"/>
        </w:rPr>
        <w:t xml:space="preserve">  </w:t>
      </w:r>
    </w:p>
    <w:p w14:paraId="475833F8" w14:textId="096FFE9F" w:rsidR="00E303D7" w:rsidRPr="00623780" w:rsidRDefault="00666C6B" w:rsidP="00311C7C">
      <w:pPr>
        <w:pStyle w:val="Heading2"/>
        <w:rPr>
          <w:b/>
          <w:vanish/>
          <w:szCs w:val="22"/>
          <w:specVanish/>
        </w:rPr>
      </w:pPr>
      <w:bookmarkStart w:id="152" w:name="_Ref431380828"/>
      <w:bookmarkStart w:id="153" w:name="_Ref_ContractCompanion_9kb9Ur06G"/>
      <w:r>
        <w:rPr>
          <w:szCs w:val="22"/>
        </w:rPr>
        <w:t>[</w:t>
      </w:r>
      <w:r>
        <w:rPr>
          <w:szCs w:val="22"/>
          <w:u w:val="single"/>
        </w:rPr>
        <w:t>Minimum Number of Shares at [Initial] Closing</w:t>
      </w:r>
      <w:bookmarkEnd w:id="152"/>
    </w:p>
    <w:p w14:paraId="48367D45" w14:textId="7CB9D040" w:rsidR="00666D11" w:rsidRPr="00623780" w:rsidRDefault="009244B2" w:rsidP="00150A0F">
      <w:pPr>
        <w:pStyle w:val="HeadingPara2"/>
        <w:rPr>
          <w:b/>
          <w:szCs w:val="22"/>
        </w:rPr>
      </w:pPr>
      <w:r>
        <w:rPr>
          <w:szCs w:val="22"/>
        </w:rPr>
        <w:t>. A minimum of [_________] Shares must be sold at the [Initial] Closing.]</w:t>
      </w:r>
      <w:r>
        <w:rPr>
          <w:rStyle w:val="FootnoteReference"/>
          <w:szCs w:val="22"/>
        </w:rPr>
        <w:footnoteReference w:id="93"/>
      </w:r>
      <w:bookmarkEnd w:id="151"/>
      <w:r>
        <w:rPr>
          <w:b/>
          <w:szCs w:val="22"/>
        </w:rPr>
        <w:t xml:space="preserve"> </w:t>
      </w:r>
      <w:bookmarkEnd w:id="153"/>
    </w:p>
    <w:p w14:paraId="11A24BCB" w14:textId="230822F8" w:rsidR="00E303D7" w:rsidRPr="00623780" w:rsidRDefault="00666C6B" w:rsidP="00154511">
      <w:pPr>
        <w:pStyle w:val="Heading2"/>
        <w:rPr>
          <w:vanish/>
          <w:szCs w:val="22"/>
          <w:specVanish/>
        </w:rPr>
      </w:pPr>
      <w:r>
        <w:rPr>
          <w:szCs w:val="22"/>
        </w:rPr>
        <w:t>[</w:t>
      </w:r>
      <w:r>
        <w:rPr>
          <w:szCs w:val="22"/>
          <w:u w:val="single"/>
        </w:rPr>
        <w:t>Management Rights</w:t>
      </w:r>
    </w:p>
    <w:p w14:paraId="165C8D78" w14:textId="7D65168D" w:rsidR="00666D11" w:rsidRPr="00623780" w:rsidRDefault="009244B2" w:rsidP="00150A0F">
      <w:pPr>
        <w:pStyle w:val="HeadingPara2"/>
        <w:rPr>
          <w:szCs w:val="22"/>
        </w:rPr>
      </w:pPr>
      <w:r>
        <w:rPr>
          <w:szCs w:val="22"/>
        </w:rPr>
        <w:t>.</w:t>
      </w:r>
      <w:r>
        <w:rPr>
          <w:rStyle w:val="FootnoteReference"/>
          <w:szCs w:val="22"/>
        </w:rPr>
        <w:footnoteReference w:id="94"/>
      </w:r>
      <w:r>
        <w:rPr>
          <w:szCs w:val="22"/>
        </w:rPr>
        <w:t xml:space="preserve"> A Management Rights Letter shall have been executed by the Company and delivered to each Purchaser to whom it is addressed.]</w:t>
      </w:r>
    </w:p>
    <w:p w14:paraId="058FBB29" w14:textId="0A3254DF" w:rsidR="00E303D7" w:rsidRPr="00623780" w:rsidRDefault="009D2311" w:rsidP="009244B2">
      <w:pPr>
        <w:pStyle w:val="Heading2"/>
        <w:rPr>
          <w:vanish/>
          <w:szCs w:val="22"/>
          <w:specVanish/>
        </w:rPr>
      </w:pPr>
      <w:r>
        <w:rPr>
          <w:szCs w:val="22"/>
          <w:u w:val="single"/>
        </w:rPr>
        <w:t>[SBA Matters</w:t>
      </w:r>
    </w:p>
    <w:p w14:paraId="38F7E801" w14:textId="3DB2B043" w:rsidR="009D2311" w:rsidRPr="00623780" w:rsidRDefault="009D2311" w:rsidP="00150A0F">
      <w:pPr>
        <w:pStyle w:val="HeadingPara2"/>
        <w:rPr>
          <w:szCs w:val="22"/>
        </w:rPr>
      </w:pPr>
      <w:r>
        <w:rPr>
          <w:szCs w:val="22"/>
        </w:rPr>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id="154" w:name="_Ref264025043"/>
    </w:p>
    <w:p w14:paraId="76F10F94" w14:textId="47EE9B25" w:rsidR="00E303D7" w:rsidRPr="00623780" w:rsidRDefault="009D2311" w:rsidP="008A6AF7">
      <w:pPr>
        <w:pStyle w:val="Heading1"/>
        <w:spacing w:before="240" w:after="0"/>
        <w:rPr>
          <w:b/>
          <w:i/>
          <w:vanish/>
          <w:szCs w:val="22"/>
          <w:specVanish/>
        </w:rPr>
      </w:pPr>
      <w:bookmarkStart w:id="155" w:name="_Ref444619932"/>
      <w:bookmarkStart w:id="156" w:name="_Ref_ContractCompanion_9kb9Ur068"/>
      <w:bookmarkStart w:id="157" w:name="_Ref264024986"/>
      <w:bookmarkEnd w:id="154"/>
      <w:r>
        <w:rPr>
          <w:szCs w:val="22"/>
          <w:u w:val="single"/>
        </w:rPr>
        <w:t>Conditions of the Company’s Obligations at Closing</w:t>
      </w:r>
      <w:bookmarkEnd w:id="155"/>
    </w:p>
    <w:p w14:paraId="178D3487" w14:textId="1A2B73B7" w:rsidR="00666D11" w:rsidRPr="00623780" w:rsidRDefault="009244B2" w:rsidP="00E303D7">
      <w:pPr>
        <w:pStyle w:val="HeadingPara1"/>
        <w:rPr>
          <w:b/>
          <w:i/>
          <w:szCs w:val="22"/>
          <w:specVanish/>
        </w:rPr>
      </w:pPr>
      <w:r>
        <w:rPr>
          <w:szCs w:val="22"/>
        </w:rPr>
        <w:t>. The obligations of the Company to sell Shares to the Purchasers at the [Initial] Closing or any subsequent Closing are subject to the fulfillment, on or before the Closing, of each of the following conditions, unless otherwise waived by the Company in its sole discretion:</w:t>
      </w:r>
      <w:bookmarkEnd w:id="156"/>
    </w:p>
    <w:bookmarkEnd w:id="157"/>
    <w:p w14:paraId="6CA76DFF" w14:textId="27C2B3C2" w:rsidR="00E303D7" w:rsidRPr="00623780" w:rsidRDefault="009D2311" w:rsidP="00044572">
      <w:pPr>
        <w:pStyle w:val="Heading2"/>
        <w:rPr>
          <w:vanish/>
          <w:szCs w:val="22"/>
          <w:specVanish/>
        </w:rPr>
      </w:pPr>
      <w:r>
        <w:rPr>
          <w:szCs w:val="22"/>
          <w:u w:val="single"/>
        </w:rPr>
        <w:t>Representations and Warranties</w:t>
      </w:r>
    </w:p>
    <w:p w14:paraId="1F24D42B" w14:textId="183775F7" w:rsidR="00666D11" w:rsidRPr="00623780" w:rsidRDefault="009244B2" w:rsidP="00150A0F">
      <w:pPr>
        <w:pStyle w:val="HeadingPara2"/>
        <w:rPr>
          <w:szCs w:val="22"/>
        </w:rPr>
      </w:pPr>
      <w:r>
        <w:rPr>
          <w:szCs w:val="22"/>
        </w:rPr>
        <w:t xml:space="preserve">. The representations and warranties of each Purchaser purchasing Shares in such Closing contained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shall be true and correct in all respects as of the applicable Closing.</w:t>
      </w:r>
    </w:p>
    <w:p w14:paraId="5BFB724A" w14:textId="7376E0BB" w:rsidR="00E303D7" w:rsidRPr="00623780" w:rsidRDefault="009D2311" w:rsidP="004818FC">
      <w:pPr>
        <w:pStyle w:val="Heading2"/>
        <w:rPr>
          <w:vanish/>
          <w:szCs w:val="22"/>
          <w:specVanish/>
        </w:rPr>
      </w:pPr>
      <w:r>
        <w:rPr>
          <w:szCs w:val="22"/>
          <w:u w:val="single"/>
        </w:rPr>
        <w:t>Performance</w:t>
      </w:r>
    </w:p>
    <w:p w14:paraId="62EC4724" w14:textId="301E7160" w:rsidR="00666D11" w:rsidRPr="00623780" w:rsidRDefault="009244B2" w:rsidP="00150A0F">
      <w:pPr>
        <w:pStyle w:val="HeadingPara2"/>
        <w:rPr>
          <w:szCs w:val="22"/>
        </w:rPr>
      </w:pPr>
      <w:r>
        <w:rPr>
          <w:szCs w:val="22"/>
        </w:rPr>
        <w:t>. The Purchasers purchasing Shares in such Closing shall have performed and complied with all covenants, agreements, obligations and conditions contained in this Agreement that are required to be performed or complied with by them on or before the applicable Closing.</w:t>
      </w:r>
    </w:p>
    <w:p w14:paraId="2151F114" w14:textId="32985C2C" w:rsidR="00E303D7" w:rsidRPr="00623780" w:rsidRDefault="009D2311" w:rsidP="00605BD6">
      <w:pPr>
        <w:pStyle w:val="Heading2"/>
        <w:rPr>
          <w:vanish/>
          <w:szCs w:val="22"/>
          <w:specVanish/>
        </w:rPr>
      </w:pPr>
      <w:r>
        <w:rPr>
          <w:szCs w:val="22"/>
          <w:u w:val="single"/>
        </w:rPr>
        <w:t>Qualifications</w:t>
      </w:r>
    </w:p>
    <w:p w14:paraId="1D7221E6" w14:textId="1AF04CB7" w:rsidR="00666D11" w:rsidRPr="00623780" w:rsidRDefault="009244B2" w:rsidP="00150A0F">
      <w:pPr>
        <w:pStyle w:val="HeadingPara2"/>
        <w:rPr>
          <w:szCs w:val="22"/>
        </w:rPr>
      </w:pPr>
      <w:r>
        <w:rPr>
          <w:szCs w:val="22"/>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31D8B45F" w14:textId="1A14CFBD" w:rsidR="00E303D7" w:rsidRPr="00623780" w:rsidRDefault="009D2311" w:rsidP="00455EEC">
      <w:pPr>
        <w:pStyle w:val="Heading2"/>
        <w:rPr>
          <w:vanish/>
          <w:szCs w:val="22"/>
          <w:specVanish/>
        </w:rPr>
      </w:pPr>
      <w:r>
        <w:rPr>
          <w:szCs w:val="22"/>
          <w:u w:val="single"/>
        </w:rPr>
        <w:t>Investors’ Rights Agreement</w:t>
      </w:r>
    </w:p>
    <w:p w14:paraId="3E8B24A9" w14:textId="63309808" w:rsidR="00666D11" w:rsidRPr="00623780" w:rsidRDefault="009244B2" w:rsidP="00150A0F">
      <w:pPr>
        <w:pStyle w:val="HeadingPara2"/>
        <w:rPr>
          <w:szCs w:val="22"/>
        </w:rPr>
      </w:pPr>
      <w:r>
        <w:rPr>
          <w:szCs w:val="22"/>
        </w:rPr>
        <w:t>. Each Purchaser shall have executed and delivered the Investors’ Rights Agreement.</w:t>
      </w:r>
    </w:p>
    <w:p w14:paraId="282E9F5E" w14:textId="2B7251A4" w:rsidR="00E303D7" w:rsidRPr="00623780" w:rsidRDefault="009D2311" w:rsidP="00831855">
      <w:pPr>
        <w:pStyle w:val="Heading2"/>
        <w:rPr>
          <w:vanish/>
          <w:szCs w:val="22"/>
          <w:specVanish/>
        </w:rPr>
      </w:pPr>
      <w:r>
        <w:rPr>
          <w:szCs w:val="22"/>
          <w:u w:val="single"/>
        </w:rPr>
        <w:t>Right of First Refusal and Co</w:t>
      </w:r>
      <w:r>
        <w:rPr>
          <w:szCs w:val="22"/>
          <w:u w:val="single"/>
        </w:rPr>
        <w:noBreakHyphen/>
        <w:t>Sale Agreement</w:t>
      </w:r>
    </w:p>
    <w:p w14:paraId="7B0A3265" w14:textId="0757806E" w:rsidR="00666D11" w:rsidRPr="00623780" w:rsidRDefault="009244B2" w:rsidP="00150A0F">
      <w:pPr>
        <w:pStyle w:val="HeadingPara2"/>
        <w:rPr>
          <w:szCs w:val="22"/>
        </w:rPr>
      </w:pPr>
      <w:r>
        <w:rPr>
          <w:szCs w:val="22"/>
        </w:rPr>
        <w:t>. Each Purchaser and the other stockholders of the Company named as parties thereto shall have executed and delivered the Right of First Refusal and Co</w:t>
      </w:r>
      <w:r>
        <w:rPr>
          <w:szCs w:val="22"/>
        </w:rPr>
        <w:noBreakHyphen/>
        <w:t>Sale Agreement.</w:t>
      </w:r>
    </w:p>
    <w:p w14:paraId="76154996" w14:textId="5BB2BB19" w:rsidR="00E303D7" w:rsidRPr="00623780" w:rsidRDefault="009D2311" w:rsidP="000F537B">
      <w:pPr>
        <w:pStyle w:val="Heading2"/>
        <w:rPr>
          <w:vanish/>
          <w:szCs w:val="22"/>
          <w:specVanish/>
        </w:rPr>
      </w:pPr>
      <w:r>
        <w:rPr>
          <w:szCs w:val="22"/>
          <w:u w:val="single"/>
        </w:rPr>
        <w:lastRenderedPageBreak/>
        <w:t>Voting Agreement</w:t>
      </w:r>
    </w:p>
    <w:p w14:paraId="513C4613" w14:textId="1FDEE01F" w:rsidR="00666D11" w:rsidRPr="00623780" w:rsidRDefault="009244B2" w:rsidP="00150A0F">
      <w:pPr>
        <w:pStyle w:val="HeadingPara2"/>
        <w:rPr>
          <w:szCs w:val="22"/>
        </w:rPr>
      </w:pPr>
      <w:r>
        <w:rPr>
          <w:szCs w:val="22"/>
        </w:rPr>
        <w:t>. Each Purchaser and the other stockholders of the Company named as parties thereto shall have executed and delivered the Voting Agreement.</w:t>
      </w:r>
    </w:p>
    <w:p w14:paraId="31DE80A9" w14:textId="5A6E9628" w:rsidR="00E303D7" w:rsidRPr="00623780" w:rsidRDefault="009D2311" w:rsidP="00CD3D4E">
      <w:pPr>
        <w:pStyle w:val="Heading2"/>
        <w:rPr>
          <w:vanish/>
          <w:szCs w:val="22"/>
          <w:specVanish/>
        </w:rPr>
      </w:pPr>
      <w:r>
        <w:rPr>
          <w:szCs w:val="22"/>
          <w:u w:val="single"/>
        </w:rPr>
        <w:t>[Minimum Number of Shares at [Initial] Closing</w:t>
      </w:r>
    </w:p>
    <w:p w14:paraId="2F1207EA" w14:textId="4FCB6732" w:rsidR="00855290" w:rsidRPr="00623780" w:rsidRDefault="009244B2" w:rsidP="00855290">
      <w:pPr>
        <w:pStyle w:val="HeadingPara2"/>
        <w:rPr>
          <w:szCs w:val="22"/>
        </w:rPr>
      </w:pPr>
      <w:r>
        <w:rPr>
          <w:szCs w:val="22"/>
        </w:rPr>
        <w:t>. A minimum of [_______] Shares must be sold at the [Initial] Closing.]</w:t>
      </w:r>
    </w:p>
    <w:p w14:paraId="24F7F814" w14:textId="5E5F2396" w:rsidR="00E303D7" w:rsidRPr="00623780" w:rsidRDefault="009D2311" w:rsidP="00771F9D">
      <w:pPr>
        <w:pStyle w:val="Heading1"/>
        <w:keepNext/>
        <w:rPr>
          <w:vanish/>
          <w:szCs w:val="22"/>
          <w:specVanish/>
        </w:rPr>
      </w:pPr>
      <w:r>
        <w:rPr>
          <w:szCs w:val="22"/>
          <w:u w:val="single"/>
        </w:rPr>
        <w:t>Miscellaneous</w:t>
      </w:r>
    </w:p>
    <w:p w14:paraId="748271B4" w14:textId="67B34E6E" w:rsidR="009D2311" w:rsidRPr="00623780" w:rsidRDefault="009D2311" w:rsidP="00E303D7">
      <w:pPr>
        <w:pStyle w:val="HeadingPara1"/>
        <w:rPr>
          <w:szCs w:val="22"/>
        </w:rPr>
      </w:pPr>
      <w:r>
        <w:rPr>
          <w:szCs w:val="22"/>
        </w:rPr>
        <w:t>.</w:t>
      </w:r>
    </w:p>
    <w:p w14:paraId="1CF153D5" w14:textId="02E52303" w:rsidR="00E303D7" w:rsidRPr="00623780" w:rsidRDefault="009D2311" w:rsidP="0085487B">
      <w:pPr>
        <w:pStyle w:val="Heading2"/>
        <w:rPr>
          <w:vanish/>
          <w:szCs w:val="22"/>
          <w:specVanish/>
        </w:rPr>
      </w:pPr>
      <w:r>
        <w:rPr>
          <w:szCs w:val="22"/>
          <w:u w:val="single"/>
        </w:rPr>
        <w:t>Survival of Warranties</w:t>
      </w:r>
    </w:p>
    <w:p w14:paraId="790C219E" w14:textId="0FAAC4DD" w:rsidR="00666D11" w:rsidRPr="00623780" w:rsidRDefault="009244B2" w:rsidP="00150A0F">
      <w:pPr>
        <w:pStyle w:val="HeadingPara2"/>
        <w:rPr>
          <w:szCs w:val="22"/>
        </w:rPr>
      </w:pPr>
      <w:r>
        <w:rPr>
          <w:szCs w:val="22"/>
        </w:rPr>
        <w:t>. Unless otherwise set forth in this Agreement, the representations and warranties of the Company and the Purchasers contained in or made pursuant to this Agreement shall survive the execution and delivery of this Agreement and the Closing and shall in no way be affected by any investigation or knowledge of the subject matter thereof made by or on behalf of the Purchasers or the Company.</w:t>
      </w:r>
      <w:r>
        <w:rPr>
          <w:rStyle w:val="FootnoteReference"/>
          <w:szCs w:val="22"/>
        </w:rPr>
        <w:footnoteReference w:id="95"/>
      </w:r>
    </w:p>
    <w:p w14:paraId="560320D3" w14:textId="2B7CE4AF" w:rsidR="00E303D7" w:rsidRPr="00623780" w:rsidRDefault="009D2311" w:rsidP="00C91F0B">
      <w:pPr>
        <w:pStyle w:val="Heading2"/>
        <w:rPr>
          <w:vanish/>
          <w:szCs w:val="22"/>
          <w:specVanish/>
        </w:rPr>
      </w:pPr>
      <w:r>
        <w:rPr>
          <w:szCs w:val="22"/>
          <w:u w:val="single"/>
        </w:rPr>
        <w:t>Successors and Assigns</w:t>
      </w:r>
    </w:p>
    <w:p w14:paraId="06F38887" w14:textId="13EC31F1" w:rsidR="00666D11" w:rsidRPr="00623780" w:rsidRDefault="009244B2" w:rsidP="00150A0F">
      <w:pPr>
        <w:pStyle w:val="HeadingPara2"/>
        <w:rPr>
          <w:szCs w:val="22"/>
        </w:rPr>
      </w:pPr>
      <w:r>
        <w:rPr>
          <w:szCs w:val="22"/>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r w:rsidR="00F0617F">
        <w:rPr>
          <w:szCs w:val="22"/>
        </w:rPr>
        <w:t xml:space="preserve"> Notwithstanding anything herein to the contrary, no Shares may be transferred prior to the consummation or termination of the obligation to consummate the Tranche Closing unless all </w:t>
      </w:r>
      <w:r w:rsidR="005B05BE">
        <w:rPr>
          <w:szCs w:val="22"/>
        </w:rPr>
        <w:t xml:space="preserve">rights and obligations hereunder </w:t>
      </w:r>
      <w:r w:rsidR="00471005">
        <w:rPr>
          <w:szCs w:val="22"/>
        </w:rPr>
        <w:t xml:space="preserve">(including without limitation the obligations to consummate the Tranche Closing) </w:t>
      </w:r>
      <w:r w:rsidR="005B05BE">
        <w:rPr>
          <w:szCs w:val="22"/>
        </w:rPr>
        <w:t>are assigned to and assumed by the transferee.</w:t>
      </w:r>
    </w:p>
    <w:p w14:paraId="4C947E56" w14:textId="715DE910" w:rsidR="00E303D7" w:rsidRPr="00623780" w:rsidRDefault="009D2311" w:rsidP="00D0638E">
      <w:pPr>
        <w:pStyle w:val="Heading2"/>
        <w:rPr>
          <w:vanish/>
          <w:szCs w:val="22"/>
          <w:specVanish/>
        </w:rPr>
      </w:pPr>
      <w:r>
        <w:rPr>
          <w:szCs w:val="22"/>
          <w:u w:val="single"/>
        </w:rPr>
        <w:t>Governing Law</w:t>
      </w:r>
    </w:p>
    <w:p w14:paraId="47C94C8E" w14:textId="3424058E" w:rsidR="00666D11" w:rsidRPr="001415FC" w:rsidRDefault="009244B2" w:rsidP="00150A0F">
      <w:pPr>
        <w:pStyle w:val="HeadingPara2"/>
      </w:pPr>
      <w:r>
        <w:rPr>
          <w:szCs w:val="22"/>
        </w:rPr>
        <w:t>.</w:t>
      </w:r>
      <w:r w:rsidR="001415FC" w:rsidRPr="001415FC">
        <w:rPr>
          <w:vertAlign w:val="superscript"/>
        </w:rPr>
        <w:footnoteReference w:id="96"/>
      </w:r>
      <w:r>
        <w:rPr>
          <w:szCs w:val="22"/>
        </w:rPr>
        <w:t xml:space="preserve"> This Agreement shall be governed by the internal law of the State of Delaware, without regard to conflict of law principles that would result in the application of any law other than the law of the State of Delaware.</w:t>
      </w:r>
    </w:p>
    <w:p w14:paraId="4AE419AF" w14:textId="3AC2F357" w:rsidR="00E303D7" w:rsidRPr="00623780" w:rsidRDefault="009D2311" w:rsidP="001E7614">
      <w:pPr>
        <w:pStyle w:val="Heading2"/>
        <w:rPr>
          <w:vanish/>
          <w:szCs w:val="22"/>
          <w:specVanish/>
        </w:rPr>
      </w:pPr>
      <w:r>
        <w:rPr>
          <w:szCs w:val="22"/>
          <w:u w:val="single"/>
        </w:rPr>
        <w:t>Counterparts</w:t>
      </w:r>
    </w:p>
    <w:p w14:paraId="336FA8D8" w14:textId="19CF24C7" w:rsidR="00666D11" w:rsidRPr="00623780" w:rsidRDefault="009244B2" w:rsidP="00150A0F">
      <w:pPr>
        <w:pStyle w:val="HeadingPara2"/>
        <w:rPr>
          <w:szCs w:val="22"/>
        </w:rPr>
      </w:pPr>
      <w:r>
        <w:rPr>
          <w:szCs w:val="22"/>
        </w:rPr>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Pr>
          <w:i/>
          <w:szCs w:val="22"/>
        </w:rPr>
        <w:t>e.g.</w:t>
      </w:r>
      <w:r>
        <w:rPr>
          <w:szCs w:val="22"/>
        </w:rPr>
        <w:t xml:space="preserve">, www.docusign.com) or other transmission method and any counterpart so delivered shall be deemed to have been duly and validly delivered and be valid and effective for all purposes. </w:t>
      </w:r>
    </w:p>
    <w:p w14:paraId="0A27A02E" w14:textId="63FE1311" w:rsidR="00E303D7" w:rsidRPr="00623780" w:rsidRDefault="009D2311" w:rsidP="00A96CB4">
      <w:pPr>
        <w:pStyle w:val="Heading2"/>
        <w:rPr>
          <w:vanish/>
          <w:szCs w:val="22"/>
          <w:specVanish/>
        </w:rPr>
      </w:pPr>
      <w:r>
        <w:rPr>
          <w:szCs w:val="22"/>
          <w:u w:val="single"/>
        </w:rPr>
        <w:t>Titles and Subtitles</w:t>
      </w:r>
    </w:p>
    <w:p w14:paraId="5DAD293A" w14:textId="7615830D" w:rsidR="00666D11" w:rsidRPr="00623780" w:rsidRDefault="009244B2" w:rsidP="00150A0F">
      <w:pPr>
        <w:pStyle w:val="HeadingPara2"/>
        <w:rPr>
          <w:szCs w:val="22"/>
        </w:rPr>
      </w:pPr>
      <w:r>
        <w:rPr>
          <w:szCs w:val="22"/>
        </w:rPr>
        <w:t>. The titles and subtitles used in this Agreement are used for convenience only and are not to be considered in construing or interpreting this Agreement.</w:t>
      </w:r>
      <w:bookmarkStart w:id="158" w:name="_Ref146433155"/>
      <w:bookmarkStart w:id="159" w:name="_Ref264024639"/>
    </w:p>
    <w:p w14:paraId="154CF453" w14:textId="252E5170" w:rsidR="00E303D7" w:rsidRPr="00623780" w:rsidRDefault="009D2311" w:rsidP="00771F9D">
      <w:pPr>
        <w:pStyle w:val="Heading2"/>
        <w:keepNext/>
        <w:rPr>
          <w:vanish/>
          <w:szCs w:val="22"/>
          <w:specVanish/>
        </w:rPr>
      </w:pPr>
      <w:bookmarkStart w:id="160" w:name="_Ref444621586"/>
      <w:bookmarkStart w:id="161" w:name="_Ref_ContractCompanion_9kb9Ur09H"/>
      <w:r>
        <w:rPr>
          <w:szCs w:val="22"/>
          <w:u w:val="single"/>
        </w:rPr>
        <w:t>Notices</w:t>
      </w:r>
      <w:bookmarkEnd w:id="160"/>
    </w:p>
    <w:p w14:paraId="7D6380DD" w14:textId="2A5668EC" w:rsidR="009D2311" w:rsidRPr="00623780" w:rsidRDefault="009D2311" w:rsidP="00150A0F">
      <w:pPr>
        <w:pStyle w:val="HeadingPara2"/>
        <w:rPr>
          <w:szCs w:val="22"/>
        </w:rPr>
      </w:pPr>
      <w:r>
        <w:rPr>
          <w:szCs w:val="22"/>
        </w:rPr>
        <w:t>.</w:t>
      </w:r>
      <w:bookmarkEnd w:id="158"/>
      <w:bookmarkEnd w:id="161"/>
    </w:p>
    <w:p w14:paraId="6D53AC59" w14:textId="0E46FDE7" w:rsidR="009D2311" w:rsidRPr="00623780" w:rsidRDefault="009D2311" w:rsidP="00771F9D">
      <w:pPr>
        <w:pStyle w:val="Heading3"/>
        <w:rPr>
          <w:szCs w:val="22"/>
        </w:rPr>
      </w:pPr>
      <w:r>
        <w:rPr>
          <w:szCs w:val="22"/>
          <w:u w:val="single"/>
        </w:rPr>
        <w:t>General</w:t>
      </w:r>
      <w:r>
        <w:rPr>
          <w:szCs w:val="22"/>
        </w:rPr>
        <w:t xml:space="preserve">. 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normal business hours of the recipient, and if not sent during normal business hours, then on the recipient’s next business day; (iii) five days after having been sent by registered or certified mail, return receipt requested, postage prepaid; or (iv) one business day </w:t>
      </w:r>
      <w:r>
        <w:rPr>
          <w:szCs w:val="22"/>
        </w:rPr>
        <w:lastRenderedPageBreak/>
        <w:t xml:space="preserve">after deposit with a nationally recognized overnight courier, freight prepaid, specifying next business day delivery, with written verification of receipt. All communications shall be sent to the respective parties at their address as set forth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or to such e-mail address or address as subsequently modified by written notice given in accordance with this </w:t>
      </w:r>
      <w:r>
        <w:rPr>
          <w:szCs w:val="22"/>
          <w:u w:val="single"/>
        </w:rPr>
        <w:t>Section </w:t>
      </w:r>
      <w:r>
        <w:rPr>
          <w:szCs w:val="22"/>
          <w:u w:val="single"/>
        </w:rPr>
        <w:fldChar w:fldCharType="begin"/>
      </w:r>
      <w:r>
        <w:rPr>
          <w:szCs w:val="22"/>
          <w:u w:val="single"/>
        </w:rPr>
        <w:instrText xml:space="preserve"> REF _Ref_ContractCompanion_9kb9Ur09H \n \h \t \* MERGEFORMAT </w:instrText>
      </w:r>
      <w:r>
        <w:rPr>
          <w:szCs w:val="22"/>
          <w:u w:val="single"/>
        </w:rPr>
      </w:r>
      <w:r>
        <w:rPr>
          <w:szCs w:val="22"/>
          <w:u w:val="single"/>
        </w:rPr>
        <w:fldChar w:fldCharType="separate"/>
      </w:r>
      <w:r w:rsidR="008E009B">
        <w:rPr>
          <w:szCs w:val="22"/>
          <w:u w:val="single"/>
        </w:rPr>
        <w:t>6.6</w:t>
      </w:r>
      <w:r>
        <w:rPr>
          <w:szCs w:val="22"/>
          <w:u w:val="single"/>
        </w:rPr>
        <w:fldChar w:fldCharType="end"/>
      </w:r>
      <w:r>
        <w:rPr>
          <w:szCs w:val="22"/>
          <w:u w:val="single"/>
        </w:rPr>
        <w:t>.</w:t>
      </w:r>
      <w:r>
        <w:rPr>
          <w:szCs w:val="22"/>
        </w:rPr>
        <w:t xml:space="preserve"> If notice is given to the Company, a copy (which copy shall not constitute notice) shall also be sent to [</w:t>
      </w:r>
      <w:r>
        <w:rPr>
          <w:i/>
          <w:szCs w:val="22"/>
        </w:rPr>
        <w:t>Company Counsel Name and Address</w:t>
      </w:r>
      <w:r>
        <w:rPr>
          <w:szCs w:val="22"/>
        </w:rPr>
        <w:t>].</w:t>
      </w:r>
      <w:bookmarkEnd w:id="159"/>
      <w:r>
        <w:rPr>
          <w:szCs w:val="22"/>
        </w:rPr>
        <w:t xml:space="preserve"> If notice is given to any Purchaser, a copy (which copy shall not constitute notice) shall also be sent to any “cc” address noted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for such Purchaser</w:t>
      </w:r>
      <w:r>
        <w:rPr>
          <w:rStyle w:val="FootnoteReference"/>
          <w:szCs w:val="22"/>
        </w:rPr>
        <w:footnoteReference w:id="97"/>
      </w:r>
      <w:r>
        <w:rPr>
          <w:szCs w:val="22"/>
        </w:rPr>
        <w:t>.</w:t>
      </w:r>
    </w:p>
    <w:p w14:paraId="3E07BB28" w14:textId="6142B899" w:rsidR="009D2311" w:rsidRPr="00623780" w:rsidRDefault="009D2311" w:rsidP="00771F9D">
      <w:pPr>
        <w:pStyle w:val="Heading3"/>
        <w:rPr>
          <w:szCs w:val="22"/>
        </w:rPr>
      </w:pPr>
      <w:r>
        <w:rPr>
          <w:szCs w:val="22"/>
          <w:u w:val="single"/>
        </w:rPr>
        <w:t>Consent to Electronic Notice</w:t>
      </w:r>
      <w:r>
        <w:rPr>
          <w:szCs w:val="22"/>
        </w:rPr>
        <w:t xml:space="preserve">. Each Purchaser consents to the delivery of any stockholder notice pursuant to the DGCL, as amended or superseded from time to time, by electronic mail pursuant to Section 232 of the DGCL (or any successor thereto) at the e-mail address set forth below such Purchaser’s name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 </w:t>
      </w:r>
    </w:p>
    <w:p w14:paraId="582A65AE" w14:textId="292258A5" w:rsidR="00E303D7" w:rsidRPr="00623780" w:rsidRDefault="009D2311" w:rsidP="001C5261">
      <w:pPr>
        <w:pStyle w:val="Heading2"/>
        <w:rPr>
          <w:vanish/>
          <w:szCs w:val="22"/>
          <w:specVanish/>
        </w:rPr>
      </w:pPr>
      <w:r>
        <w:rPr>
          <w:szCs w:val="22"/>
          <w:u w:val="single"/>
        </w:rPr>
        <w:t>No Finder’s Fees</w:t>
      </w:r>
    </w:p>
    <w:p w14:paraId="248FF794" w14:textId="6EDD058E" w:rsidR="00666D11" w:rsidRPr="00623780" w:rsidRDefault="009244B2" w:rsidP="00150A0F">
      <w:pPr>
        <w:pStyle w:val="HeadingPara2"/>
        <w:rPr>
          <w:b/>
          <w:bCs/>
          <w:i/>
          <w:iCs/>
          <w:szCs w:val="22"/>
        </w:rPr>
      </w:pPr>
      <w:r>
        <w:rPr>
          <w:szCs w:val="22"/>
        </w:rPr>
        <w:t>. Each party represents that it neither is nor will be obligated for any finder’s fee or commission in connection with this transaction. Each Purchaser agrees to indemnify and to hold harmless the Company from any liability for any commission or compensation in the nature of a finder’s or broker’s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finder’s or broker’s fee arising out of this transaction (and the costs and expenses of defending against such liability or asserted liability) for which the Company or any of its officers, employees or representatives is responsible.</w:t>
      </w:r>
    </w:p>
    <w:p w14:paraId="60968775" w14:textId="25AF6DBC" w:rsidR="00E303D7" w:rsidRPr="00623780" w:rsidRDefault="009D2311" w:rsidP="00B8780C">
      <w:pPr>
        <w:pStyle w:val="Heading2"/>
        <w:rPr>
          <w:vanish/>
          <w:szCs w:val="22"/>
          <w:specVanish/>
        </w:rPr>
      </w:pPr>
      <w:r>
        <w:rPr>
          <w:szCs w:val="22"/>
          <w:u w:val="single"/>
        </w:rPr>
        <w:t>Fees and Expenses</w:t>
      </w:r>
    </w:p>
    <w:p w14:paraId="6F827A8A" w14:textId="0E51BA1A" w:rsidR="00666D11" w:rsidRPr="00623780" w:rsidRDefault="009244B2" w:rsidP="00150A0F">
      <w:pPr>
        <w:pStyle w:val="HeadingPara2"/>
        <w:rPr>
          <w:szCs w:val="22"/>
        </w:rPr>
      </w:pPr>
      <w:r>
        <w:rPr>
          <w:szCs w:val="22"/>
        </w:rPr>
        <w:t>. Within five business days after the later of (a) the receipt of a summary invoice therefor or (b) the Initial Closing, the Company shall pay the reasonable fees and expenses of [_______], the counsel for [name of lead Purchaser</w:t>
      </w:r>
      <w:r>
        <w:rPr>
          <w:rStyle w:val="FootnoteReference"/>
          <w:szCs w:val="22"/>
        </w:rPr>
        <w:footnoteReference w:id="98"/>
      </w:r>
      <w:r>
        <w:rPr>
          <w:szCs w:val="22"/>
        </w:rPr>
        <w:t xml:space="preserve">], in an amount not to exceed, in the aggregate, $[________]; provided, however, that notwithstanding the foregoing [name of lead Purchaser] may pay such amount directly to [name of Investor’s counsel] </w:t>
      </w:r>
      <w:r w:rsidR="00174E64">
        <w:rPr>
          <w:szCs w:val="22"/>
        </w:rPr>
        <w:t xml:space="preserve">at the Initial Closing </w:t>
      </w:r>
      <w:r>
        <w:rPr>
          <w:szCs w:val="22"/>
        </w:rPr>
        <w:t>and such amount shall be deducted from and credited against [name of lead Purchaser]’s purchase price and deemed paid directly to the Company and then further remitted to [name of Investor’s counsel].</w:t>
      </w:r>
    </w:p>
    <w:p w14:paraId="6E6B0C30" w14:textId="56119D30" w:rsidR="00E303D7" w:rsidRPr="00623780" w:rsidRDefault="002A2334" w:rsidP="009244B2">
      <w:pPr>
        <w:pStyle w:val="Heading2"/>
        <w:rPr>
          <w:vanish/>
          <w:szCs w:val="22"/>
          <w:specVanish/>
        </w:rPr>
      </w:pPr>
      <w:r>
        <w:rPr>
          <w:szCs w:val="22"/>
          <w:u w:val="single"/>
        </w:rPr>
        <w:t>Costs of Enforcement</w:t>
      </w:r>
    </w:p>
    <w:p w14:paraId="04FF0AE8" w14:textId="1D286FA8" w:rsidR="009D2311" w:rsidRPr="00623780" w:rsidRDefault="009D2311" w:rsidP="00150A0F">
      <w:pPr>
        <w:pStyle w:val="HeadingPara2"/>
        <w:rPr>
          <w:szCs w:val="22"/>
        </w:rPr>
      </w:pPr>
      <w:r>
        <w:rPr>
          <w:szCs w:val="22"/>
        </w:rPr>
        <w:t>. [If any action at law or in equity (including, arbitration) is necessary to enforce or interpret the terms of any of the Transaction Agreements, the prevailing party shall be entitled to reasonable attorneys’ fees, costs and necessary disbursements in addition to any other relief to which such party may be entitled.]</w:t>
      </w:r>
      <w:bookmarkStart w:id="162" w:name="_Ref146433177"/>
      <w:bookmarkStart w:id="163" w:name="_Ref264024667"/>
      <w:r>
        <w:rPr>
          <w:szCs w:val="22"/>
        </w:rPr>
        <w:t xml:space="preserve"> [Each party will bear its own costs in respect of any disputes arising under this Agreement.]</w:t>
      </w:r>
    </w:p>
    <w:p w14:paraId="424DB2B5" w14:textId="7CC816BF" w:rsidR="00E303D7" w:rsidRPr="00623780" w:rsidRDefault="009D2311" w:rsidP="00D023D0">
      <w:pPr>
        <w:pStyle w:val="Heading2"/>
        <w:rPr>
          <w:vanish/>
          <w:szCs w:val="22"/>
          <w:specVanish/>
        </w:rPr>
      </w:pPr>
      <w:bookmarkStart w:id="164" w:name="_Ref444620210"/>
      <w:bookmarkStart w:id="165" w:name="_Ref444621601"/>
      <w:bookmarkStart w:id="166" w:name="_Ref_ContractCompanion_9kb9Ur0AC"/>
      <w:r>
        <w:rPr>
          <w:szCs w:val="22"/>
          <w:u w:val="single"/>
        </w:rPr>
        <w:t>Amendments and Waivers</w:t>
      </w:r>
      <w:bookmarkEnd w:id="164"/>
      <w:bookmarkEnd w:id="165"/>
    </w:p>
    <w:p w14:paraId="5E125089" w14:textId="2EA71AFC" w:rsidR="00666D11" w:rsidRPr="00623780" w:rsidRDefault="009244B2" w:rsidP="00150A0F">
      <w:pPr>
        <w:pStyle w:val="HeadingPara2"/>
        <w:rPr>
          <w:szCs w:val="22"/>
        </w:rPr>
      </w:pPr>
      <w:r>
        <w:rPr>
          <w:szCs w:val="22"/>
        </w:rPr>
        <w:t>.</w:t>
      </w:r>
      <w:bookmarkEnd w:id="162"/>
      <w:r>
        <w:rPr>
          <w:szCs w:val="22"/>
        </w:rPr>
        <w:t xml:space="preserve"> Except as otherwise specifically set forth in this Agreement, any term of this Agreement may be amended, terminated or waived only with the written consent of the Company and [(i)] the holders of at least [</w:t>
      </w:r>
      <w:r>
        <w:rPr>
          <w:i/>
          <w:szCs w:val="22"/>
        </w:rPr>
        <w:t>specify percentage</w:t>
      </w:r>
      <w:r>
        <w:rPr>
          <w:szCs w:val="22"/>
        </w:rPr>
        <w:t xml:space="preserve">] of the then-outstanding Shares[, or (ii) for an amendment, termination or waiver effected prior to the Initial Closing, Purchasers obligated to purchase </w:t>
      </w:r>
      <w:r>
        <w:rPr>
          <w:szCs w:val="22"/>
        </w:rPr>
        <w:lastRenderedPageBreak/>
        <w:t>[</w:t>
      </w:r>
      <w:r>
        <w:rPr>
          <w:i/>
          <w:szCs w:val="22"/>
        </w:rPr>
        <w:t>specify percentage</w:t>
      </w:r>
      <w:r>
        <w:rPr>
          <w:szCs w:val="22"/>
        </w:rPr>
        <w:t>] of the Shares to be issued at the Initial Closing]</w:t>
      </w:r>
      <w:r>
        <w:rPr>
          <w:rStyle w:val="FootnoteReference"/>
          <w:szCs w:val="22"/>
        </w:rPr>
        <w:footnoteReference w:id="99"/>
      </w:r>
      <w:r>
        <w:rPr>
          <w:szCs w:val="22"/>
        </w:rPr>
        <w:t xml:space="preserve">[; </w:t>
      </w:r>
      <w:r>
        <w:rPr>
          <w:szCs w:val="22"/>
          <w:u w:val="single"/>
        </w:rPr>
        <w:t>provided, however</w:t>
      </w:r>
      <w:r>
        <w:rPr>
          <w:szCs w:val="22"/>
        </w:rPr>
        <w:t xml:space="preserve">, that any provision of this Agreement may be waived by any waiving party on such party’s own behalf, without the consent of any other party]. Notwithstanding the foregoing or anything herein to the contrary, no amendment, termination or waiver of any provision of this Agreement effected without the consent of a Purchaser shall be effective against such Purchaser unless such amendment, termination, or waiver applies to all Purchasers in the same fashion.  The Company shall give prompt written notice of any amendment, modification, termination, or waiver hereunder to any party that did not consent in writing thereto; provided that the failure to provide such notice shall not invalidate any amendment, termination or waiver hereunder.  Any amendment or waiver effected in accordance with this </w:t>
      </w:r>
      <w:r>
        <w:rPr>
          <w:szCs w:val="22"/>
          <w:u w:val="single"/>
        </w:rPr>
        <w:t xml:space="preserve">Section </w:t>
      </w:r>
      <w:r>
        <w:rPr>
          <w:szCs w:val="22"/>
          <w:u w:val="single"/>
        </w:rPr>
        <w:fldChar w:fldCharType="begin"/>
      </w:r>
      <w:r>
        <w:rPr>
          <w:szCs w:val="22"/>
          <w:u w:val="single"/>
        </w:rPr>
        <w:instrText xml:space="preserve"> REF _Ref_ContractCompanion_9kb9Ur0AC \n \h \t \* MERGEFORMAT </w:instrText>
      </w:r>
      <w:r>
        <w:rPr>
          <w:szCs w:val="22"/>
          <w:u w:val="single"/>
        </w:rPr>
      </w:r>
      <w:r>
        <w:rPr>
          <w:szCs w:val="22"/>
          <w:u w:val="single"/>
        </w:rPr>
        <w:fldChar w:fldCharType="separate"/>
      </w:r>
      <w:r w:rsidR="008E009B">
        <w:rPr>
          <w:szCs w:val="22"/>
          <w:u w:val="single"/>
        </w:rPr>
        <w:t>6.10</w:t>
      </w:r>
      <w:r>
        <w:rPr>
          <w:szCs w:val="22"/>
          <w:u w:val="single"/>
        </w:rPr>
        <w:fldChar w:fldCharType="end"/>
      </w:r>
      <w:r>
        <w:rPr>
          <w:szCs w:val="22"/>
        </w:rPr>
        <w:t xml:space="preserve"> shall be binding upon the Purchasers and each transferee of the Shares (or the Common Stock issuable upon conversion thereof), each future holder of all such securities, and the Company.</w:t>
      </w:r>
      <w:bookmarkEnd w:id="163"/>
      <w:bookmarkEnd w:id="166"/>
    </w:p>
    <w:p w14:paraId="56C785C6" w14:textId="231D9533" w:rsidR="00E303D7" w:rsidRPr="00623780" w:rsidRDefault="009D2311" w:rsidP="007955D2">
      <w:pPr>
        <w:pStyle w:val="Heading2"/>
        <w:rPr>
          <w:vanish/>
          <w:szCs w:val="22"/>
          <w:specVanish/>
        </w:rPr>
      </w:pPr>
      <w:r>
        <w:rPr>
          <w:szCs w:val="22"/>
          <w:u w:val="single"/>
        </w:rPr>
        <w:t>Severability</w:t>
      </w:r>
    </w:p>
    <w:p w14:paraId="7F851806" w14:textId="74C88E83" w:rsidR="00666D11" w:rsidRPr="00623780" w:rsidRDefault="009244B2" w:rsidP="00150A0F">
      <w:pPr>
        <w:pStyle w:val="HeadingPara2"/>
        <w:rPr>
          <w:szCs w:val="22"/>
        </w:rPr>
      </w:pPr>
      <w:r>
        <w:rPr>
          <w:szCs w:val="22"/>
        </w:rPr>
        <w:t>. The invalidity or unenforceability of any provision hereof shall in no way affect the validity or enforceability of any other provision.</w:t>
      </w:r>
    </w:p>
    <w:p w14:paraId="7EC9A010" w14:textId="40F18A16" w:rsidR="00E303D7" w:rsidRPr="00623780" w:rsidRDefault="009D2311" w:rsidP="007B0ACC">
      <w:pPr>
        <w:pStyle w:val="Heading2"/>
        <w:rPr>
          <w:vanish/>
          <w:szCs w:val="22"/>
          <w:specVanish/>
        </w:rPr>
      </w:pPr>
      <w:r>
        <w:rPr>
          <w:szCs w:val="22"/>
          <w:u w:val="single"/>
        </w:rPr>
        <w:t>Delays or Omissions</w:t>
      </w:r>
    </w:p>
    <w:p w14:paraId="2FF7AB45" w14:textId="0074766A" w:rsidR="00666D11" w:rsidRPr="00623780" w:rsidRDefault="009244B2" w:rsidP="00150A0F">
      <w:pPr>
        <w:pStyle w:val="HeadingPara2"/>
        <w:rPr>
          <w:szCs w:val="22"/>
        </w:rPr>
      </w:pPr>
      <w:r>
        <w:rPr>
          <w:szCs w:val="22"/>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1B78DF1" w14:textId="0D4B4F8D" w:rsidR="00E303D7" w:rsidRPr="00623780" w:rsidRDefault="009D2311" w:rsidP="000A725E">
      <w:pPr>
        <w:pStyle w:val="Heading2"/>
        <w:rPr>
          <w:vanish/>
          <w:szCs w:val="22"/>
          <w:specVanish/>
        </w:rPr>
      </w:pPr>
      <w:r>
        <w:rPr>
          <w:szCs w:val="22"/>
          <w:u w:val="single"/>
        </w:rPr>
        <w:t>Entire Agreement</w:t>
      </w:r>
    </w:p>
    <w:p w14:paraId="4B72511B" w14:textId="372B9D23" w:rsidR="00666D11" w:rsidRPr="00623780" w:rsidRDefault="009244B2" w:rsidP="00150A0F">
      <w:pPr>
        <w:pStyle w:val="HeadingPara2"/>
        <w:rPr>
          <w:szCs w:val="22"/>
        </w:rPr>
      </w:pPr>
      <w:r>
        <w:rPr>
          <w:szCs w:val="22"/>
        </w:rPr>
        <w:t>. This Agreement (including the Exhibits hereto), the Restated Certificate and the other Transaction Agreements</w:t>
      </w:r>
      <w:r w:rsidR="00307265">
        <w:rPr>
          <w:szCs w:val="22"/>
        </w:rPr>
        <w:t xml:space="preserve"> and </w:t>
      </w:r>
      <w:r w:rsidR="00DF46FE">
        <w:rPr>
          <w:szCs w:val="22"/>
        </w:rPr>
        <w:t>any</w:t>
      </w:r>
      <w:r w:rsidR="00307265">
        <w:rPr>
          <w:szCs w:val="22"/>
        </w:rPr>
        <w:t xml:space="preserve"> Side Letters</w:t>
      </w:r>
      <w:r>
        <w:rPr>
          <w:szCs w:val="22"/>
        </w:rPr>
        <w:t xml:space="preserve"> constitute the full and entire understanding and agreement between the parties with respect to the subject matter hereof, and any other written or oral agreement relating to the subject matter hereof existing between the parties are expressly canceled. </w:t>
      </w:r>
      <w:bookmarkStart w:id="167" w:name="_Ref264025190"/>
    </w:p>
    <w:p w14:paraId="611F4EE5" w14:textId="1D379ABC" w:rsidR="00E303D7" w:rsidRPr="00623780" w:rsidRDefault="009D2311" w:rsidP="009244B2">
      <w:pPr>
        <w:pStyle w:val="Heading2"/>
        <w:rPr>
          <w:vanish/>
          <w:szCs w:val="22"/>
          <w:specVanish/>
        </w:rPr>
      </w:pPr>
      <w:bookmarkStart w:id="168" w:name="_Ref444620984"/>
      <w:bookmarkStart w:id="169" w:name="_Ref444621621"/>
      <w:bookmarkStart w:id="170" w:name="_Ref_ContractCompanion_9kb9Ur08A"/>
      <w:r>
        <w:rPr>
          <w:szCs w:val="22"/>
          <w:u w:val="single"/>
        </w:rPr>
        <w:t>[Corporate Securities Law</w:t>
      </w:r>
      <w:bookmarkEnd w:id="168"/>
      <w:bookmarkEnd w:id="169"/>
    </w:p>
    <w:p w14:paraId="6D126095" w14:textId="73731E20" w:rsidR="009D2311" w:rsidRPr="00623780" w:rsidRDefault="009D2311" w:rsidP="00150A0F">
      <w:pPr>
        <w:pStyle w:val="HeadingPara2"/>
        <w:rPr>
          <w:szCs w:val="22"/>
        </w:rPr>
      </w:pPr>
      <w:r>
        <w:rPr>
          <w:szCs w:val="22"/>
        </w:rPr>
        <w:t>. THE SALE OF THE SECURITIES THAT ARE THE SUBJECT OF THIS AGREEMENT HAS NOT BEEN QUALIFIED WITH THE COMMISSIONER OF FINANCIAL PROTECTION AND INNOVATION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7"/>
      <w:bookmarkEnd w:id="170"/>
      <w:r>
        <w:rPr>
          <w:rStyle w:val="FootnoteReference"/>
          <w:szCs w:val="22"/>
        </w:rPr>
        <w:footnoteReference w:id="100"/>
      </w:r>
    </w:p>
    <w:p w14:paraId="7810A928" w14:textId="7937CED9" w:rsidR="00E303D7" w:rsidRPr="00623780" w:rsidRDefault="009D2311" w:rsidP="009244B2">
      <w:pPr>
        <w:pStyle w:val="Heading2"/>
        <w:rPr>
          <w:vanish/>
          <w:szCs w:val="22"/>
          <w:specVanish/>
        </w:rPr>
      </w:pPr>
      <w:bookmarkStart w:id="171" w:name="_Ref_ContractCompanion_9kb9Ur0AE"/>
      <w:bookmarkStart w:id="172" w:name="_Ref444621630"/>
      <w:r>
        <w:rPr>
          <w:szCs w:val="22"/>
          <w:u w:val="single"/>
        </w:rPr>
        <w:t>Termination of Closing Obligations</w:t>
      </w:r>
    </w:p>
    <w:p w14:paraId="75102B0A" w14:textId="683E9BD7" w:rsidR="009D2311" w:rsidRPr="00623780" w:rsidRDefault="009D2311" w:rsidP="00150A0F">
      <w:pPr>
        <w:pStyle w:val="HeadingPara2"/>
        <w:rPr>
          <w:szCs w:val="22"/>
        </w:rPr>
      </w:pPr>
      <w:r>
        <w:rPr>
          <w:szCs w:val="22"/>
        </w:rPr>
        <w:t>. Each Purchaser shall have the right to terminate its obligations to complete the [Initial] Closing [or any subsequent Closing, as the case may be,] if prior to the occurrence thereof, any of the following occurs:</w:t>
      </w:r>
      <w:bookmarkEnd w:id="171"/>
    </w:p>
    <w:p w14:paraId="085002AA" w14:textId="6D074FA5" w:rsidR="009D2311" w:rsidRPr="00623780" w:rsidRDefault="009D2311" w:rsidP="009244B2">
      <w:pPr>
        <w:pStyle w:val="Heading3"/>
        <w:tabs>
          <w:tab w:val="num" w:pos="1440"/>
        </w:tabs>
        <w:rPr>
          <w:szCs w:val="22"/>
        </w:rPr>
      </w:pPr>
      <w:r>
        <w:rPr>
          <w:szCs w:val="22"/>
        </w:rPr>
        <w:lastRenderedPageBreak/>
        <w:t>the Company consummates a Deemed Liquidation Event (as defined in the Restated Certificate);</w:t>
      </w:r>
    </w:p>
    <w:p w14:paraId="0082FA1F" w14:textId="4C874DAC" w:rsidR="009D2311" w:rsidRPr="00623780" w:rsidRDefault="009D2311" w:rsidP="009244B2">
      <w:pPr>
        <w:pStyle w:val="Heading3"/>
        <w:tabs>
          <w:tab w:val="num" w:pos="1440"/>
        </w:tabs>
        <w:rPr>
          <w:szCs w:val="22"/>
        </w:rPr>
      </w:pPr>
      <w:r>
        <w:rPr>
          <w:szCs w:val="22"/>
        </w:rPr>
        <w:t>the closing of an initial public offering of the Company, in which case the Purchasers may terminate their obligations hereunder immediately prior to, or contingent upon, such closing; or</w:t>
      </w:r>
    </w:p>
    <w:p w14:paraId="3BC219E1" w14:textId="7DBBAC80" w:rsidR="009D2311" w:rsidRPr="00623780" w:rsidRDefault="009D2311" w:rsidP="009244B2">
      <w:pPr>
        <w:pStyle w:val="Heading3"/>
        <w:tabs>
          <w:tab w:val="num" w:pos="1440"/>
        </w:tabs>
        <w:rPr>
          <w:szCs w:val="22"/>
        </w:rPr>
      </w:pPr>
      <w:r>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14:paraId="50F1429E" w14:textId="23D5B5B8" w:rsidR="00E303D7" w:rsidRPr="00623780" w:rsidRDefault="009D2311" w:rsidP="00150A0F">
      <w:pPr>
        <w:pStyle w:val="Heading2"/>
        <w:keepNext/>
        <w:rPr>
          <w:vanish/>
          <w:szCs w:val="22"/>
          <w:specVanish/>
        </w:rPr>
      </w:pPr>
      <w:bookmarkStart w:id="173" w:name="_Ref175116360"/>
      <w:r>
        <w:rPr>
          <w:szCs w:val="22"/>
          <w:u w:val="single"/>
        </w:rPr>
        <w:t>Dispute Resolution</w:t>
      </w:r>
      <w:bookmarkEnd w:id="172"/>
      <w:bookmarkEnd w:id="173"/>
    </w:p>
    <w:p w14:paraId="1FC1060E" w14:textId="77777777" w:rsidR="00A11339" w:rsidRDefault="009244B2" w:rsidP="00A11339">
      <w:pPr>
        <w:pStyle w:val="HeadingPara2"/>
        <w:keepNext/>
        <w:rPr>
          <w:szCs w:val="22"/>
        </w:rPr>
      </w:pPr>
      <w:r>
        <w:rPr>
          <w:szCs w:val="22"/>
        </w:rPr>
        <w:t>.</w:t>
      </w:r>
    </w:p>
    <w:p w14:paraId="1BA88B6C" w14:textId="422DEA60" w:rsidR="00A11339" w:rsidRDefault="00025BAF" w:rsidP="00A11339">
      <w:pPr>
        <w:pStyle w:val="Heading3"/>
        <w:rPr>
          <w:szCs w:val="22"/>
        </w:rPr>
      </w:pPr>
      <w:r>
        <w:t>[</w:t>
      </w:r>
      <w:r>
        <w:rPr>
          <w:i/>
          <w:iCs/>
        </w:rPr>
        <w:t>Alternative 1:</w:t>
      </w:r>
      <w:r>
        <w:t xml:space="preserve"> </w:t>
      </w:r>
      <w:bookmarkStart w:id="174" w:name="_Hlk184376651"/>
      <w:bookmarkStart w:id="175" w:name="_Hlk203469041"/>
      <w:r>
        <w:t>Except as (i) otherwise provided in this Agreement, or (ii) any disputes, controversies, or claims arising out of either party’s intellectual property rights for which a provisional remedy or equitable relief is sought, any unresolved dispute, controversy, or claim arising out of or relating to this Agreement or the breach, termination, enforcement, interpretation, or validity thereof, including the determination of the scope or applicability of this agreement to arbitrate, shall be resolved by arbitration before a single arbitrator. Such arbitrator shall be mutually agreed upon by the parties, and if no agreement can be reached within 30 days after names of potential arbitrators have been proposed by Judicial Arbitration and Mediation Services, Inc. (“</w:t>
      </w:r>
      <w:r>
        <w:rPr>
          <w:b/>
          <w:bCs/>
        </w:rPr>
        <w:t>JAMS</w:t>
      </w:r>
      <w:r>
        <w:t>”),</w:t>
      </w:r>
      <w:r>
        <w:rPr>
          <w:rStyle w:val="FootnoteReference"/>
          <w:szCs w:val="22"/>
        </w:rPr>
        <w:footnoteReference w:id="101"/>
      </w:r>
      <w:r>
        <w:t xml:space="preserve"> then JAMS shall choose one arbitrator having reasonable experience in corporate finance transactions of the type provided for in this Agreement. The arbitration shall take place in [</w:t>
      </w:r>
      <w:r>
        <w:rPr>
          <w:i/>
        </w:rPr>
        <w:t>location</w:t>
      </w:r>
      <w:r>
        <w:t>], pursuant to the JAMS Comprehensive Arbitration Rules and Procedures [and in accordance with the Expedited Procedures in those rules] [or pursuant to JAMS’ Streamlined Arbitration Rules and Procedures]; provided, however, that there shall be limited discovery prior to the arbitration hearing as follows: (</w:t>
      </w:r>
      <w:r w:rsidR="00C654EF">
        <w:t>x</w:t>
      </w:r>
      <w:r>
        <w:t>) exchange of witness lists and copies of documentary evidence and documents relating to the issues to be arbitrated, (</w:t>
      </w:r>
      <w:r w:rsidR="00C654EF">
        <w:t>y</w:t>
      </w:r>
      <w:r>
        <w:t>) depositions of all party witnesses, and (</w:t>
      </w:r>
      <w:r w:rsidR="00C654EF">
        <w:t>z</w:t>
      </w:r>
      <w:r>
        <w:t>) such other depositions as may be allowed by the arbitrators upon a showing of good cause. Depositions shall be conducted in accordance with the [</w:t>
      </w:r>
      <w:r>
        <w:rPr>
          <w:i/>
        </w:rPr>
        <w:t>state</w:t>
      </w:r>
      <w:r>
        <w:t>] Code of Civil Procedure, the arbitrator shall be required to provide in writing to the parties the basis for the award or order of such arbitrator, and a court reporter shall record all hearings, with such record constituting the official transcript of such proceedings. Judgment on the award may be entered in any court having jurisdiction.</w:t>
      </w:r>
      <w:bookmarkEnd w:id="174"/>
      <w:r w:rsidR="006F5AC7">
        <w:t>]</w:t>
      </w:r>
      <w:r w:rsidR="00A11339" w:rsidRPr="00A11339">
        <w:rPr>
          <w:rStyle w:val="FootnoteReference"/>
          <w:szCs w:val="22"/>
        </w:rPr>
        <w:t xml:space="preserve"> </w:t>
      </w:r>
      <w:r w:rsidR="00A11339">
        <w:rPr>
          <w:rStyle w:val="FootnoteReference"/>
          <w:szCs w:val="22"/>
        </w:rPr>
        <w:footnoteReference w:id="102"/>
      </w:r>
      <w:bookmarkEnd w:id="175"/>
    </w:p>
    <w:p w14:paraId="39D5D2CF" w14:textId="77777777" w:rsidR="00A11339" w:rsidRPr="00A11339" w:rsidRDefault="00A11339" w:rsidP="00A11339">
      <w:pPr>
        <w:spacing w:after="0"/>
      </w:pPr>
    </w:p>
    <w:p w14:paraId="02123049" w14:textId="5ED12769" w:rsidR="00666D11" w:rsidRPr="00623780" w:rsidRDefault="00A11339" w:rsidP="00A11339">
      <w:pPr>
        <w:pStyle w:val="Plain"/>
        <w:widowControl/>
        <w:shd w:val="clear" w:color="auto" w:fill="auto"/>
        <w:autoSpaceDE/>
        <w:autoSpaceDN/>
        <w:adjustRightInd/>
      </w:pPr>
      <w:r>
        <w:t>[</w:t>
      </w:r>
      <w:r>
        <w:rPr>
          <w:i/>
          <w:iCs/>
        </w:rPr>
        <w:t>Alternative 2:</w:t>
      </w:r>
      <w:r>
        <w:t xml:space="preserve"> </w:t>
      </w:r>
      <w:r w:rsidR="009244B2">
        <w:t>The parties (</w:t>
      </w:r>
      <w:r w:rsidR="00C654EF">
        <w:t>i</w:t>
      </w:r>
      <w:r w:rsidR="009244B2">
        <w:t>) hereby irrevocably and unconditionally submit to the jurisdiction of the state courts of [</w:t>
      </w:r>
      <w:r w:rsidR="009244B2">
        <w:rPr>
          <w:i/>
        </w:rPr>
        <w:t>state</w:t>
      </w:r>
      <w:r w:rsidR="009244B2">
        <w:t>] and to the jurisdiction of the United States District Court for the District of [judicial district] for the purpose of any suit, action or other proceeding arising out of or based upon this Agreement, (</w:t>
      </w:r>
      <w:r w:rsidR="00C654EF">
        <w:t>ii</w:t>
      </w:r>
      <w:r w:rsidR="009244B2">
        <w:t xml:space="preserve">) agree not to commence any suit, action or other proceeding arising out of or based upon this Agreement </w:t>
      </w:r>
      <w:r w:rsidR="009244B2">
        <w:lastRenderedPageBreak/>
        <w:t>except in the state courts of [</w:t>
      </w:r>
      <w:r w:rsidR="009244B2">
        <w:rPr>
          <w:i/>
        </w:rPr>
        <w:t>state</w:t>
      </w:r>
      <w:r w:rsidR="009244B2">
        <w:t>]</w:t>
      </w:r>
      <w:r w:rsidR="009244B2">
        <w:rPr>
          <w:i/>
        </w:rPr>
        <w:t xml:space="preserve"> </w:t>
      </w:r>
      <w:r w:rsidR="009244B2">
        <w:t>or the United States District Court for the District of [</w:t>
      </w:r>
      <w:r w:rsidR="009244B2">
        <w:rPr>
          <w:i/>
        </w:rPr>
        <w:t>judicial district</w:t>
      </w:r>
      <w:r w:rsidR="009244B2">
        <w:t>], and (</w:t>
      </w:r>
      <w:r w:rsidR="00C654EF">
        <w:t>iii</w:t>
      </w:r>
      <w:r w:rsidR="009244B2">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6F5AC7">
        <w:t>]</w:t>
      </w:r>
      <w:r w:rsidR="009244B2">
        <w:t xml:space="preserve"> </w:t>
      </w:r>
    </w:p>
    <w:p w14:paraId="0A56C67C" w14:textId="3A8F7929" w:rsidR="00A11339" w:rsidRPr="00A11339" w:rsidRDefault="005C6004" w:rsidP="00A11339">
      <w:pPr>
        <w:pStyle w:val="Heading3"/>
      </w:pPr>
      <w:r>
        <w:t xml:space="preserve">Each of the parties to this Agreement consents to personal jurisdiction for any equitable action sought in the U.S. District Court for the District of [_____] or any </w:t>
      </w:r>
      <w:r w:rsidR="00B4515E">
        <w:t xml:space="preserve">state </w:t>
      </w:r>
      <w:r>
        <w:t>court of [</w:t>
      </w:r>
      <w:r>
        <w:rPr>
          <w:i/>
        </w:rPr>
        <w:t>state</w:t>
      </w:r>
      <w:r>
        <w:t>] having subject matter jurisdiction.</w:t>
      </w:r>
      <w:r w:rsidR="006F5AC7" w:rsidRPr="006F5AC7">
        <w:rPr>
          <w:rStyle w:val="FootnoteReference"/>
          <w:szCs w:val="22"/>
        </w:rPr>
        <w:t xml:space="preserve"> </w:t>
      </w:r>
    </w:p>
    <w:p w14:paraId="486B0044" w14:textId="3CE3CDB1" w:rsidR="00C51098" w:rsidRPr="00623780" w:rsidRDefault="009D2311" w:rsidP="00A11339">
      <w:pPr>
        <w:pStyle w:val="Heading3"/>
      </w:pPr>
      <w:r w:rsidRPr="00A11339">
        <w:rPr>
          <w:caps/>
        </w:rPr>
        <w:t>Waiver of Jury Trial</w:t>
      </w:r>
      <w:r>
        <w:t>:</w:t>
      </w:r>
      <w:r w:rsidRPr="00A11339">
        <w:rPr>
          <w:b/>
        </w:rPr>
        <w:t xml:space="preserve"> </w:t>
      </w:r>
      <w:r>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szCs w:val="22"/>
        </w:rPr>
        <w:footnoteReference w:id="103"/>
      </w:r>
    </w:p>
    <w:p w14:paraId="1972B061" w14:textId="58A91A33" w:rsidR="00E303D7" w:rsidRPr="00623780" w:rsidRDefault="009D2311" w:rsidP="00B55AAB">
      <w:pPr>
        <w:pStyle w:val="Heading2"/>
        <w:rPr>
          <w:vanish/>
          <w:szCs w:val="22"/>
          <w:specVanish/>
        </w:rPr>
      </w:pPr>
      <w:r>
        <w:rPr>
          <w:szCs w:val="22"/>
          <w:u w:val="single"/>
        </w:rPr>
        <w:t>[No Commitment for Additional Financing</w:t>
      </w:r>
    </w:p>
    <w:p w14:paraId="55019D27" w14:textId="768F5309" w:rsidR="00666D11" w:rsidRPr="00623780" w:rsidRDefault="009244B2" w:rsidP="00150A0F">
      <w:pPr>
        <w:pStyle w:val="HeadingPara2"/>
        <w:rPr>
          <w:szCs w:val="22"/>
        </w:rPr>
      </w:pPr>
      <w:r>
        <w:rPr>
          <w:szCs w:val="22"/>
        </w:rPr>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w:t>
      </w:r>
      <w:r>
        <w:rPr>
          <w:szCs w:val="22"/>
        </w:rPr>
        <w:lastRenderedPageBreak/>
        <w:t xml:space="preserve">participate in any other financing of or investment in the Company, and shall have no obligation to assist or cooperate with the Company in obtaining any financing, investment or other assistance.] </w:t>
      </w:r>
    </w:p>
    <w:p w14:paraId="64D04E53" w14:textId="6A5F05DE" w:rsidR="00E303D7" w:rsidRPr="00623780" w:rsidRDefault="00C7084E" w:rsidP="00A4370A">
      <w:pPr>
        <w:pStyle w:val="Heading2"/>
        <w:rPr>
          <w:vanish/>
          <w:szCs w:val="22"/>
          <w:specVanish/>
        </w:rPr>
      </w:pPr>
      <w:r>
        <w:rPr>
          <w:szCs w:val="22"/>
        </w:rPr>
        <w:t>[</w:t>
      </w:r>
      <w:r>
        <w:rPr>
          <w:szCs w:val="22"/>
          <w:u w:val="single"/>
        </w:rPr>
        <w:t>Waiver of Conflicts</w:t>
      </w:r>
    </w:p>
    <w:p w14:paraId="39F6D0BD" w14:textId="55FE79E6" w:rsidR="00666D11" w:rsidRPr="00623780" w:rsidRDefault="009244B2" w:rsidP="00150A0F">
      <w:pPr>
        <w:pStyle w:val="HeadingPara2"/>
        <w:rPr>
          <w:szCs w:val="22"/>
        </w:rPr>
      </w:pPr>
      <w:r>
        <w:rPr>
          <w:szCs w:val="22"/>
        </w:rPr>
        <w:t>. Each party to this Agreement acknowledges that [</w:t>
      </w:r>
      <w:r>
        <w:rPr>
          <w:i/>
          <w:iCs/>
          <w:szCs w:val="22"/>
        </w:rPr>
        <w:t>insert name of Company counsel</w:t>
      </w:r>
      <w:r>
        <w:rPr>
          <w:szCs w:val="22"/>
        </w:rPr>
        <w:t>], counsel for the Company, may have in the past performed, and may continue to or in the future perform, legal services for certain of the Purchasers in matters that are similar, but not substantially related, to the transactions described in this Agreement, including the representation of such Purchasers in venture capital financings and other matters. Accordingly, each party to this Agreement hereby acknowledges that (a) they have had an opportunity to ask for information relevant to this disclosure, and (b) [</w:t>
      </w:r>
      <w:r>
        <w:rPr>
          <w:i/>
          <w:iCs/>
          <w:szCs w:val="22"/>
        </w:rPr>
        <w:t>insert name of Company counsel</w:t>
      </w:r>
      <w:r>
        <w:rPr>
          <w:szCs w:val="22"/>
        </w:rPr>
        <w:t>] represents only the Company with respect to the Agreement and the transactions contemplated hereby. The Company gives its informed consent to [</w:t>
      </w:r>
      <w:r>
        <w:rPr>
          <w:i/>
          <w:iCs/>
          <w:szCs w:val="22"/>
        </w:rPr>
        <w:t>insert name of Company counsel</w:t>
      </w:r>
      <w:r>
        <w:rPr>
          <w:szCs w:val="22"/>
        </w:rPr>
        <w:t>]’s existing and/or future representation of such Purchasers in matters not substantially related to this Agreement, and such Purchasers give their informed consent to [</w:t>
      </w:r>
      <w:r>
        <w:rPr>
          <w:i/>
          <w:iCs/>
          <w:szCs w:val="22"/>
        </w:rPr>
        <w:t>insert name of Company counsel</w:t>
      </w:r>
      <w:r>
        <w:rPr>
          <w:szCs w:val="22"/>
        </w:rPr>
        <w:t>]’s representation of the Company in connection with this Agreement and the transactions contemplated hereby.]</w:t>
      </w:r>
    </w:p>
    <w:p w14:paraId="7153C62D" w14:textId="77777777" w:rsidR="009D2311" w:rsidRPr="00623780" w:rsidRDefault="009D2311" w:rsidP="00E303D7">
      <w:pPr>
        <w:spacing w:after="0"/>
        <w:jc w:val="center"/>
      </w:pPr>
      <w:bookmarkStart w:id="176" w:name="_Hlk46332431"/>
      <w:r>
        <w:t>[Signature Page Follows]</w:t>
      </w:r>
    </w:p>
    <w:bookmarkEnd w:id="176"/>
    <w:p w14:paraId="6A4053F4" w14:textId="77777777" w:rsidR="009D2311" w:rsidRPr="00623780" w:rsidRDefault="009D2311" w:rsidP="00311A48">
      <w:pPr>
        <w:widowControl/>
        <w:shd w:val="clear" w:color="auto" w:fill="auto"/>
        <w:spacing w:after="0"/>
        <w:sectPr w:rsidR="009D2311" w:rsidRPr="00623780" w:rsidSect="00DA7048">
          <w:footerReference w:type="even"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noEndnote/>
          <w:titlePg/>
          <w:docGrid w:linePitch="299"/>
        </w:sectPr>
      </w:pPr>
    </w:p>
    <w:p w14:paraId="56191AFB" w14:textId="02697940" w:rsidR="00F85A17" w:rsidRPr="00623780" w:rsidRDefault="009D2311" w:rsidP="00F85A17">
      <w:pPr>
        <w:pStyle w:val="BodyText"/>
        <w:rPr>
          <w:b/>
          <w:bCs/>
          <w:i/>
          <w:iCs/>
        </w:rPr>
      </w:pPr>
      <w:r>
        <w:lastRenderedPageBreak/>
        <w:t>IN WITNESS WHEREOF, the parties have executed this Series [</w:t>
      </w:r>
      <w:r w:rsidR="00714059">
        <w:t>___</w:t>
      </w:r>
      <w:r>
        <w:t>] Preferred Stock Purchase Agreement as of the date first written above.</w:t>
      </w:r>
      <w:r>
        <w:rPr>
          <w:rStyle w:val="FootnoteReference"/>
          <w:szCs w:val="22"/>
        </w:rPr>
        <w:footnoteReference w:id="104"/>
      </w:r>
    </w:p>
    <w:p w14:paraId="1C2CFCE2" w14:textId="77777777" w:rsidR="00F85A17" w:rsidRPr="00623780" w:rsidRDefault="00F85A17" w:rsidP="00F85A17">
      <w:pPr>
        <w:pStyle w:val="Company-1"/>
        <w:keepLines w:val="0"/>
        <w:widowControl/>
        <w:shd w:val="clear" w:color="auto" w:fill="auto"/>
        <w:tabs>
          <w:tab w:val="clear" w:pos="5310"/>
          <w:tab w:val="left" w:pos="4320"/>
        </w:tabs>
        <w:autoSpaceDE/>
        <w:autoSpaceDN/>
        <w:adjustRightInd/>
        <w:ind w:left="0"/>
        <w:rPr>
          <w:i/>
        </w:rPr>
      </w:pPr>
      <w:r>
        <w:t>COMPANY:</w:t>
      </w:r>
      <w:r>
        <w:tab/>
        <w:t>[</w:t>
      </w:r>
      <w:r>
        <w:rPr>
          <w:i/>
        </w:rPr>
        <w:t>Insert Company Name</w:t>
      </w:r>
      <w:r>
        <w:t>]</w:t>
      </w:r>
    </w:p>
    <w:p w14:paraId="3D7E8D9C" w14:textId="2E29762C"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pPr>
      <w:r>
        <w:t>By:</w:t>
      </w:r>
      <w:r>
        <w:tab/>
      </w:r>
      <w:r>
        <w:rPr>
          <w:u w:val="single"/>
        </w:rPr>
        <w:tab/>
      </w:r>
    </w:p>
    <w:p w14:paraId="3B0B7E73" w14:textId="07A731A2"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rPr>
          <w:u w:val="single"/>
        </w:rPr>
      </w:pPr>
      <w:r>
        <w:t>Name:</w:t>
      </w:r>
      <w:r>
        <w:tab/>
      </w:r>
      <w:r>
        <w:rPr>
          <w:u w:val="single"/>
        </w:rPr>
        <w:tab/>
      </w:r>
    </w:p>
    <w:p w14:paraId="42FEE761" w14:textId="3427B772"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pPr>
      <w:r>
        <w:t>Title:</w:t>
      </w:r>
      <w:r>
        <w:tab/>
      </w:r>
      <w:r>
        <w:rPr>
          <w:u w:val="single"/>
        </w:rPr>
        <w:tab/>
      </w:r>
    </w:p>
    <w:p w14:paraId="7171C153" w14:textId="6BA882E9" w:rsidR="00940E5B" w:rsidRPr="00623780" w:rsidRDefault="00940E5B" w:rsidP="00580D56">
      <w:pPr>
        <w:pStyle w:val="Company-1"/>
        <w:keepLines w:val="0"/>
        <w:widowControl/>
        <w:shd w:val="clear" w:color="auto" w:fill="auto"/>
        <w:tabs>
          <w:tab w:val="clear" w:pos="5310"/>
          <w:tab w:val="left" w:pos="5220"/>
        </w:tabs>
        <w:autoSpaceDE/>
        <w:autoSpaceDN/>
        <w:adjustRightInd/>
        <w:spacing w:after="0"/>
        <w:ind w:left="5220" w:hanging="900"/>
      </w:pPr>
      <w:r>
        <w:t>Address:</w:t>
      </w:r>
      <w:r>
        <w:tab/>
      </w:r>
      <w:r>
        <w:rPr>
          <w:u w:val="single"/>
        </w:rPr>
        <w:tab/>
      </w:r>
      <w:r>
        <w:rPr>
          <w:u w:val="single"/>
        </w:rPr>
        <w:br/>
      </w:r>
      <w:r>
        <w:rPr>
          <w:u w:val="single"/>
        </w:rPr>
        <w:tab/>
      </w:r>
    </w:p>
    <w:p w14:paraId="4FAAD050" w14:textId="5247E62E" w:rsidR="00940E5B" w:rsidRPr="00623780" w:rsidRDefault="00940E5B" w:rsidP="00580D56">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Pr>
          <w:u w:val="single"/>
        </w:rPr>
        <w:tab/>
      </w:r>
      <w:r>
        <w:t xml:space="preserve"> </w:t>
      </w:r>
      <w:r>
        <w:rPr>
          <w:rStyle w:val="FootnoteReference"/>
          <w:szCs w:val="22"/>
          <w:u w:val="single"/>
        </w:rPr>
        <w:footnoteReference w:id="105"/>
      </w:r>
    </w:p>
    <w:p w14:paraId="47FF59C4"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2A2392C4"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31C22586" w14:textId="7BE93DC9"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t>PURCHASER:</w:t>
      </w:r>
      <w:r>
        <w:tab/>
        <w:t>[</w:t>
      </w:r>
      <w:r>
        <w:rPr>
          <w:i/>
        </w:rPr>
        <w:t>Insert Investor Name]</w:t>
      </w:r>
    </w:p>
    <w:p w14:paraId="002641A0"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56B05697"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45F6B2ED" w14:textId="4362995B"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t>By:</w:t>
      </w:r>
      <w:r>
        <w:tab/>
      </w:r>
      <w:r>
        <w:rPr>
          <w:u w:val="single"/>
        </w:rPr>
        <w:tab/>
      </w:r>
    </w:p>
    <w:p w14:paraId="243B0EAF" w14:textId="38A21CD7"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t>Name:</w:t>
      </w:r>
      <w:r>
        <w:tab/>
      </w:r>
      <w:r>
        <w:rPr>
          <w:u w:val="single"/>
        </w:rPr>
        <w:tab/>
      </w:r>
    </w:p>
    <w:p w14:paraId="08AF0839" w14:textId="3E392358"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t>Title:</w:t>
      </w:r>
      <w:r>
        <w:tab/>
      </w:r>
      <w:r>
        <w:rPr>
          <w:u w:val="single"/>
        </w:rPr>
        <w:tab/>
      </w:r>
    </w:p>
    <w:p w14:paraId="3DDB3279"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658A3B7F" w14:textId="77777777" w:rsidR="009D2311" w:rsidRPr="00623780" w:rsidRDefault="009D2311" w:rsidP="008315D6">
      <w:pPr>
        <w:pStyle w:val="Company-1"/>
        <w:widowControl/>
        <w:shd w:val="clear" w:color="auto" w:fill="auto"/>
        <w:autoSpaceDE/>
        <w:autoSpaceDN/>
        <w:adjustRightInd/>
      </w:pPr>
    </w:p>
    <w:p w14:paraId="4379B1B2" w14:textId="77777777" w:rsidR="009D2311" w:rsidRPr="00623780" w:rsidRDefault="009D2311" w:rsidP="00311A48">
      <w:pPr>
        <w:widowControl/>
        <w:shd w:val="clear" w:color="auto" w:fill="auto"/>
        <w:spacing w:after="0"/>
        <w:sectPr w:rsidR="009D2311" w:rsidRPr="00623780" w:rsidSect="00DA70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noEndnote/>
        </w:sectPr>
      </w:pPr>
    </w:p>
    <w:p w14:paraId="622207A4" w14:textId="5A7112B4" w:rsidR="00D113E4" w:rsidRPr="00623780" w:rsidRDefault="00D113E4" w:rsidP="00BD1085">
      <w:pPr>
        <w:pStyle w:val="Exhibit"/>
        <w:numPr>
          <w:ilvl w:val="0"/>
          <w:numId w:val="4"/>
        </w:numPr>
      </w:pPr>
      <w:bookmarkStart w:id="179" w:name="_Ref137575642"/>
    </w:p>
    <w:p w14:paraId="47B4CAED" w14:textId="332DC0F1" w:rsidR="006E6CB3" w:rsidRPr="00623780" w:rsidRDefault="00BD1085">
      <w:pPr>
        <w:widowControl/>
        <w:shd w:val="clear" w:color="auto" w:fill="auto"/>
        <w:tabs>
          <w:tab w:val="left" w:pos="720"/>
          <w:tab w:val="left" w:pos="1440"/>
          <w:tab w:val="left" w:pos="2520"/>
          <w:tab w:val="right" w:leader="dot" w:pos="8640"/>
        </w:tabs>
        <w:autoSpaceDE/>
        <w:autoSpaceDN/>
        <w:adjustRightInd/>
        <w:jc w:val="center"/>
        <w:rPr>
          <w:b/>
        </w:rPr>
      </w:pPr>
      <w:bookmarkStart w:id="180" w:name="Schedule_of_Purchasers_Exhibit_Title"/>
      <w:bookmarkEnd w:id="179"/>
      <w:r>
        <w:rPr>
          <w:b/>
        </w:rPr>
        <w:t>SCHEDULE OF PURCHASERS</w:t>
      </w:r>
      <w:bookmarkEnd w:id="180"/>
      <w:r>
        <w:rPr>
          <w:rStyle w:val="FootnoteReference"/>
          <w:bCs/>
          <w:szCs w:val="22"/>
        </w:rPr>
        <w:footnoteReference w:id="106"/>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85"/>
        <w:gridCol w:w="1522"/>
        <w:gridCol w:w="1522"/>
        <w:gridCol w:w="1509"/>
        <w:gridCol w:w="1513"/>
        <w:gridCol w:w="1509"/>
      </w:tblGrid>
      <w:tr w:rsidR="007A4F51" w:rsidRPr="00623780" w14:paraId="7DF2D8FC" w14:textId="55D24876" w:rsidTr="00500EDE">
        <w:tc>
          <w:tcPr>
            <w:tcW w:w="954" w:type="pct"/>
            <w:vAlign w:val="bottom"/>
          </w:tcPr>
          <w:p w14:paraId="433FB2EC" w14:textId="1600837A"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Name and Address of Purchaser</w:t>
            </w:r>
            <w:r>
              <w:rPr>
                <w:rStyle w:val="FootnoteReference"/>
                <w:bCs/>
                <w:szCs w:val="22"/>
              </w:rPr>
              <w:footnoteReference w:id="107"/>
            </w:r>
          </w:p>
        </w:tc>
        <w:tc>
          <w:tcPr>
            <w:tcW w:w="813" w:type="pct"/>
            <w:vAlign w:val="bottom"/>
          </w:tcPr>
          <w:p w14:paraId="7DBFCED6" w14:textId="0C0728FB"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813" w:type="pct"/>
            <w:vAlign w:val="bottom"/>
          </w:tcPr>
          <w:p w14:paraId="426EF668" w14:textId="4A677BC3"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806" w:type="pct"/>
            <w:vAlign w:val="bottom"/>
          </w:tcPr>
          <w:p w14:paraId="35EFC7A0" w14:textId="7CCCBA0D"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808" w:type="pct"/>
            <w:vAlign w:val="bottom"/>
          </w:tcPr>
          <w:p w14:paraId="4ACA28C7" w14:textId="4D86E0B6"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806" w:type="pct"/>
            <w:vAlign w:val="bottom"/>
          </w:tcPr>
          <w:p w14:paraId="7F32CB4D" w14:textId="243B5A64"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Total Shares</w:t>
            </w:r>
          </w:p>
        </w:tc>
      </w:tr>
      <w:tr w:rsidR="007A4F51" w:rsidRPr="00623780" w14:paraId="1A570EEC" w14:textId="5AAE5384" w:rsidTr="00B81AB1">
        <w:tc>
          <w:tcPr>
            <w:tcW w:w="954" w:type="pct"/>
          </w:tcPr>
          <w:p w14:paraId="687B2CB0" w14:textId="3E5CBBC6" w:rsidR="007A4F51" w:rsidRPr="00623780" w:rsidRDefault="007A4F51" w:rsidP="00D113E4">
            <w:pPr>
              <w:widowControl/>
              <w:shd w:val="clear" w:color="auto" w:fill="auto"/>
              <w:autoSpaceDE/>
              <w:autoSpaceDN/>
              <w:adjustRightInd/>
              <w:spacing w:after="200" w:line="276" w:lineRule="auto"/>
              <w:rPr>
                <w:bCs/>
                <w:sz w:val="22"/>
                <w:szCs w:val="22"/>
              </w:rPr>
            </w:pPr>
          </w:p>
        </w:tc>
        <w:tc>
          <w:tcPr>
            <w:tcW w:w="813" w:type="pct"/>
          </w:tcPr>
          <w:p w14:paraId="586E4091"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13" w:type="pct"/>
          </w:tcPr>
          <w:p w14:paraId="18AFD258"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6" w:type="pct"/>
          </w:tcPr>
          <w:p w14:paraId="2C254160"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8" w:type="pct"/>
          </w:tcPr>
          <w:p w14:paraId="2C49DDB0"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6" w:type="pct"/>
          </w:tcPr>
          <w:p w14:paraId="6CC6C33F"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r>
    </w:tbl>
    <w:p w14:paraId="38DBD8DA" w14:textId="77777777" w:rsidR="00795A36" w:rsidRPr="00623780" w:rsidRDefault="00795A36" w:rsidP="00D113E4">
      <w:pPr>
        <w:widowControl/>
        <w:shd w:val="clear" w:color="auto" w:fill="auto"/>
        <w:autoSpaceDE/>
        <w:autoSpaceDN/>
        <w:adjustRightInd/>
        <w:spacing w:after="200" w:line="276" w:lineRule="auto"/>
        <w:rPr>
          <w:b/>
        </w:rPr>
      </w:pPr>
    </w:p>
    <w:p w14:paraId="5BDEC6E3" w14:textId="77777777" w:rsidR="00530B27" w:rsidRPr="00623780" w:rsidRDefault="00530B27" w:rsidP="00D113E4">
      <w:pPr>
        <w:widowControl/>
        <w:shd w:val="clear" w:color="auto" w:fill="auto"/>
        <w:autoSpaceDE/>
        <w:autoSpaceDN/>
        <w:adjustRightInd/>
        <w:spacing w:after="200" w:line="276" w:lineRule="auto"/>
        <w:rPr>
          <w:b/>
        </w:rPr>
      </w:pPr>
    </w:p>
    <w:p w14:paraId="278A3D4B" w14:textId="77777777" w:rsidR="00795A36" w:rsidRDefault="00500EDE" w:rsidP="00D113E4">
      <w:pPr>
        <w:widowControl/>
        <w:shd w:val="clear" w:color="auto" w:fill="auto"/>
        <w:autoSpaceDE/>
        <w:autoSpaceDN/>
        <w:adjustRightInd/>
        <w:spacing w:after="200" w:line="276" w:lineRule="auto"/>
        <w:rPr>
          <w:bCs/>
        </w:rPr>
      </w:pPr>
      <w:r>
        <w:rPr>
          <w:b/>
        </w:rPr>
        <w:t>[[Alternative if there is a mandatory tranche closing:</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1330"/>
        <w:gridCol w:w="1329"/>
        <w:gridCol w:w="1292"/>
        <w:gridCol w:w="1295"/>
        <w:gridCol w:w="1292"/>
        <w:gridCol w:w="1292"/>
      </w:tblGrid>
      <w:tr w:rsidR="00500EDE" w:rsidRPr="00623780" w14:paraId="56A946C1" w14:textId="0AD9C784" w:rsidTr="00500EDE">
        <w:tc>
          <w:tcPr>
            <w:tcW w:w="817" w:type="pct"/>
            <w:vAlign w:val="bottom"/>
          </w:tcPr>
          <w:p w14:paraId="7BEA2414" w14:textId="4307BC86"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Name and Address of Purchaser</w:t>
            </w:r>
          </w:p>
        </w:tc>
        <w:tc>
          <w:tcPr>
            <w:tcW w:w="710" w:type="pct"/>
            <w:vAlign w:val="bottom"/>
          </w:tcPr>
          <w:p w14:paraId="607712F1"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710" w:type="pct"/>
            <w:vAlign w:val="bottom"/>
          </w:tcPr>
          <w:p w14:paraId="531E952C"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690" w:type="pct"/>
            <w:vAlign w:val="bottom"/>
          </w:tcPr>
          <w:p w14:paraId="574D88DB"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692" w:type="pct"/>
            <w:vAlign w:val="bottom"/>
          </w:tcPr>
          <w:p w14:paraId="54882B86"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690" w:type="pct"/>
            <w:vAlign w:val="bottom"/>
          </w:tcPr>
          <w:p w14:paraId="06FA9816" w14:textId="25BEB78F"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Total Shares at [Initial] Closing</w:t>
            </w:r>
          </w:p>
        </w:tc>
        <w:tc>
          <w:tcPr>
            <w:tcW w:w="690" w:type="pct"/>
            <w:vAlign w:val="bottom"/>
          </w:tcPr>
          <w:p w14:paraId="5FC7D7A9" w14:textId="19EBE2B9" w:rsidR="00500EDE" w:rsidRPr="00623780" w:rsidRDefault="00500EDE" w:rsidP="00500EDE">
            <w:pPr>
              <w:widowControl/>
              <w:shd w:val="clear" w:color="auto" w:fill="auto"/>
              <w:autoSpaceDE/>
              <w:autoSpaceDN/>
              <w:adjustRightInd/>
              <w:spacing w:after="200" w:line="276" w:lineRule="auto"/>
              <w:jc w:val="center"/>
              <w:rPr>
                <w:b/>
              </w:rPr>
            </w:pPr>
            <w:r>
              <w:rPr>
                <w:b/>
              </w:rPr>
              <w:t>Tranche Closing Shares</w:t>
            </w:r>
          </w:p>
        </w:tc>
      </w:tr>
      <w:tr w:rsidR="00500EDE" w:rsidRPr="00500EDE" w14:paraId="726D8E8F" w14:textId="73541A62" w:rsidTr="00500EDE">
        <w:tc>
          <w:tcPr>
            <w:tcW w:w="817" w:type="pct"/>
          </w:tcPr>
          <w:p w14:paraId="370C2DE2"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710" w:type="pct"/>
          </w:tcPr>
          <w:p w14:paraId="694913C9"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710" w:type="pct"/>
          </w:tcPr>
          <w:p w14:paraId="3388FA4F"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28F77EF2"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2" w:type="pct"/>
          </w:tcPr>
          <w:p w14:paraId="39CDC003"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254C127A"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7C850F5E" w14:textId="77777777" w:rsidR="00500EDE" w:rsidRPr="00623780" w:rsidRDefault="00500EDE" w:rsidP="007C6935">
            <w:pPr>
              <w:widowControl/>
              <w:shd w:val="clear" w:color="auto" w:fill="auto"/>
              <w:autoSpaceDE/>
              <w:autoSpaceDN/>
              <w:adjustRightInd/>
              <w:spacing w:after="200" w:line="276" w:lineRule="auto"/>
              <w:rPr>
                <w:bCs/>
              </w:rPr>
            </w:pPr>
          </w:p>
        </w:tc>
      </w:tr>
    </w:tbl>
    <w:p w14:paraId="2E219E59" w14:textId="77777777" w:rsidR="00500EDE" w:rsidRDefault="00500EDE" w:rsidP="00D113E4">
      <w:pPr>
        <w:widowControl/>
        <w:shd w:val="clear" w:color="auto" w:fill="auto"/>
        <w:autoSpaceDE/>
        <w:autoSpaceDN/>
        <w:adjustRightInd/>
        <w:spacing w:after="200" w:line="276" w:lineRule="auto"/>
        <w:rPr>
          <w:b/>
        </w:rPr>
      </w:pPr>
      <w:r>
        <w:rPr>
          <w:b/>
        </w:rPr>
        <w:t>]]</w:t>
      </w:r>
    </w:p>
    <w:p w14:paraId="7F237D81" w14:textId="77777777" w:rsidR="005E5891" w:rsidRDefault="005E5891" w:rsidP="008F3406">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6FD10B7E" w14:textId="4EFA9B45" w:rsidR="008F3406" w:rsidRDefault="008F3406" w:rsidP="008F3406">
      <w:pPr>
        <w:widowControl/>
        <w:shd w:val="clear" w:color="auto" w:fill="auto"/>
        <w:tabs>
          <w:tab w:val="left" w:pos="720"/>
          <w:tab w:val="left" w:pos="1440"/>
          <w:tab w:val="left" w:pos="2520"/>
          <w:tab w:val="right" w:leader="dot" w:pos="8640"/>
        </w:tabs>
        <w:autoSpaceDE/>
        <w:autoSpaceDN/>
        <w:adjustRightInd/>
        <w:jc w:val="center"/>
        <w:rPr>
          <w:b/>
        </w:rPr>
      </w:pPr>
      <w:r>
        <w:rPr>
          <w:b/>
        </w:rPr>
        <w:lastRenderedPageBreak/>
        <w:t>EXHIBIT A-1</w:t>
      </w:r>
    </w:p>
    <w:p w14:paraId="476FF92F" w14:textId="4FD39CB2" w:rsidR="008F3406" w:rsidRPr="008F3406" w:rsidRDefault="008F3406" w:rsidP="008F3406">
      <w:pPr>
        <w:widowControl/>
        <w:shd w:val="clear" w:color="auto" w:fill="auto"/>
        <w:tabs>
          <w:tab w:val="left" w:pos="720"/>
          <w:tab w:val="left" w:pos="1440"/>
          <w:tab w:val="left" w:pos="2520"/>
          <w:tab w:val="right" w:leader="dot" w:pos="8640"/>
        </w:tabs>
        <w:autoSpaceDE/>
        <w:autoSpaceDN/>
        <w:adjustRightInd/>
        <w:jc w:val="center"/>
        <w:rPr>
          <w:bCs/>
        </w:rPr>
      </w:pPr>
      <w:r>
        <w:rPr>
          <w:b/>
        </w:rPr>
        <w:t>SCHEDULE OF NON-SIGNING HOLDERS OF CONVERTIBLE SECURITIES</w:t>
      </w:r>
      <w:r w:rsidR="00061708" w:rsidRPr="005E5891">
        <w:rPr>
          <w:rStyle w:val="FootnoteReference"/>
          <w:bCs/>
        </w:rPr>
        <w:footnoteReference w:id="108"/>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62"/>
        <w:gridCol w:w="2950"/>
        <w:gridCol w:w="2948"/>
      </w:tblGrid>
      <w:tr w:rsidR="008F3406" w:rsidRPr="00623780" w14:paraId="4E15505D" w14:textId="77777777" w:rsidTr="008F3406">
        <w:tc>
          <w:tcPr>
            <w:tcW w:w="1849" w:type="pct"/>
            <w:vAlign w:val="bottom"/>
          </w:tcPr>
          <w:p w14:paraId="2DB761B5" w14:textId="13F3F3A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Name and Address of Convertible Security Holder</w:t>
            </w:r>
          </w:p>
        </w:tc>
        <w:tc>
          <w:tcPr>
            <w:tcW w:w="1576" w:type="pct"/>
            <w:vAlign w:val="bottom"/>
          </w:tcPr>
          <w:p w14:paraId="6F2C2A3A" w14:textId="7777777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1576" w:type="pct"/>
            <w:vAlign w:val="bottom"/>
          </w:tcPr>
          <w:p w14:paraId="0C5CEC3C" w14:textId="7777777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r>
      <w:tr w:rsidR="008F3406" w:rsidRPr="00623780" w14:paraId="7847CBA6" w14:textId="77777777" w:rsidTr="008F3406">
        <w:tc>
          <w:tcPr>
            <w:tcW w:w="1849" w:type="pct"/>
          </w:tcPr>
          <w:p w14:paraId="22B8DAFA"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c>
          <w:tcPr>
            <w:tcW w:w="1576" w:type="pct"/>
          </w:tcPr>
          <w:p w14:paraId="28B55E79"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c>
          <w:tcPr>
            <w:tcW w:w="1576" w:type="pct"/>
          </w:tcPr>
          <w:p w14:paraId="50F5FD88"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r>
    </w:tbl>
    <w:p w14:paraId="755C9025" w14:textId="77777777" w:rsidR="008F3406" w:rsidRPr="00623780" w:rsidRDefault="008F3406" w:rsidP="008F3406">
      <w:pPr>
        <w:widowControl/>
        <w:shd w:val="clear" w:color="auto" w:fill="auto"/>
        <w:autoSpaceDE/>
        <w:autoSpaceDN/>
        <w:adjustRightInd/>
        <w:spacing w:after="200" w:line="276" w:lineRule="auto"/>
        <w:rPr>
          <w:b/>
        </w:rPr>
      </w:pPr>
    </w:p>
    <w:p w14:paraId="42FAE18F" w14:textId="77777777" w:rsidR="008F3406" w:rsidRDefault="008F3406" w:rsidP="00D113E4">
      <w:pPr>
        <w:widowControl/>
        <w:shd w:val="clear" w:color="auto" w:fill="auto"/>
        <w:autoSpaceDE/>
        <w:autoSpaceDN/>
        <w:adjustRightInd/>
        <w:spacing w:after="200" w:line="276" w:lineRule="auto"/>
        <w:rPr>
          <w:b/>
        </w:rPr>
      </w:pPr>
    </w:p>
    <w:p w14:paraId="2841B33F" w14:textId="77777777" w:rsidR="008F3406" w:rsidRDefault="008F3406" w:rsidP="00D113E4">
      <w:pPr>
        <w:widowControl/>
        <w:shd w:val="clear" w:color="auto" w:fill="auto"/>
        <w:autoSpaceDE/>
        <w:autoSpaceDN/>
        <w:adjustRightInd/>
        <w:spacing w:after="200" w:line="276" w:lineRule="auto"/>
        <w:rPr>
          <w:b/>
        </w:rPr>
      </w:pPr>
    </w:p>
    <w:p w14:paraId="30C4BCFA" w14:textId="77777777" w:rsidR="008F3406" w:rsidRPr="00500EDE" w:rsidRDefault="008F3406" w:rsidP="00D113E4">
      <w:pPr>
        <w:widowControl/>
        <w:shd w:val="clear" w:color="auto" w:fill="auto"/>
        <w:autoSpaceDE/>
        <w:autoSpaceDN/>
        <w:adjustRightInd/>
        <w:spacing w:after="200" w:line="276" w:lineRule="auto"/>
        <w:rPr>
          <w:b/>
        </w:rPr>
        <w:sectPr w:rsidR="008F3406" w:rsidRPr="00500EDE" w:rsidSect="00DA7048">
          <w:headerReference w:type="default" r:id="rId18"/>
          <w:footerReference w:type="default" r:id="rId19"/>
          <w:pgSz w:w="12240" w:h="15840"/>
          <w:pgMar w:top="1440" w:right="1440" w:bottom="1440" w:left="1440" w:header="720" w:footer="720" w:gutter="0"/>
          <w:cols w:space="720"/>
          <w:docGrid w:linePitch="299"/>
        </w:sectPr>
      </w:pPr>
    </w:p>
    <w:p w14:paraId="41D2FD2F" w14:textId="3EE7634D" w:rsidR="00D113E4" w:rsidRPr="00623780" w:rsidRDefault="00D113E4" w:rsidP="00BD1085">
      <w:pPr>
        <w:pStyle w:val="Exhibit"/>
        <w:numPr>
          <w:ilvl w:val="0"/>
          <w:numId w:val="4"/>
        </w:numPr>
      </w:pPr>
      <w:bookmarkStart w:id="181" w:name="_Ref137575743"/>
    </w:p>
    <w:p w14:paraId="654A24A6"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2" w:name="Amended_Charter_Exhibit_Title"/>
      <w:bookmarkEnd w:id="181"/>
      <w:r>
        <w:rPr>
          <w:b/>
        </w:rPr>
        <w:t>FORM OF AMENDED AND RESTATED</w:t>
      </w:r>
      <w:r>
        <w:rPr>
          <w:b/>
          <w:u w:val="single"/>
        </w:rPr>
        <w:br/>
      </w:r>
      <w:r>
        <w:rPr>
          <w:b/>
        </w:rPr>
        <w:t>CERTIFICATE OF INCORPORATION</w:t>
      </w:r>
      <w:bookmarkEnd w:id="182"/>
    </w:p>
    <w:p w14:paraId="248B7215" w14:textId="2F7637D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14A4576A" w14:textId="4DD947A1" w:rsidR="009D2311" w:rsidRPr="00623780" w:rsidRDefault="009D2311" w:rsidP="00BD1085">
      <w:pPr>
        <w:pStyle w:val="Exhibit"/>
        <w:numPr>
          <w:ilvl w:val="0"/>
          <w:numId w:val="4"/>
        </w:numPr>
      </w:pPr>
      <w:bookmarkStart w:id="183" w:name="_Ref137575748"/>
    </w:p>
    <w:p w14:paraId="7FBA316E" w14:textId="77777777" w:rsidR="009D2311" w:rsidRPr="00623780" w:rsidRDefault="009D2311" w:rsidP="008315D6">
      <w:pPr>
        <w:widowControl/>
        <w:shd w:val="clear" w:color="auto" w:fill="auto"/>
        <w:tabs>
          <w:tab w:val="left" w:pos="720"/>
          <w:tab w:val="left" w:pos="1440"/>
          <w:tab w:val="left" w:pos="2520"/>
          <w:tab w:val="right" w:leader="dot" w:pos="8640"/>
        </w:tabs>
        <w:autoSpaceDE/>
        <w:autoSpaceDN/>
        <w:adjustRightInd/>
        <w:jc w:val="center"/>
        <w:rPr>
          <w:b/>
        </w:rPr>
      </w:pPr>
      <w:bookmarkStart w:id="184" w:name="Disclosure_Schedule_Exhibit_Title"/>
      <w:bookmarkEnd w:id="183"/>
      <w:r>
        <w:rPr>
          <w:b/>
        </w:rPr>
        <w:t>DISCLOSURE SCHEDULE</w:t>
      </w:r>
      <w:bookmarkEnd w:id="184"/>
    </w:p>
    <w:p w14:paraId="659BEC4F" w14:textId="13B5BB6A" w:rsidR="00530B27" w:rsidRPr="00623780" w:rsidRDefault="0007008A" w:rsidP="007A4F51">
      <w:pPr>
        <w:widowControl/>
        <w:shd w:val="clear" w:color="auto" w:fill="auto"/>
        <w:adjustRightInd/>
        <w:jc w:val="both"/>
      </w:pPr>
      <w:r>
        <w:t xml:space="preserve">[This Disclosure Schedule is made and given pursuant to </w:t>
      </w:r>
      <w:r>
        <w:rPr>
          <w:u w:val="single"/>
        </w:rPr>
        <w:t xml:space="preserve">Section </w:t>
      </w:r>
      <w:r>
        <w:rPr>
          <w:u w:val="single"/>
        </w:rPr>
        <w:fldChar w:fldCharType="begin"/>
      </w:r>
      <w:r>
        <w:rPr>
          <w:u w:val="single"/>
        </w:rPr>
        <w:instrText xml:space="preserve"> REF _Ref146362263 \w \h  \* MERGEFORMAT </w:instrText>
      </w:r>
      <w:r>
        <w:rPr>
          <w:u w:val="single"/>
        </w:rPr>
      </w:r>
      <w:r>
        <w:rPr>
          <w:u w:val="single"/>
        </w:rPr>
        <w:fldChar w:fldCharType="separate"/>
      </w:r>
      <w:r w:rsidR="008E009B">
        <w:rPr>
          <w:u w:val="single"/>
        </w:rPr>
        <w:t>2</w:t>
      </w:r>
      <w:r>
        <w:rPr>
          <w:u w:val="single"/>
        </w:rPr>
        <w:fldChar w:fldCharType="end"/>
      </w:r>
      <w:r>
        <w:t xml:space="preserve"> of the Series [___] Preferred Stock Purchase Agreement, dated as of [date] (the “</w:t>
      </w:r>
      <w:r>
        <w:rPr>
          <w:b/>
        </w:rPr>
        <w:t>Agreement</w:t>
      </w:r>
      <w:r>
        <w:t>”), by and among [</w:t>
      </w:r>
      <w:r>
        <w:rPr>
          <w:i/>
          <w:iCs/>
        </w:rPr>
        <w:t>Company name</w:t>
      </w:r>
      <w:r>
        <w:t>] (the “</w:t>
      </w:r>
      <w:r>
        <w:rPr>
          <w:b/>
        </w:rPr>
        <w:t>Company</w:t>
      </w:r>
      <w:r>
        <w:t xml:space="preserve">”) and the Purchasers listed on </w:t>
      </w:r>
      <w:r>
        <w:fldChar w:fldCharType="begin"/>
      </w:r>
      <w:r>
        <w:instrText xml:space="preserve"> REF _Ref137575642 \r \h  \* MERGEFORMAT </w:instrText>
      </w:r>
      <w:r>
        <w:fldChar w:fldCharType="separate"/>
      </w:r>
      <w:r w:rsidR="008E009B">
        <w:t>Exhibit A</w:t>
      </w:r>
      <w:r>
        <w:fldChar w:fldCharType="end"/>
      </w:r>
      <w:r>
        <w:t xml:space="preserve"> attached thereto. All capitalized terms used but not defined herein shall have the meanings as defined in the Agreement, unless otherwise provided. The section numbers below correspond to the section numbers of the representations and warranties in the Agreement; </w:t>
      </w:r>
      <w:r>
        <w:rPr>
          <w:u w:val="single"/>
        </w:rPr>
        <w:t>provided</w:t>
      </w:r>
      <w:r>
        <w:t xml:space="preserve">, </w:t>
      </w:r>
      <w:r>
        <w:rPr>
          <w:u w:val="single"/>
        </w:rPr>
        <w:t>however</w:t>
      </w:r>
      <w:r>
        <w:t>, that any information disclosed herein under any section number shall be deemed to be disclosed and incorporated into any other section number under the Agreement where such disclosure would be appropriate and such appropriateness is readily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made available to the Purchasers or their respective counsel.]</w:t>
      </w:r>
      <w:r>
        <w:rPr>
          <w:rStyle w:val="FootnoteReference"/>
          <w:szCs w:val="22"/>
        </w:rPr>
        <w:footnoteReference w:id="109"/>
      </w:r>
    </w:p>
    <w:p w14:paraId="22D98A14" w14:textId="716C5F96" w:rsidR="009D2311" w:rsidRPr="00623780" w:rsidRDefault="009D2311" w:rsidP="007A4F51">
      <w:pPr>
        <w:widowControl/>
        <w:shd w:val="clear" w:color="auto" w:fill="auto"/>
        <w:adjustRightInd/>
        <w:jc w:val="both"/>
      </w:pPr>
      <w:r>
        <w:br w:type="page"/>
      </w:r>
    </w:p>
    <w:p w14:paraId="0E92F1BE" w14:textId="239DD058" w:rsidR="009D2311" w:rsidRPr="00623780" w:rsidRDefault="009D2311" w:rsidP="00530B27">
      <w:pPr>
        <w:pStyle w:val="Exhibit"/>
        <w:numPr>
          <w:ilvl w:val="0"/>
          <w:numId w:val="4"/>
        </w:numPr>
      </w:pPr>
      <w:bookmarkStart w:id="185" w:name="_Ref137575757"/>
    </w:p>
    <w:p w14:paraId="4DF25316"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6" w:name="Indemn_Agmt_Exhibit_Title"/>
      <w:bookmarkEnd w:id="185"/>
      <w:r>
        <w:rPr>
          <w:b/>
        </w:rPr>
        <w:t>FORM OF INDEMNIFICATION AGREEMENT</w:t>
      </w:r>
      <w:bookmarkEnd w:id="186"/>
    </w:p>
    <w:p w14:paraId="5261EFBD" w14:textId="12FB4E2A"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123711C9" w14:textId="784E862C" w:rsidR="009D2311" w:rsidRPr="00623780" w:rsidRDefault="009D2311" w:rsidP="00530B27">
      <w:pPr>
        <w:pStyle w:val="Exhibit"/>
        <w:numPr>
          <w:ilvl w:val="0"/>
          <w:numId w:val="4"/>
        </w:numPr>
      </w:pPr>
      <w:bookmarkStart w:id="187" w:name="_Ref137575763"/>
    </w:p>
    <w:p w14:paraId="66F2FDB1"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8" w:name="Investors_Rights_Agmt_Exhibit_Title"/>
      <w:bookmarkEnd w:id="187"/>
      <w:r>
        <w:rPr>
          <w:b/>
        </w:rPr>
        <w:t>FORM OF INVESTORS’ RIGHTS AGREEMENT</w:t>
      </w:r>
      <w:bookmarkEnd w:id="188"/>
    </w:p>
    <w:p w14:paraId="794195B1" w14:textId="2DA325E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6418AA93" w14:textId="777E4DC0" w:rsidR="009D2311" w:rsidRPr="00623780" w:rsidRDefault="009D2311" w:rsidP="00530B27">
      <w:pPr>
        <w:pStyle w:val="Exhibit"/>
        <w:numPr>
          <w:ilvl w:val="0"/>
          <w:numId w:val="4"/>
        </w:numPr>
      </w:pPr>
      <w:bookmarkStart w:id="189" w:name="_Ref137575767"/>
    </w:p>
    <w:p w14:paraId="700D8DA4"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90" w:name="Mgt_Rights_Ltr_Exhibit_Title"/>
      <w:bookmarkEnd w:id="189"/>
      <w:r>
        <w:rPr>
          <w:b/>
        </w:rPr>
        <w:t>FORM OF MANAGEMENT RIGHTS LETTER</w:t>
      </w:r>
      <w:bookmarkEnd w:id="190"/>
    </w:p>
    <w:p w14:paraId="39F2AB51" w14:textId="77777777" w:rsidR="00530B27" w:rsidRPr="00623780" w:rsidRDefault="00530B27" w:rsidP="007A4F51">
      <w:pPr>
        <w:widowControl/>
        <w:shd w:val="clear" w:color="auto" w:fill="auto"/>
        <w:tabs>
          <w:tab w:val="left" w:pos="720"/>
          <w:tab w:val="left" w:pos="1440"/>
          <w:tab w:val="left" w:pos="2520"/>
          <w:tab w:val="right" w:leader="dot" w:pos="8640"/>
        </w:tabs>
        <w:autoSpaceDE/>
        <w:autoSpaceDN/>
        <w:adjustRightInd/>
        <w:jc w:val="center"/>
        <w:rPr>
          <w:b/>
        </w:rPr>
      </w:pPr>
    </w:p>
    <w:p w14:paraId="486043AD" w14:textId="52FFC9E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3011216F" w14:textId="4379C40C" w:rsidR="009D2311" w:rsidRPr="00623780" w:rsidRDefault="009D2311" w:rsidP="00530B27">
      <w:pPr>
        <w:pStyle w:val="Exhibit"/>
        <w:numPr>
          <w:ilvl w:val="0"/>
          <w:numId w:val="4"/>
        </w:numPr>
      </w:pPr>
      <w:bookmarkStart w:id="191" w:name="_Ref137575771"/>
    </w:p>
    <w:p w14:paraId="5C001221" w14:textId="77777777" w:rsidR="00530B27" w:rsidRPr="00623780" w:rsidRDefault="00BD1085" w:rsidP="007A4F51">
      <w:pPr>
        <w:widowControl/>
        <w:shd w:val="clear" w:color="auto" w:fill="auto"/>
        <w:tabs>
          <w:tab w:val="left" w:pos="720"/>
          <w:tab w:val="left" w:pos="1440"/>
          <w:tab w:val="left" w:pos="2520"/>
          <w:tab w:val="right" w:leader="dot" w:pos="8640"/>
        </w:tabs>
        <w:autoSpaceDE/>
        <w:autoSpaceDN/>
        <w:adjustRightInd/>
        <w:jc w:val="center"/>
        <w:rPr>
          <w:b/>
          <w:caps/>
        </w:rPr>
      </w:pPr>
      <w:bookmarkStart w:id="192" w:name="ROFR_Agmt_Exhibit_Title"/>
      <w:bookmarkEnd w:id="191"/>
      <w:r>
        <w:rPr>
          <w:b/>
          <w:caps/>
        </w:rPr>
        <w:t>Form of Right of First Refusal and Co-Sale Agreement</w:t>
      </w:r>
      <w:bookmarkEnd w:id="192"/>
    </w:p>
    <w:p w14:paraId="4E28A026" w14:textId="77777777" w:rsidR="00530B27" w:rsidRPr="00623780" w:rsidRDefault="00530B27" w:rsidP="007A4F51">
      <w:pPr>
        <w:widowControl/>
        <w:shd w:val="clear" w:color="auto" w:fill="auto"/>
        <w:tabs>
          <w:tab w:val="left" w:pos="720"/>
          <w:tab w:val="left" w:pos="1440"/>
          <w:tab w:val="left" w:pos="2520"/>
          <w:tab w:val="right" w:leader="dot" w:pos="8640"/>
        </w:tabs>
        <w:autoSpaceDE/>
        <w:autoSpaceDN/>
        <w:adjustRightInd/>
        <w:jc w:val="center"/>
        <w:rPr>
          <w:b/>
          <w:caps/>
        </w:rPr>
      </w:pPr>
    </w:p>
    <w:p w14:paraId="56407A98" w14:textId="09C46378"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02ABFA2E" w14:textId="3162DF98" w:rsidR="009D2311" w:rsidRPr="00623780" w:rsidRDefault="009D2311" w:rsidP="00530B27">
      <w:pPr>
        <w:pStyle w:val="Exhibit"/>
        <w:numPr>
          <w:ilvl w:val="0"/>
          <w:numId w:val="4"/>
        </w:numPr>
      </w:pPr>
      <w:bookmarkStart w:id="193" w:name="_Ref137575775"/>
    </w:p>
    <w:p w14:paraId="798FA428"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94" w:name="Voting_Agmt_Exhibit_Title"/>
      <w:bookmarkEnd w:id="193"/>
      <w:r>
        <w:rPr>
          <w:b/>
        </w:rPr>
        <w:t>FORM OF VOTING AGREEMENT</w:t>
      </w:r>
      <w:bookmarkEnd w:id="194"/>
    </w:p>
    <w:p w14:paraId="1BAD92E9" w14:textId="77777777" w:rsidR="00530B27" w:rsidRPr="00623780" w:rsidRDefault="00530B27" w:rsidP="00530B27">
      <w:pPr>
        <w:pStyle w:val="BodyText"/>
      </w:pPr>
    </w:p>
    <w:p w14:paraId="709AC244" w14:textId="16998C71"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7C1B8D28" w14:textId="39289EE3" w:rsidR="009D2311" w:rsidRPr="00623780" w:rsidRDefault="009D2311" w:rsidP="00530B27">
      <w:pPr>
        <w:pStyle w:val="Exhibit"/>
        <w:numPr>
          <w:ilvl w:val="0"/>
          <w:numId w:val="4"/>
        </w:numPr>
      </w:pPr>
      <w:bookmarkStart w:id="195" w:name="_Ref137575701"/>
    </w:p>
    <w:p w14:paraId="07F5CAF9" w14:textId="4DA12C67" w:rsidR="008861FA" w:rsidRPr="00623780"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96" w:name="Co_Counsel_Legal_Op_Exhibit_Title"/>
      <w:bookmarkEnd w:id="195"/>
      <w:r>
        <w:rPr>
          <w:b/>
        </w:rPr>
        <w:t>FORM OF LEGAL OPINION</w:t>
      </w:r>
      <w:bookmarkEnd w:id="1"/>
      <w:bookmarkEnd w:id="196"/>
    </w:p>
    <w:sectPr w:rsidR="008861FA" w:rsidRPr="00623780">
      <w:headerReference w:type="default" r:id="rId20"/>
      <w:footerReference w:type="default" r:id="rId21"/>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A435" w14:textId="77777777" w:rsidR="00B23FAC" w:rsidRDefault="00B23FAC" w:rsidP="009D2311">
      <w:pPr>
        <w:spacing w:after="0"/>
      </w:pPr>
      <w:r>
        <w:separator/>
      </w:r>
    </w:p>
    <w:p w14:paraId="5B547CFD" w14:textId="77777777" w:rsidR="00B23FAC" w:rsidRDefault="00B23FAC"/>
  </w:endnote>
  <w:endnote w:type="continuationSeparator" w:id="0">
    <w:p w14:paraId="21A9A52E" w14:textId="77777777" w:rsidR="00B23FAC" w:rsidRDefault="00B23FAC" w:rsidP="009D2311">
      <w:pPr>
        <w:spacing w:after="0"/>
      </w:pPr>
      <w:r>
        <w:continuationSeparator/>
      </w:r>
    </w:p>
    <w:p w14:paraId="04328B24" w14:textId="77777777" w:rsidR="00B23FAC" w:rsidRDefault="00B23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40E" w14:textId="235D4B44" w:rsidR="00634911" w:rsidRDefault="0099649C">
    <w:pPr>
      <w:pStyle w:val="Footer"/>
    </w:pPr>
    <w:r>
      <w:rPr>
        <w:rStyle w:val="DocID"/>
      </w:rPr>
      <w:t>ACTIVE/202432712.2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C26D" w14:textId="4A62ECCE" w:rsidR="00D67DCC" w:rsidRDefault="00A7614E" w:rsidP="009C4C40">
    <w:pPr>
      <w:pStyle w:val="Footer"/>
      <w:widowControl/>
      <w:shd w:val="clear" w:color="auto" w:fill="auto"/>
      <w:tabs>
        <w:tab w:val="clear" w:pos="4320"/>
        <w:tab w:val="center" w:pos="4680"/>
      </w:tabs>
      <w:autoSpaceDE/>
      <w:autoSpaceDN/>
      <w:adjustRightInd/>
      <w:spacing w:after="0"/>
      <w:rPr>
        <w:rStyle w:val="PageNumber"/>
      </w:rPr>
    </w:pPr>
    <w:r>
      <w:rPr>
        <w:sz w:val="20"/>
        <w:szCs w:val="20"/>
      </w:rPr>
      <w:t xml:space="preserve">Last Updated </w:t>
    </w:r>
    <w:r w:rsidR="00F06A8A">
      <w:rPr>
        <w:sz w:val="20"/>
        <w:szCs w:val="20"/>
      </w:rPr>
      <w:t>October</w:t>
    </w:r>
    <w:r>
      <w:rPr>
        <w:sz w:val="20"/>
        <w:szCs w:val="20"/>
      </w:rPr>
      <w:t xml:space="preserve"> 2025</w:t>
    </w:r>
    <w:r>
      <w:rPr>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EAB" w14:textId="7DDAC483" w:rsidR="00D67DCC" w:rsidRDefault="009E4847" w:rsidP="009C4C40">
    <w:pPr>
      <w:pStyle w:val="Footer"/>
      <w:tabs>
        <w:tab w:val="clear" w:pos="4320"/>
        <w:tab w:val="clear" w:pos="8640"/>
        <w:tab w:val="center" w:pos="4770"/>
      </w:tabs>
      <w:spacing w:after="0"/>
      <w:rPr>
        <w:noProof/>
      </w:rPr>
    </w:pPr>
    <w:r>
      <w:rPr>
        <w:sz w:val="20"/>
        <w:szCs w:val="20"/>
      </w:rPr>
      <w:t xml:space="preserve">Last Updated </w:t>
    </w:r>
    <w:r w:rsidR="00F06A8A">
      <w:rPr>
        <w:sz w:val="20"/>
        <w:szCs w:val="20"/>
      </w:rPr>
      <w:t>October</w:t>
    </w:r>
    <w:r>
      <w:rPr>
        <w:sz w:val="20"/>
        <w:szCs w:val="20"/>
      </w:rPr>
      <w:t xml:space="preserve"> 2025</w:t>
    </w:r>
    <w:r>
      <w:rPr>
        <w:sz w:val="20"/>
        <w:szCs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F9F" w14:textId="21F3D9EA" w:rsidR="00666D11" w:rsidRDefault="00634911">
    <w:pPr>
      <w:rPr>
        <w:sz w:val="24"/>
      </w:rPr>
    </w:pPr>
    <w:r>
      <w:rPr>
        <w:rStyle w:val="DocID"/>
      </w:rPr>
      <w:t>ACTIVE/202432712.2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04F" w14:textId="27A33437" w:rsidR="0007008A" w:rsidRPr="009C4C40" w:rsidRDefault="0007008A" w:rsidP="00A7614E">
    <w:pPr>
      <w:pStyle w:val="Footer"/>
      <w:widowControl/>
      <w:shd w:val="clear" w:color="auto" w:fill="auto"/>
      <w:tabs>
        <w:tab w:val="clear" w:pos="4320"/>
        <w:tab w:val="center" w:pos="4680"/>
      </w:tabs>
      <w:autoSpaceDE/>
      <w:autoSpaceDN/>
      <w:adjustRightInd/>
      <w:spacing w:after="0"/>
      <w:jc w:val="center"/>
      <w:rPr>
        <w:rStyle w:val="PageNumber"/>
      </w:rPr>
    </w:pPr>
    <w:r>
      <w:rPr>
        <w:rStyle w:val="PageNumber"/>
        <w:smallCaps/>
      </w:rPr>
      <w:t>[Signature Page to Series [___] Preferred Stock Purchase Agreement]</w:t>
    </w:r>
  </w:p>
  <w:p w14:paraId="73A28452" w14:textId="5DC55A18" w:rsidR="0007008A" w:rsidRDefault="0007008A" w:rsidP="009C4C40">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22FBA95F" w:rsidR="00F1487E" w:rsidRDefault="00634911">
    <w:pPr>
      <w:pStyle w:val="Footer"/>
      <w:widowControl/>
      <w:shd w:val="clear" w:color="auto" w:fill="auto"/>
      <w:autoSpaceDE/>
      <w:autoSpaceDN/>
      <w:adjustRightInd/>
      <w:rPr>
        <w:b/>
      </w:rPr>
    </w:pPr>
    <w:r>
      <w:rPr>
        <w:rStyle w:val="DocID"/>
      </w:rPr>
      <w:t>ACTIVE/202432712.2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C262" w14:textId="5D671159" w:rsidR="00530B27" w:rsidRDefault="00530B27" w:rsidP="009C4C40">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DD0C" w14:textId="76328FFE" w:rsidR="00731FFA" w:rsidRPr="00510E9D" w:rsidRDefault="00510E9D" w:rsidP="00510E9D">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CF0F" w14:textId="77777777" w:rsidR="00B23FAC" w:rsidRDefault="00B23FAC" w:rsidP="00940EDB">
      <w:pPr>
        <w:spacing w:after="0"/>
      </w:pPr>
      <w:r>
        <w:separator/>
      </w:r>
    </w:p>
  </w:footnote>
  <w:footnote w:type="continuationSeparator" w:id="0">
    <w:p w14:paraId="5B94487D" w14:textId="77777777" w:rsidR="00B23FAC" w:rsidRDefault="00B23FAC" w:rsidP="00940EDB">
      <w:pPr>
        <w:spacing w:after="0"/>
      </w:pPr>
      <w:r>
        <w:continuationSeparator/>
      </w:r>
    </w:p>
  </w:footnote>
  <w:footnote w:type="continuationNotice" w:id="1">
    <w:p w14:paraId="4227850C" w14:textId="77777777" w:rsidR="00B23FAC" w:rsidRPr="00940EDB" w:rsidRDefault="00B23FAC" w:rsidP="00940EDB">
      <w:pPr>
        <w:pStyle w:val="Footer"/>
        <w:spacing w:after="0"/>
      </w:pPr>
    </w:p>
  </w:footnote>
  <w:footnote w:id="2">
    <w:p w14:paraId="60CBA85B" w14:textId="2836EB8C" w:rsidR="00F1487E" w:rsidRPr="00940EDB" w:rsidRDefault="00F1487E" w:rsidP="00862AD3">
      <w:pPr>
        <w:pStyle w:val="FootnoteText"/>
        <w:rPr>
          <w:szCs w:val="20"/>
        </w:rPr>
      </w:pPr>
      <w:r>
        <w:rPr>
          <w:rStyle w:val="FootnoteReference"/>
          <w:sz w:val="20"/>
          <w:szCs w:val="20"/>
        </w:rPr>
        <w:footnoteRef/>
      </w:r>
      <w:r>
        <w:rPr>
          <w:szCs w:val="20"/>
        </w:rPr>
        <w:tab/>
        <w:t>If only one closing is contemplated, references to “Initial Closing,” “each Closing,” “such Closing,” etc. should be modified. If the transaction has a so-called “simultaneous sign and close” you can update the tense accordingly (“has adopted and filed”).</w:t>
      </w:r>
    </w:p>
  </w:footnote>
  <w:footnote w:id="3">
    <w:p w14:paraId="74A5F627" w14:textId="11797487" w:rsidR="00E243DD" w:rsidRDefault="00E243DD" w:rsidP="00E243DD">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Occasionally, a Purchaser that is wiring from outside the U.S. will need additional time for the wire to arrive.  To address this, consider language along the following lines: “Each Purchaser and the Company agree that, subject to the terms and conditions of this Agreement, the delivery of the purchase price by [Specified Investor] to the Company for the purchase and sale of the Shares at the [Initial] Closing will take place as soon as practicable following the date hereof and, in any event, not more than five (5) business days after the date of this Agreement.”</w:t>
      </w:r>
    </w:p>
  </w:footnote>
  <w:footnote w:id="4">
    <w:p w14:paraId="18753714" w14:textId="77777777" w:rsidR="00F1487E" w:rsidRPr="00940EDB" w:rsidRDefault="00F1487E" w:rsidP="00A35ECF">
      <w:pPr>
        <w:pStyle w:val="FootnoteText"/>
        <w:rPr>
          <w:szCs w:val="20"/>
        </w:rPr>
      </w:pPr>
      <w:r>
        <w:rPr>
          <w:rStyle w:val="FootnoteReference"/>
          <w:sz w:val="20"/>
          <w:szCs w:val="20"/>
        </w:rPr>
        <w:footnoteRef/>
      </w:r>
      <w:r>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5">
    <w:p w14:paraId="76D5AD5C" w14:textId="46F87AAC" w:rsidR="006760F6" w:rsidRDefault="006760F6" w:rsidP="00A35ECF">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00496090">
        <w:rPr>
          <w:u w:val="single"/>
        </w:rPr>
        <w:t>footnote 7</w:t>
      </w:r>
      <w:r>
        <w:t>.</w:t>
      </w:r>
    </w:p>
  </w:footnote>
  <w:footnote w:id="6">
    <w:p w14:paraId="42A9847B" w14:textId="642AF5E9" w:rsidR="00C91885" w:rsidRPr="00940EDB" w:rsidRDefault="00C91885" w:rsidP="00A35ECF">
      <w:pPr>
        <w:pStyle w:val="FootnoteText"/>
        <w:rPr>
          <w:szCs w:val="20"/>
        </w:rPr>
      </w:pPr>
      <w:r>
        <w:rPr>
          <w:rStyle w:val="FootnoteReference"/>
          <w:sz w:val="20"/>
          <w:szCs w:val="20"/>
        </w:rPr>
        <w:footnoteRef/>
      </w:r>
      <w:r>
        <w:rPr>
          <w:szCs w:val="20"/>
        </w:rPr>
        <w:tab/>
      </w:r>
      <w:r>
        <w:rPr>
          <w:b/>
          <w:bCs/>
          <w:i/>
          <w:iCs/>
        </w:rPr>
        <w:t xml:space="preserve">*Revised </w:t>
      </w:r>
      <w:r w:rsidR="00F06A8A">
        <w:rPr>
          <w:b/>
          <w:bCs/>
          <w:i/>
          <w:iCs/>
        </w:rPr>
        <w:t>October</w:t>
      </w:r>
      <w:r>
        <w:rPr>
          <w:b/>
          <w:bCs/>
          <w:i/>
          <w:iCs/>
        </w:rPr>
        <w:t xml:space="preserve"> 2025* </w:t>
      </w:r>
      <w:r>
        <w:rPr>
          <w:szCs w:val="20"/>
        </w:rPr>
        <w:t xml:space="preserve">This </w:t>
      </w:r>
      <w:r>
        <w:rPr>
          <w:szCs w:val="20"/>
          <w:u w:val="single"/>
        </w:rPr>
        <w:t>Section 1.2(b)</w:t>
      </w:r>
      <w:r>
        <w:rPr>
          <w:szCs w:val="20"/>
        </w:rPr>
        <w:t xml:space="preserve"> is intended to allow the Company to hold an Initial Closing once it has reached the minimum required to close (if any) and then continue to raise capital over some agreed upon period on the same terms. This should not be confused with a “tranched” financing, where the amount committed to the financing round is not invested all at once up front but rather is invested in pre-specified “tranches,” usually dependent on the achievement of agreed upon milestone(s), as provided in </w:t>
      </w:r>
      <w:r>
        <w:rPr>
          <w:szCs w:val="20"/>
          <w:u w:val="single"/>
        </w:rPr>
        <w:t>Section 1.2(c)</w:t>
      </w:r>
      <w:r>
        <w:rPr>
          <w:szCs w:val="20"/>
        </w:rPr>
        <w:t xml:space="preserve">. </w:t>
      </w:r>
    </w:p>
  </w:footnote>
  <w:footnote w:id="7">
    <w:p w14:paraId="46D14D55" w14:textId="32AF10EA" w:rsidR="0090274F" w:rsidRPr="00940EDB" w:rsidRDefault="0090274F" w:rsidP="0090274F">
      <w:pPr>
        <w:pStyle w:val="FootnoteText"/>
        <w:rPr>
          <w:szCs w:val="20"/>
        </w:rPr>
      </w:pPr>
      <w:r>
        <w:rPr>
          <w:rStyle w:val="FootnoteReference"/>
          <w:sz w:val="20"/>
          <w:szCs w:val="20"/>
        </w:rPr>
        <w:footnoteRef/>
      </w:r>
      <w:r>
        <w:rPr>
          <w:szCs w:val="20"/>
        </w:rPr>
        <w:tab/>
        <w:t>The Company may want to limit this approval right to the lead Purchaser. As an alternative, the Agreement may specify that Additional Purchasers must be approved by the Board of Directors, including the directors elected by the Preferred Directors.</w:t>
      </w:r>
    </w:p>
  </w:footnote>
  <w:footnote w:id="8">
    <w:p w14:paraId="152E9C9B" w14:textId="3C495F68" w:rsidR="007B6BD0" w:rsidRPr="00C352A0" w:rsidRDefault="007B6BD0" w:rsidP="007B6BD0">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00F5268A" w:rsidRPr="00F5268A">
        <w:rPr>
          <w:u w:val="single"/>
        </w:rPr>
        <w:t>f</w:t>
      </w:r>
      <w:r w:rsidRPr="00F5268A">
        <w:rPr>
          <w:u w:val="single"/>
        </w:rPr>
        <w:t>ootnote 4</w:t>
      </w:r>
      <w:r>
        <w:t>.</w:t>
      </w:r>
    </w:p>
  </w:footnote>
  <w:footnote w:id="9">
    <w:p w14:paraId="3D984075" w14:textId="0D80DD25" w:rsidR="00851F67" w:rsidRDefault="00851F67">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This provision assumes there is just one mandatory tranche.  There can be more than one mandator</w:t>
      </w:r>
      <w:r w:rsidR="00F5268A">
        <w:t>y</w:t>
      </w:r>
      <w:r>
        <w:t xml:space="preserve"> tranche – update accordingly.</w:t>
      </w:r>
    </w:p>
  </w:footnote>
  <w:footnote w:id="10">
    <w:p w14:paraId="29A66383" w14:textId="4882FB36" w:rsidR="00C91885" w:rsidRDefault="00C91885">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Not all tranched transactions allow optional pre-funding of tranches, as permitted by this section.  </w:t>
      </w:r>
    </w:p>
  </w:footnote>
  <w:footnote w:id="11">
    <w:p w14:paraId="14D5E6C6" w14:textId="76BCA21E" w:rsidR="00FB4DE3" w:rsidRPr="00E97F0C" w:rsidRDefault="00FB4DE3">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While not required, many transactions containing mandatory tranche closings include a forced conversion to Common Stock as the remedy for failure to fund.  This </w:t>
      </w:r>
      <w:r w:rsidRPr="00F5268A">
        <w:rPr>
          <w:u w:val="single"/>
        </w:rPr>
        <w:t>Section 1.2(b)(iv)</w:t>
      </w:r>
      <w:r>
        <w:t xml:space="preserve"> works in conjunction with the Special Mandatory Conversion provisions of the Restated Certificate to give effect to that penalty.  When a pay-to-play is included with respect to tranched closings, it is generally “sole and exclusive remedy” (see </w:t>
      </w:r>
      <w:r w:rsidRPr="00F5268A">
        <w:rPr>
          <w:u w:val="single"/>
        </w:rPr>
        <w:t>Section 1.2(b)(iv)(c)</w:t>
      </w:r>
      <w:r>
        <w:t>).</w:t>
      </w:r>
      <w:r w:rsidR="00E97F0C">
        <w:t xml:space="preserve">  Note, the Special Mandatory Conversion provisions of the Restated Certificate have </w:t>
      </w:r>
      <w:r w:rsidR="00E97F0C">
        <w:rPr>
          <w:b/>
          <w:bCs/>
          <w:i/>
          <w:iCs/>
        </w:rPr>
        <w:t>not</w:t>
      </w:r>
      <w:r w:rsidR="00E97F0C">
        <w:t xml:space="preserve"> been updated to dovetail with </w:t>
      </w:r>
      <w:r w:rsidR="00F422AD">
        <w:t>this provision; rather, the drafter will need to tailor that provision to the agreed terms here, as noted therein.</w:t>
      </w:r>
    </w:p>
  </w:footnote>
  <w:footnote w:id="12">
    <w:p w14:paraId="357A5EC8" w14:textId="65068BAC" w:rsidR="00CE738D" w:rsidRDefault="00CE738D">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is drafted </w:t>
      </w:r>
      <w:r w:rsidR="00F5268A">
        <w:t xml:space="preserve">to </w:t>
      </w:r>
      <w:r>
        <w:t>apply the penalty only to shares purchased pursuant to this Agreement.</w:t>
      </w:r>
    </w:p>
  </w:footnote>
  <w:footnote w:id="13">
    <w:p w14:paraId="40DE8DBF" w14:textId="13E4F3D0" w:rsidR="000C2538" w:rsidRDefault="000C2538">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Confirm and conform to</w:t>
      </w:r>
      <w:r w:rsidR="00F5268A">
        <w:t xml:space="preserve"> the</w:t>
      </w:r>
      <w:r>
        <w:t xml:space="preserve"> Restated Certificate.</w:t>
      </w:r>
    </w:p>
  </w:footnote>
  <w:footnote w:id="14">
    <w:p w14:paraId="11A1213C" w14:textId="71D76D11" w:rsidR="00690D6E" w:rsidRDefault="00690D6E" w:rsidP="00690D6E">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See also the provisions in the Restated Certificate a prohibiting optional conversion of Preferred Stock, subject to certain exceptions, until completion of the Tranche Closing, which prevents circumvention of the conversion penalty for failure to fund the Tranche Closing.</w:t>
      </w:r>
    </w:p>
  </w:footnote>
  <w:footnote w:id="15">
    <w:p w14:paraId="13D79185" w14:textId="7E3DF688" w:rsidR="006775F8" w:rsidRPr="006775F8" w:rsidRDefault="006775F8">
      <w:pPr>
        <w:pStyle w:val="FootnoteText"/>
        <w:rPr>
          <w:b/>
          <w:bCs/>
        </w:rPr>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The other model documents contain sample language that addresses these losses of rights.  This provision is merely an acknowledgment of the </w:t>
      </w:r>
      <w:r w:rsidR="005D6952">
        <w:t>consequences, not the operative mechanic to effectuate those consequences.</w:t>
      </w:r>
    </w:p>
  </w:footnote>
  <w:footnote w:id="16">
    <w:p w14:paraId="0B137821" w14:textId="48243A40" w:rsidR="00463738" w:rsidRPr="00940EDB" w:rsidRDefault="00463738" w:rsidP="00463738">
      <w:pPr>
        <w:pStyle w:val="FootnoteText"/>
        <w:rPr>
          <w:szCs w:val="20"/>
        </w:rPr>
      </w:pPr>
      <w:r>
        <w:rPr>
          <w:rStyle w:val="FootnoteReference"/>
          <w:sz w:val="20"/>
          <w:szCs w:val="20"/>
        </w:rPr>
        <w:footnoteRef/>
      </w:r>
      <w:r>
        <w:rPr>
          <w:szCs w:val="20"/>
        </w:rPr>
        <w:tab/>
        <w:t xml:space="preserve">If the Company has uncertificated shares, consider revising “a certificate representing” to “a notice of issuance of uncertificated shares (and may, upon written request by such Purchaser, issue and deliver a certificate )”. </w:t>
      </w:r>
    </w:p>
  </w:footnote>
  <w:footnote w:id="17">
    <w:p w14:paraId="0CA3FD91" w14:textId="066C673C" w:rsidR="00F1487E" w:rsidRPr="00940EDB" w:rsidRDefault="00F1487E" w:rsidP="00862AD3">
      <w:pPr>
        <w:pStyle w:val="FootnoteText"/>
        <w:rPr>
          <w:b/>
          <w:bCs/>
          <w:i/>
          <w:iCs/>
          <w:szCs w:val="20"/>
        </w:rPr>
      </w:pPr>
      <w:r>
        <w:rPr>
          <w:rStyle w:val="FootnoteReference"/>
          <w:sz w:val="20"/>
          <w:szCs w:val="20"/>
        </w:rPr>
        <w:footnoteRef/>
      </w:r>
      <w:r>
        <w:rPr>
          <w:szCs w:val="20"/>
        </w:rPr>
        <w:tab/>
        <w:t>If some or all Purchasers will be converting previously issued notes to Shares, consider paying a portion of the interest in cash, if the terms of the notes permit this, to avoid last-minute re-computations if the closing is delayed. Note that cancellation of interest in return for stock may be a taxable event in the amount of the interest cancelled. Accordingly, some Purchasers may require payment of interest in cash to avoid imputation of income without the corresponding payment of cash to pay the tax.</w:t>
      </w:r>
    </w:p>
  </w:footnote>
  <w:footnote w:id="18">
    <w:p w14:paraId="7CF8C855" w14:textId="64B0C495" w:rsidR="00E95E70" w:rsidRPr="00940EDB" w:rsidRDefault="00E95E70" w:rsidP="00E95E70">
      <w:pPr>
        <w:pStyle w:val="FootnoteText"/>
        <w:rPr>
          <w:szCs w:val="20"/>
        </w:rPr>
      </w:pPr>
      <w:r>
        <w:rPr>
          <w:rStyle w:val="FootnoteReference"/>
          <w:sz w:val="20"/>
          <w:szCs w:val="20"/>
        </w:rPr>
        <w:footnoteRef/>
      </w:r>
      <w:r>
        <w:rPr>
          <w:szCs w:val="20"/>
        </w:rPr>
        <w:tab/>
        <w:t xml:space="preserve">The Company may have tax reporting and/or withholding obligations in connection with the conversion of Convertible Securities into Company stock. Bracketed language provides a generic mechanism for Company to obtain relevant tax documentation to facilitate the tax analysis and comply with its withholding obligations. </w:t>
      </w:r>
      <w:r>
        <w:rPr>
          <w:szCs w:val="20"/>
          <w:u w:val="single"/>
        </w:rPr>
        <w:t xml:space="preserve">Section </w:t>
      </w:r>
      <w:r>
        <w:rPr>
          <w:szCs w:val="20"/>
          <w:u w:val="single"/>
        </w:rPr>
        <w:fldChar w:fldCharType="begin"/>
      </w:r>
      <w:r>
        <w:rPr>
          <w:szCs w:val="20"/>
          <w:u w:val="single"/>
        </w:rPr>
        <w:instrText xml:space="preserve"> REF _Ref170227063 \w \h  \* MERGEFORMAT </w:instrText>
      </w:r>
      <w:r>
        <w:rPr>
          <w:szCs w:val="20"/>
          <w:u w:val="single"/>
        </w:rPr>
      </w:r>
      <w:r>
        <w:rPr>
          <w:szCs w:val="20"/>
          <w:u w:val="single"/>
        </w:rPr>
        <w:fldChar w:fldCharType="separate"/>
      </w:r>
      <w:r>
        <w:rPr>
          <w:szCs w:val="20"/>
          <w:u w:val="single"/>
        </w:rPr>
        <w:t>1.2(b)</w:t>
      </w:r>
      <w:r>
        <w:rPr>
          <w:szCs w:val="20"/>
          <w:u w:val="single"/>
        </w:rPr>
        <w:fldChar w:fldCharType="end"/>
      </w:r>
      <w:r>
        <w:rPr>
          <w:szCs w:val="20"/>
        </w:rPr>
        <w:t xml:space="preserve"> and this </w:t>
      </w:r>
      <w:r>
        <w:rPr>
          <w:szCs w:val="20"/>
          <w:u w:val="single"/>
        </w:rPr>
        <w:t>Section 1.3(b)</w:t>
      </w:r>
      <w:r>
        <w:rPr>
          <w:szCs w:val="20"/>
        </w:rPr>
        <w:t xml:space="preserve"> to be tailored to particular specifics of the Convertible Securities being converted, after input from parties’ tax advisors.</w:t>
      </w:r>
    </w:p>
  </w:footnote>
  <w:footnote w:id="19">
    <w:p w14:paraId="2FC258B1" w14:textId="77777777" w:rsidR="00F84569" w:rsidRPr="00940EDB" w:rsidRDefault="00F84569" w:rsidP="00F84569">
      <w:pPr>
        <w:pStyle w:val="FootnoteText"/>
        <w:tabs>
          <w:tab w:val="left" w:pos="6750"/>
        </w:tabs>
        <w:rPr>
          <w:szCs w:val="20"/>
        </w:rPr>
      </w:pPr>
      <w:r>
        <w:rPr>
          <w:rStyle w:val="FootnoteReference"/>
          <w:sz w:val="20"/>
          <w:szCs w:val="20"/>
        </w:rPr>
        <w:footnoteRef/>
      </w:r>
      <w:r>
        <w:rPr>
          <w:szCs w:val="20"/>
        </w:rPr>
        <w:tab/>
        <w:t>Including this provision where there are Safes/notes or similar instruments converting helps ensure that any minor deviations from the formulas (based on rounding, applications of assumptions, etc.) cannot later become an issue. 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 If the instruments require individual consent, it is still beneficial to include this provision, but any safe/note holder that does not sign would not be bound hereby.</w:t>
      </w:r>
    </w:p>
  </w:footnote>
  <w:footnote w:id="20">
    <w:p w14:paraId="422A97DD" w14:textId="04EA138F" w:rsidR="00976D7B" w:rsidRPr="00940EDB" w:rsidRDefault="00976D7B">
      <w:pPr>
        <w:pStyle w:val="FootnoteText"/>
        <w:rPr>
          <w:szCs w:val="20"/>
        </w:rPr>
      </w:pPr>
      <w:r>
        <w:rPr>
          <w:rStyle w:val="FootnoteReference"/>
          <w:sz w:val="20"/>
          <w:szCs w:val="20"/>
        </w:rPr>
        <w:footnoteRef/>
      </w:r>
      <w:bookmarkStart w:id="11" w:name="_Hlk140270873"/>
      <w:r>
        <w:rPr>
          <w:szCs w:val="20"/>
        </w:rPr>
        <w:tab/>
      </w:r>
      <w:bookmarkEnd w:id="11"/>
      <w:r>
        <w:rPr>
          <w:szCs w:val="20"/>
        </w:rPr>
        <w:t>Conform to the convertible securities outstanding.</w:t>
      </w:r>
    </w:p>
  </w:footnote>
  <w:footnote w:id="21">
    <w:p w14:paraId="3FA29FE2" w14:textId="523F11CC" w:rsidR="008E4FBB" w:rsidRPr="008E4FBB" w:rsidRDefault="008E4FBB">
      <w:pPr>
        <w:pStyle w:val="FootnoteText"/>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w:t>
      </w:r>
      <w:r w:rsidR="00F500A0">
        <w:t>Exhibit</w:t>
      </w:r>
      <w:r w:rsidR="004D78C3">
        <w:t xml:space="preserve"> A-</w:t>
      </w:r>
      <w:r w:rsidR="00F500A0">
        <w:t>1 is included for mechanical purposes</w:t>
      </w:r>
      <w:r w:rsidR="0051051C">
        <w:t xml:space="preserve"> but as noted in the prior footnote it is important to obtain signatures from each </w:t>
      </w:r>
      <w:r w:rsidR="004D78C3">
        <w:t>Convertible Security</w:t>
      </w:r>
      <w:r w:rsidR="0051051C">
        <w:t xml:space="preserve"> holder</w:t>
      </w:r>
      <w:r w:rsidR="004D78C3">
        <w:t xml:space="preserve">.  </w:t>
      </w:r>
      <w:r>
        <w:t>See</w:t>
      </w:r>
      <w:r w:rsidR="004D78C3">
        <w:t xml:space="preserve"> also</w:t>
      </w:r>
      <w:r>
        <w:t xml:space="preserve"> </w:t>
      </w:r>
      <w:r w:rsidR="00001C64" w:rsidRPr="00001C64">
        <w:rPr>
          <w:u w:val="single"/>
        </w:rPr>
        <w:t>footnote 108</w:t>
      </w:r>
      <w:r>
        <w:t>.</w:t>
      </w:r>
    </w:p>
  </w:footnote>
  <w:footnote w:id="22">
    <w:p w14:paraId="01CBD58C" w14:textId="60CAFAD0" w:rsidR="002E2E2B" w:rsidRPr="00940EDB" w:rsidRDefault="002E2E2B" w:rsidP="002E2E2B">
      <w:pPr>
        <w:pStyle w:val="FootnoteText"/>
        <w:spacing w:after="120"/>
        <w:rPr>
          <w:szCs w:val="20"/>
        </w:rPr>
      </w:pPr>
      <w:r>
        <w:rPr>
          <w:rStyle w:val="FootnoteReference"/>
          <w:sz w:val="20"/>
          <w:szCs w:val="20"/>
        </w:rPr>
        <w:footnoteRef/>
      </w:r>
      <w:r>
        <w:rPr>
          <w:szCs w:val="20"/>
        </w:rPr>
        <w:tab/>
        <w:t xml:space="preserve">See model 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23">
    <w:p w14:paraId="524B7DCE" w14:textId="4B444FA3" w:rsidR="002E2E2B" w:rsidRPr="00940EDB" w:rsidRDefault="002E2E2B" w:rsidP="002E2E2B">
      <w:pPr>
        <w:pStyle w:val="FootnoteText"/>
        <w:spacing w:after="120"/>
        <w:rPr>
          <w:szCs w:val="20"/>
        </w:rPr>
      </w:pPr>
      <w:r>
        <w:rPr>
          <w:rStyle w:val="FootnoteReference"/>
          <w:sz w:val="20"/>
          <w:szCs w:val="20"/>
        </w:rPr>
        <w:footnoteRef/>
      </w:r>
      <w:r>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p>
  </w:footnote>
  <w:footnote w:id="24">
    <w:p w14:paraId="11DF688E" w14:textId="204B616D" w:rsidR="00E66404" w:rsidRPr="00940EDB" w:rsidRDefault="00E66404">
      <w:pPr>
        <w:pStyle w:val="FootnoteText"/>
        <w:rPr>
          <w:szCs w:val="20"/>
        </w:rPr>
      </w:pPr>
      <w:r>
        <w:rPr>
          <w:rStyle w:val="FootnoteReference"/>
          <w:sz w:val="20"/>
          <w:szCs w:val="20"/>
        </w:rPr>
        <w:footnoteRef/>
      </w:r>
      <w:r>
        <w:rPr>
          <w:szCs w:val="20"/>
        </w:rPr>
        <w:t xml:space="preserve"> </w:t>
      </w:r>
      <w:r>
        <w:rPr>
          <w:szCs w:val="20"/>
        </w:rPr>
        <w:tab/>
        <w:t>Typically, this would list additional employees, if any, with a reasonably likelihood of having relevant information that don’t otherwise meet the definition of Officer, such as an internal lawyer.</w:t>
      </w:r>
    </w:p>
  </w:footnote>
  <w:footnote w:id="25">
    <w:p w14:paraId="2DDA04CC" w14:textId="7638B25A" w:rsidR="008303C2" w:rsidRPr="00940EDB" w:rsidRDefault="008303C2">
      <w:pPr>
        <w:pStyle w:val="FootnoteText"/>
        <w:rPr>
          <w:szCs w:val="20"/>
        </w:rPr>
      </w:pPr>
      <w:r>
        <w:rPr>
          <w:rStyle w:val="FootnoteReference"/>
          <w:sz w:val="20"/>
          <w:szCs w:val="20"/>
        </w:rPr>
        <w:footnoteRef/>
      </w:r>
      <w:r>
        <w:rPr>
          <w:szCs w:val="20"/>
        </w:rPr>
        <w:t xml:space="preserve"> </w:t>
      </w:r>
      <w:r>
        <w:rPr>
          <w:szCs w:val="20"/>
        </w:rPr>
        <w:tab/>
        <w:t>While this list likely encompasses relevant individuals, consider any unique titles or circumstances for the particular company.</w:t>
      </w:r>
    </w:p>
  </w:footnote>
  <w:footnote w:id="26">
    <w:p w14:paraId="54608AE6" w14:textId="3ED90937" w:rsidR="00E65BAC" w:rsidRDefault="00E65B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Note that this definition allows the Requisite Purchasers to “force” all the funds in, on behalf of all Purchasers, without Board approval, which may not be appropriate or expected in all transactions.</w:t>
      </w:r>
    </w:p>
  </w:footnote>
  <w:footnote w:id="27">
    <w:p w14:paraId="51372CE5" w14:textId="5EB7112D" w:rsidR="00E65BAC" w:rsidRDefault="00E65BAC" w:rsidP="00E65B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The date of the Tranche Closing should allow sufficient time for the investors to complete capital calls as needed as well as for the Company to deliver the Disclosure Schedule for the Tranche Closing.</w:t>
      </w:r>
    </w:p>
  </w:footnote>
  <w:footnote w:id="28">
    <w:p w14:paraId="42393322" w14:textId="0E1FB335" w:rsidR="008E0054" w:rsidRDefault="008E0054">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Where there are mandatory tranches, consider whether there is utility in an updated Disclosure Schedule as compared to the time/expense of completing.</w:t>
      </w:r>
    </w:p>
  </w:footnote>
  <w:footnote w:id="29">
    <w:p w14:paraId="36DE4681" w14:textId="7C6FC9E4" w:rsidR="00F1487E" w:rsidRPr="00940EDB" w:rsidRDefault="00F1487E" w:rsidP="00C835C3">
      <w:pPr>
        <w:pStyle w:val="FootnoteText"/>
        <w:rPr>
          <w:szCs w:val="20"/>
        </w:rPr>
      </w:pPr>
      <w:r>
        <w:rPr>
          <w:rStyle w:val="FootnoteReference"/>
          <w:sz w:val="20"/>
          <w:szCs w:val="20"/>
        </w:rPr>
        <w:footnoteRef/>
      </w:r>
      <w:r>
        <w:rPr>
          <w:szCs w:val="20"/>
        </w:rPr>
        <w:tab/>
        <w:t xml:space="preserve">The purpose of the Company’s representations is primarily to create a mechanism to ensure full disclosure about the Company’s organization, financial condition and business to the investors. The Company is required to list any deviations from, or matters expressly called for by,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Pr>
          <w:szCs w:val="20"/>
          <w:u w:val="single"/>
        </w:rPr>
        <w:t xml:space="preserve">Section </w:t>
      </w:r>
      <w:r>
        <w:rPr>
          <w:szCs w:val="20"/>
          <w:u w:val="single"/>
        </w:rPr>
        <w:fldChar w:fldCharType="begin"/>
      </w:r>
      <w:r>
        <w:rPr>
          <w:szCs w:val="20"/>
          <w:u w:val="single"/>
        </w:rPr>
        <w:instrText xml:space="preserve"> REF _Ref146362263 \w \h  \* MERGEFORMAT </w:instrText>
      </w:r>
      <w:r>
        <w:rPr>
          <w:szCs w:val="20"/>
          <w:u w:val="single"/>
        </w:rPr>
      </w:r>
      <w:r>
        <w:rPr>
          <w:szCs w:val="20"/>
          <w:u w:val="single"/>
        </w:rPr>
        <w:fldChar w:fldCharType="separate"/>
      </w:r>
      <w:r>
        <w:rPr>
          <w:szCs w:val="20"/>
          <w:u w:val="single"/>
        </w:rPr>
        <w:t>2</w:t>
      </w:r>
      <w:r>
        <w:rPr>
          <w:szCs w:val="20"/>
          <w:u w:val="single"/>
        </w:rPr>
        <w:fldChar w:fldCharType="end"/>
      </w:r>
      <w:r>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reveals anything that has had or would reasonably be expected to have a Material Adverse Effect. </w:t>
      </w:r>
    </w:p>
  </w:footnote>
  <w:footnote w:id="30">
    <w:p w14:paraId="0843821B" w14:textId="77777777" w:rsidR="00F1487E" w:rsidRPr="00940EDB" w:rsidRDefault="00F1487E">
      <w:pPr>
        <w:pStyle w:val="FootnoteText"/>
        <w:rPr>
          <w:szCs w:val="20"/>
        </w:rPr>
      </w:pPr>
      <w:r>
        <w:rPr>
          <w:rStyle w:val="FootnoteReference"/>
          <w:sz w:val="20"/>
          <w:szCs w:val="20"/>
        </w:rPr>
        <w:footnoteRef/>
      </w:r>
      <w:r>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31">
    <w:p w14:paraId="20E304FA" w14:textId="6E566FC4" w:rsidR="00F1487E" w:rsidRPr="00940EDB" w:rsidRDefault="00F1487E" w:rsidP="00862AD3">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_Ref_ContractCompanion_9kb9Ur02A \n \h \t \* MERGEFORMAT </w:instrText>
      </w:r>
      <w:r>
        <w:rPr>
          <w:szCs w:val="20"/>
          <w:u w:val="single"/>
        </w:rPr>
      </w:r>
      <w:r>
        <w:rPr>
          <w:szCs w:val="20"/>
          <w:u w:val="single"/>
        </w:rPr>
        <w:fldChar w:fldCharType="separate"/>
      </w:r>
      <w:r>
        <w:rPr>
          <w:szCs w:val="20"/>
          <w:u w:val="single"/>
        </w:rPr>
        <w:t>2.2</w:t>
      </w:r>
      <w:r>
        <w:rPr>
          <w:szCs w:val="20"/>
          <w:u w:val="single"/>
        </w:rPr>
        <w:fldChar w:fldCharType="end"/>
      </w:r>
      <w:r>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w:t>
      </w:r>
    </w:p>
  </w:footnote>
  <w:footnote w:id="32">
    <w:p w14:paraId="3D5597BB" w14:textId="5CCBE25F" w:rsidR="00A15635" w:rsidRPr="00940EDB" w:rsidRDefault="00A15635" w:rsidP="00A15635">
      <w:pPr>
        <w:pStyle w:val="FootnoteText"/>
        <w:rPr>
          <w:szCs w:val="20"/>
        </w:rPr>
      </w:pPr>
      <w:r>
        <w:rPr>
          <w:rStyle w:val="FootnoteReference"/>
          <w:sz w:val="20"/>
          <w:szCs w:val="20"/>
        </w:rPr>
        <w:footnoteRef/>
      </w:r>
      <w:r>
        <w:rPr>
          <w:szCs w:val="20"/>
        </w:rPr>
        <w:tab/>
        <w:t>This sentence reduces</w:t>
      </w:r>
      <w:r w:rsidR="00351036">
        <w:rPr>
          <w:szCs w:val="20"/>
        </w:rPr>
        <w:t xml:space="preserve"> the</w:t>
      </w:r>
      <w:r>
        <w:rPr>
          <w:szCs w:val="20"/>
        </w:rPr>
        <w:t xml:space="preserve"> need to list the Convertible Securities in the Disclosure Schedule that are already being listed in the Schedule of Purchasers.</w:t>
      </w:r>
    </w:p>
  </w:footnote>
  <w:footnote w:id="33">
    <w:p w14:paraId="1DA4C1C4" w14:textId="7DAE77E3" w:rsidR="009A2F75" w:rsidRPr="00940EDB" w:rsidRDefault="009A2F75" w:rsidP="009A2F75">
      <w:pPr>
        <w:pStyle w:val="FootnoteText"/>
        <w:rPr>
          <w:szCs w:val="20"/>
        </w:rPr>
      </w:pPr>
      <w:r>
        <w:rPr>
          <w:rStyle w:val="FootnoteReference"/>
          <w:sz w:val="20"/>
          <w:szCs w:val="20"/>
        </w:rPr>
        <w:footnoteRef/>
      </w:r>
      <w:r>
        <w:rPr>
          <w:szCs w:val="20"/>
        </w:rPr>
        <w:tab/>
        <w:t>Rule 506 of Regulation D (“</w:t>
      </w:r>
      <w:r>
        <w:rPr>
          <w:b/>
          <w:szCs w:val="20"/>
        </w:rPr>
        <w:t>Rule 506</w:t>
      </w:r>
      <w:r>
        <w:rPr>
          <w:szCs w:val="20"/>
        </w:rPr>
        <w:t>”) incudes specific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34">
    <w:p w14:paraId="5774B322" w14:textId="320719C6" w:rsidR="00F1487E" w:rsidRPr="00940EDB" w:rsidRDefault="00F1487E">
      <w:pPr>
        <w:pStyle w:val="FootnoteText"/>
        <w:rPr>
          <w:szCs w:val="20"/>
        </w:rPr>
      </w:pPr>
      <w:r>
        <w:rPr>
          <w:rStyle w:val="FootnoteReference"/>
          <w:sz w:val="20"/>
          <w:szCs w:val="20"/>
        </w:rPr>
        <w:footnoteRef/>
      </w:r>
      <w:r>
        <w:rPr>
          <w:szCs w:val="20"/>
        </w:rPr>
        <w:tab/>
        <w:t xml:space="preserve">This representation may not be helpful to Purchasers and may increase scheduling burden.  </w:t>
      </w:r>
    </w:p>
  </w:footnote>
  <w:footnote w:id="35">
    <w:p w14:paraId="780EA61A" w14:textId="04309013" w:rsidR="00EE1D7B" w:rsidRPr="00940EDB" w:rsidRDefault="00EE1D7B" w:rsidP="00EE1D7B">
      <w:pPr>
        <w:pStyle w:val="FootnoteText"/>
        <w:rPr>
          <w:szCs w:val="20"/>
        </w:rPr>
      </w:pPr>
      <w:r>
        <w:rPr>
          <w:rStyle w:val="FootnoteReference"/>
          <w:sz w:val="20"/>
          <w:szCs w:val="20"/>
        </w:rPr>
        <w:footnoteRef/>
      </w:r>
      <w:r>
        <w:rPr>
          <w:szCs w:val="20"/>
        </w:rPr>
        <w:tab/>
        <w:t>It should be noted that the consensus among the NVCA drafting group was that the 409A issues are better dealt with as a diligence item, rather than a Company rep. It is in any case important that the issue be surfaced as part of the financing, to ensure that the Company is mindful of the obligations and potential penalties imposed by 409A as it makes future equity grants. Prior versions of this model agreement included the following optional representation, if Purchasers feel it important to include: “</w:t>
      </w:r>
      <w:r w:rsidRPr="00E55DB6">
        <w:rPr>
          <w:szCs w:val="20"/>
          <w:u w:val="single"/>
        </w:rPr>
        <w:t>409A</w:t>
      </w:r>
      <w:r w:rsidRPr="00E55DB6">
        <w:rPr>
          <w:szCs w:val="20"/>
        </w:rPr>
        <w:t>.</w:t>
      </w:r>
      <w:r>
        <w:rPr>
          <w:szCs w:val="20"/>
        </w:rPr>
        <w:t xml:space="preserve"> The Company believes in good faith that any “nonqualified deferred compensation plan” (as such term is defined under Section 409A(d)(1) of the Code and the guidance thereunder) under which the Company makes, is obligated to make or promises to make, payments (each, a “</w:t>
      </w:r>
      <w:r>
        <w:rPr>
          <w:b/>
          <w:szCs w:val="20"/>
        </w:rPr>
        <w:t>409A Plan</w:t>
      </w:r>
      <w:r>
        <w:rPr>
          <w:szCs w:val="20"/>
        </w:rPr>
        <w:t xml:space="preserve">”)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 </w:t>
      </w:r>
    </w:p>
  </w:footnote>
  <w:footnote w:id="36">
    <w:p w14:paraId="7B916FDB" w14:textId="4ED4206B" w:rsidR="00F1487E" w:rsidRPr="00940EDB" w:rsidRDefault="00F1487E" w:rsidP="00862AD3">
      <w:pPr>
        <w:pStyle w:val="FootnoteText"/>
        <w:rPr>
          <w:szCs w:val="20"/>
        </w:rPr>
      </w:pPr>
      <w:r>
        <w:rPr>
          <w:rStyle w:val="FootnoteReference"/>
          <w:sz w:val="20"/>
          <w:szCs w:val="20"/>
        </w:rPr>
        <w:footnoteRef/>
      </w:r>
      <w:r>
        <w:rPr>
          <w:szCs w:val="20"/>
        </w:rPr>
        <w:tab/>
        <w:t>The purpose of this representation is to require the Company to fully disclose its structure, including other entities, if any, that it controls.</w:t>
      </w:r>
    </w:p>
  </w:footnote>
  <w:footnote w:id="37">
    <w:p w14:paraId="7C1AC89E" w14:textId="55ACB285" w:rsidR="00F1487E" w:rsidRPr="00940EDB" w:rsidRDefault="00F1487E" w:rsidP="00862AD3">
      <w:pPr>
        <w:pStyle w:val="FootnoteText"/>
        <w:rPr>
          <w:szCs w:val="20"/>
        </w:rPr>
      </w:pPr>
      <w:r>
        <w:rPr>
          <w:rStyle w:val="FootnoteReference"/>
          <w:sz w:val="20"/>
          <w:szCs w:val="20"/>
        </w:rPr>
        <w:footnoteRef/>
      </w:r>
      <w:r>
        <w:rPr>
          <w:szCs w:val="20"/>
        </w:rPr>
        <w:tab/>
        <w:t xml:space="preserve">The representations in </w:t>
      </w:r>
      <w:r>
        <w:rPr>
          <w:szCs w:val="20"/>
          <w:u w:val="single"/>
        </w:rPr>
        <w:t>Sections </w:t>
      </w:r>
      <w:r>
        <w:rPr>
          <w:szCs w:val="20"/>
          <w:u w:val="single"/>
        </w:rPr>
        <w:fldChar w:fldCharType="begin"/>
      </w:r>
      <w:r>
        <w:rPr>
          <w:szCs w:val="20"/>
          <w:u w:val="single"/>
        </w:rPr>
        <w:instrText xml:space="preserve"> REF _Ref_ContractCompanion_9kb9Ur035 \n \h \t \* MERGEFORMAT </w:instrText>
      </w:r>
      <w:r>
        <w:rPr>
          <w:szCs w:val="20"/>
          <w:u w:val="single"/>
        </w:rPr>
      </w:r>
      <w:r>
        <w:rPr>
          <w:szCs w:val="20"/>
          <w:u w:val="single"/>
        </w:rPr>
        <w:fldChar w:fldCharType="separate"/>
      </w:r>
      <w:r>
        <w:rPr>
          <w:szCs w:val="20"/>
          <w:u w:val="single"/>
        </w:rPr>
        <w:t>2.4</w:t>
      </w:r>
      <w:r>
        <w:rPr>
          <w:szCs w:val="20"/>
          <w:u w:val="single"/>
        </w:rPr>
        <w:fldChar w:fldCharType="end"/>
      </w:r>
      <w:r>
        <w:rPr>
          <w:szCs w:val="20"/>
        </w:rPr>
        <w:t xml:space="preserve"> and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Pr>
          <w:szCs w:val="20"/>
          <w:u w:val="single"/>
        </w:rPr>
        <w:t>Section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38">
    <w:p w14:paraId="5EB9AF60" w14:textId="25C23F49" w:rsidR="00623940" w:rsidRPr="00940EDB" w:rsidRDefault="00623940">
      <w:pPr>
        <w:pStyle w:val="FootnoteText"/>
        <w:rPr>
          <w:szCs w:val="20"/>
        </w:rPr>
      </w:pPr>
      <w:r>
        <w:rPr>
          <w:rStyle w:val="FootnoteReference"/>
          <w:sz w:val="20"/>
          <w:szCs w:val="20"/>
        </w:rPr>
        <w:footnoteRef/>
      </w:r>
      <w:r>
        <w:rPr>
          <w:szCs w:val="20"/>
        </w:rPr>
        <w:t xml:space="preserve"> In a simultaneous sign and close, (i) would not be necessary, as the charter would need to be on file before the SPA is deemed signed.</w:t>
      </w:r>
    </w:p>
  </w:footnote>
  <w:footnote w:id="39">
    <w:p w14:paraId="2A8F4724" w14:textId="77777777" w:rsidR="00F1487E" w:rsidRPr="00940EDB" w:rsidRDefault="00F1487E" w:rsidP="00862AD3">
      <w:pPr>
        <w:pStyle w:val="FootnoteText"/>
        <w:rPr>
          <w:szCs w:val="20"/>
        </w:rPr>
      </w:pPr>
      <w:r>
        <w:rPr>
          <w:rStyle w:val="FootnoteReference"/>
          <w:sz w:val="20"/>
          <w:szCs w:val="20"/>
        </w:rPr>
        <w:footnoteRef/>
      </w:r>
      <w:r>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40">
    <w:p w14:paraId="55A8FFBA" w14:textId="77777777" w:rsidR="00F1487E" w:rsidRPr="00940EDB" w:rsidRDefault="00F1487E" w:rsidP="00862AD3">
      <w:pPr>
        <w:pStyle w:val="FootnoteText"/>
        <w:rPr>
          <w:szCs w:val="20"/>
        </w:rPr>
      </w:pPr>
      <w:r>
        <w:rPr>
          <w:rStyle w:val="FootnoteReference"/>
          <w:sz w:val="20"/>
          <w:szCs w:val="20"/>
        </w:rPr>
        <w:footnoteRef/>
      </w:r>
      <w:r>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41">
    <w:p w14:paraId="1B5F8CB7" w14:textId="246AF0B5" w:rsidR="00FA5A6D" w:rsidRPr="00940EDB" w:rsidRDefault="00FA5A6D" w:rsidP="00FA5A6D">
      <w:pPr>
        <w:pStyle w:val="FootnoteText"/>
        <w:spacing w:after="120"/>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_Ref146111510 \w \h  \* MERGEFORMAT </w:instrText>
      </w:r>
      <w:r>
        <w:rPr>
          <w:szCs w:val="20"/>
          <w:u w:val="single"/>
        </w:rPr>
      </w:r>
      <w:r>
        <w:rPr>
          <w:szCs w:val="20"/>
          <w:u w:val="single"/>
        </w:rPr>
        <w:fldChar w:fldCharType="separate"/>
      </w:r>
      <w:r>
        <w:rPr>
          <w:szCs w:val="20"/>
          <w:u w:val="single"/>
        </w:rPr>
        <w:t>2.8(a)</w:t>
      </w:r>
      <w:r>
        <w:rPr>
          <w:szCs w:val="20"/>
          <w:u w:val="single"/>
        </w:rPr>
        <w:fldChar w:fldCharType="end"/>
      </w:r>
      <w:r>
        <w:rPr>
          <w:szCs w:val="20"/>
        </w:rPr>
        <w:t xml:space="preserve"> and </w:t>
      </w:r>
      <w:r>
        <w:rPr>
          <w:szCs w:val="20"/>
          <w:u w:val="single"/>
        </w:rPr>
        <w:t>Section </w:t>
      </w:r>
      <w:r>
        <w:rPr>
          <w:szCs w:val="20"/>
          <w:u w:val="single"/>
        </w:rPr>
        <w:fldChar w:fldCharType="begin"/>
      </w:r>
      <w:r>
        <w:rPr>
          <w:szCs w:val="20"/>
          <w:u w:val="single"/>
        </w:rPr>
        <w:instrText xml:space="preserve"> REF _Ref146111521 \w \h  \* MERGEFORMAT </w:instrText>
      </w:r>
      <w:r>
        <w:rPr>
          <w:szCs w:val="20"/>
          <w:u w:val="single"/>
        </w:rPr>
      </w:r>
      <w:r>
        <w:rPr>
          <w:szCs w:val="20"/>
          <w:u w:val="single"/>
        </w:rPr>
        <w:fldChar w:fldCharType="separate"/>
      </w:r>
      <w:r>
        <w:rPr>
          <w:szCs w:val="20"/>
          <w:u w:val="single"/>
        </w:rPr>
        <w:t>2.8(b)</w:t>
      </w:r>
      <w:r>
        <w:rPr>
          <w:szCs w:val="20"/>
          <w:u w:val="single"/>
        </w:rPr>
        <w:fldChar w:fldCharType="end"/>
      </w:r>
      <w:r>
        <w:rPr>
          <w:szCs w:val="20"/>
        </w:rPr>
        <w:t xml:space="preserve"> give the Purchasers assurances that the Company has the intellectual property rights necessary to conduct its business, or that the Company has disclosed its need to acquire further rights. This model agreement includes options for (i) knowledge-qualifying the entire representation or (ii) knowledge-qualifying solely as to patents and trademarks, on the theory that potential patent conflicts cannot always be uncovered even after reasonable investigation. </w:t>
      </w:r>
    </w:p>
  </w:footnote>
  <w:footnote w:id="42">
    <w:p w14:paraId="58F84990" w14:textId="3C1ABCE3" w:rsidR="002E2E2B" w:rsidRPr="00940EDB" w:rsidRDefault="002E2E2B" w:rsidP="002E2E2B">
      <w:pPr>
        <w:pStyle w:val="FootnoteText"/>
        <w:spacing w:after="120"/>
        <w:rPr>
          <w:szCs w:val="20"/>
        </w:rPr>
      </w:pPr>
      <w:r>
        <w:rPr>
          <w:rStyle w:val="FootnoteReference"/>
          <w:sz w:val="20"/>
          <w:szCs w:val="20"/>
        </w:rPr>
        <w:footnoteRef/>
      </w:r>
      <w:r>
        <w:rPr>
          <w:szCs w:val="20"/>
        </w:rPr>
        <w:tab/>
        <w:t>If the investor has indicated that specific patents or other registered IP are critically important to the success of the Company, consider adding a validity and enforceability rep along the lines of the following: “To the Company’s knowledge, [</w:t>
      </w:r>
      <w:r>
        <w:rPr>
          <w:i/>
          <w:iCs/>
          <w:szCs w:val="20"/>
        </w:rPr>
        <w:t>specified patent(s)</w:t>
      </w:r>
      <w:r>
        <w:rPr>
          <w:szCs w:val="20"/>
        </w:rPr>
        <w:t>] (the “</w:t>
      </w:r>
      <w:r>
        <w:rPr>
          <w:b/>
          <w:bCs/>
          <w:szCs w:val="20"/>
        </w:rPr>
        <w:t>Specified Patents</w:t>
      </w:r>
      <w:r>
        <w:rPr>
          <w:szCs w:val="20"/>
        </w:rPr>
        <w:t xml:space="preserve">”) (excluding applications) is valid and enforceable. The Company has not received any notice disputing the inventorship or ownership or the validity or enforceability of the Specified Patents, and to the Company’s knowledge there are no circumstances that would reasonably support such a claim. Notwithstanding the foregoing, this paragraph does not require the disclosure of any non-final notice or correspondence from the registering entity issued in the course of the prosecution of an application.” </w:t>
      </w:r>
    </w:p>
  </w:footnote>
  <w:footnote w:id="43">
    <w:p w14:paraId="24934A50" w14:textId="1F27C663" w:rsidR="002E2E2B" w:rsidRPr="00940EDB" w:rsidRDefault="002E2E2B" w:rsidP="002E2E2B">
      <w:pPr>
        <w:pStyle w:val="FootnoteText"/>
        <w:spacing w:after="120"/>
        <w:rPr>
          <w:szCs w:val="20"/>
        </w:rPr>
      </w:pPr>
      <w:r>
        <w:rPr>
          <w:rStyle w:val="FootnoteReference"/>
          <w:sz w:val="20"/>
          <w:szCs w:val="20"/>
        </w:rPr>
        <w:footnoteRef/>
      </w:r>
      <w:r>
        <w:rPr>
          <w:szCs w:val="20"/>
        </w:rPr>
        <w:tab/>
        <w:t xml:space="preserve">The limitation that the services not be incorporated into the Company’s products or services may not be appropriate for a cloud services company relying heavily on third party integrations or vendors; on the other hand, investors may want to review any such contracts in that situation if the Company’s business is dependent on them. </w:t>
      </w:r>
    </w:p>
  </w:footnote>
  <w:footnote w:id="44">
    <w:p w14:paraId="42603E46" w14:textId="28029F80" w:rsidR="002E2E2B" w:rsidRPr="00940EDB" w:rsidRDefault="002E2E2B" w:rsidP="002E2E2B">
      <w:pPr>
        <w:pStyle w:val="FootnoteText"/>
        <w:rPr>
          <w:szCs w:val="20"/>
        </w:rPr>
      </w:pPr>
      <w:r>
        <w:rPr>
          <w:rStyle w:val="FootnoteReference"/>
          <w:sz w:val="20"/>
          <w:szCs w:val="20"/>
        </w:rPr>
        <w:footnoteRef/>
      </w:r>
      <w:r>
        <w:rPr>
          <w:szCs w:val="20"/>
        </w:rPr>
        <w:tab/>
        <w:t>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of the Company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45">
    <w:p w14:paraId="0141E6CA" w14:textId="14476F2C" w:rsidR="002E2E2B" w:rsidRPr="00940EDB" w:rsidRDefault="002E2E2B" w:rsidP="002E2E2B">
      <w:pPr>
        <w:pStyle w:val="FootnoteText"/>
        <w:rPr>
          <w:szCs w:val="20"/>
        </w:rPr>
      </w:pPr>
      <w:r>
        <w:rPr>
          <w:rStyle w:val="FootnoteReference"/>
          <w:sz w:val="20"/>
          <w:szCs w:val="20"/>
        </w:rPr>
        <w:footnoteRef/>
      </w:r>
      <w:r>
        <w:rPr>
          <w:szCs w:val="20"/>
        </w:rPr>
        <w:tab/>
        <w:t>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Pr>
          <w:i/>
          <w:iCs/>
          <w:szCs w:val="20"/>
        </w:rPr>
        <w:t>e.g.</w:t>
      </w:r>
      <w:r>
        <w:rPr>
          <w:szCs w:val="20"/>
        </w:rPr>
        <w:t>, customer non-solicits or certain types of personnel-related non-solicits) may be unenforceable, such a representation would likely not be appropriate. In appropriate circumstances, consider adding the following representation (and also a definition of Key Employee): “If legally permissible, each current and former Key Employee has executed a non-solicitation agreement substantially in the form or forms made available to the Purchasers or their respective counsel.”</w:t>
      </w:r>
    </w:p>
  </w:footnote>
  <w:footnote w:id="46">
    <w:p w14:paraId="1750C12B" w14:textId="43F03CAE" w:rsidR="002E2E2B" w:rsidRPr="00940EDB" w:rsidRDefault="002E2E2B" w:rsidP="009727FA">
      <w:pPr>
        <w:pStyle w:val="FootnoteText"/>
        <w:rPr>
          <w:szCs w:val="20"/>
        </w:rPr>
      </w:pPr>
      <w:r>
        <w:rPr>
          <w:rStyle w:val="FootnoteReference"/>
          <w:sz w:val="20"/>
          <w:szCs w:val="20"/>
        </w:rPr>
        <w:footnoteRef/>
      </w:r>
      <w:r>
        <w:rPr>
          <w:szCs w:val="20"/>
        </w:rPr>
        <w:tab/>
        <w:t>This representation regarding use of open source software is intended to elicit disclosure of publicly available, third-party source code that the Company has incorporated, into its products under any license that imposes specified obligations upon the Company, particularly so-called “copyleft” obligations. Much publicly available source code is distributed under permissive open source licenses that permit it to be freely used and redistributed without imposing copyleft obligations upon those that use it to develop their own software and listing all such code may be of little added value. A more expansive open source representation, which may be appropriate for distributed products to affirm the content of a list provided in diligence, is as follows: “The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Pr>
          <w:color w:val="000000"/>
          <w:szCs w:val="20"/>
        </w:rPr>
        <w:t>” The primary benefits of requiring this expanded disclosure are: (1) the investors can confirm that the Company is actually tracking its open source software usage; and (2) the investors can perform their own diligence on open source software usage instead of relying on the Company to properly disclose against the narrower representation. Additional diligence may be appropriate, particularly given that acquirers often take a very risk-averse stance on open source license requirements and compliance.</w:t>
      </w:r>
    </w:p>
  </w:footnote>
  <w:footnote w:id="47">
    <w:p w14:paraId="77579859" w14:textId="7CDB489C" w:rsidR="00A6031B" w:rsidRPr="00940EDB" w:rsidRDefault="00A6031B" w:rsidP="00A6031B">
      <w:pPr>
        <w:pStyle w:val="FootnoteText"/>
        <w:rPr>
          <w:szCs w:val="20"/>
        </w:rPr>
      </w:pPr>
      <w:r>
        <w:rPr>
          <w:rStyle w:val="FootnoteReference"/>
          <w:sz w:val="20"/>
          <w:szCs w:val="20"/>
        </w:rPr>
        <w:footnoteRef/>
      </w:r>
      <w:r>
        <w:rPr>
          <w:szCs w:val="20"/>
        </w:rPr>
        <w:tab/>
        <w:t xml:space="preserve">While the consensus among the NVCA drafting group is that disclosure is better addressed as a diligence matter, some Purchasers will require a representation to ensure that all registered intellectual property has been disclosed/reviewed in due diligence – accordingly, prior versions of this model agreement contained the following, which could be added as a new </w:t>
      </w:r>
      <w:r w:rsidR="00AE0D97" w:rsidRPr="00AE0D97">
        <w:rPr>
          <w:szCs w:val="20"/>
          <w:u w:val="single"/>
        </w:rPr>
        <w:t>Section 2.8(j)</w:t>
      </w:r>
      <w:r w:rsidR="00AE0D97">
        <w:rPr>
          <w:szCs w:val="20"/>
        </w:rPr>
        <w:t>:</w:t>
      </w:r>
      <w:r>
        <w:rPr>
          <w:szCs w:val="20"/>
        </w:rPr>
        <w:t xml:space="preserve"> “</w:t>
      </w:r>
      <w:r w:rsidR="00AE0D97" w:rsidRPr="00AE0D97">
        <w:rPr>
          <w:szCs w:val="20"/>
          <w:u w:val="single"/>
        </w:rPr>
        <w:t>Section 2.8(j)</w:t>
      </w:r>
      <w:r>
        <w:rPr>
          <w:szCs w:val="20"/>
        </w:rPr>
        <w:t xml:space="preserve"> of the Disclosure Schedule lists all Company-Registered Intellectual Property, and all material domain names that are Company-Controlled Intellectual Property.”  If you include this representation, add the following in the definition: ““</w:t>
      </w:r>
      <w:r>
        <w:rPr>
          <w:b/>
          <w:bCs/>
          <w:szCs w:val="20"/>
        </w:rPr>
        <w:t>Company-Registered Intellectual Property</w:t>
      </w:r>
      <w:r>
        <w:rPr>
          <w:szCs w:val="20"/>
        </w:rPr>
        <w:t>” means Company-Controlled Intellectual Property registered by the Company with any governmental authority, and applications for such registration.”</w:t>
      </w:r>
    </w:p>
  </w:footnote>
  <w:footnote w:id="48">
    <w:p w14:paraId="228AF446" w14:textId="052ECDFD" w:rsidR="002E2E2B" w:rsidRPr="00940EDB" w:rsidRDefault="002E2E2B" w:rsidP="002E2E2B">
      <w:pPr>
        <w:pStyle w:val="FootnoteText"/>
        <w:spacing w:after="120"/>
        <w:rPr>
          <w:szCs w:val="20"/>
        </w:rPr>
      </w:pPr>
      <w:r>
        <w:rPr>
          <w:rStyle w:val="FootnoteReference"/>
          <w:sz w:val="20"/>
          <w:szCs w:val="20"/>
        </w:rPr>
        <w:footnoteRef/>
      </w:r>
      <w:r>
        <w:rPr>
          <w:szCs w:val="20"/>
        </w:rPr>
        <w:tab/>
      </w:r>
      <w:r>
        <w:rPr>
          <w:szCs w:val="20"/>
          <w:u w:val="single"/>
        </w:rPr>
        <w:t xml:space="preserve">Sections </w:t>
      </w:r>
      <w:r>
        <w:rPr>
          <w:szCs w:val="20"/>
          <w:u w:val="single"/>
        </w:rPr>
        <w:fldChar w:fldCharType="begin"/>
      </w:r>
      <w:r>
        <w:rPr>
          <w:szCs w:val="20"/>
          <w:u w:val="single"/>
        </w:rPr>
        <w:instrText xml:space="preserve"> REF _Ref145428055 \r \h  \* MERGEFORMAT </w:instrText>
      </w:r>
      <w:r>
        <w:rPr>
          <w:szCs w:val="20"/>
          <w:u w:val="single"/>
        </w:rPr>
      </w:r>
      <w:r>
        <w:rPr>
          <w:szCs w:val="20"/>
          <w:u w:val="single"/>
        </w:rPr>
        <w:fldChar w:fldCharType="separate"/>
      </w:r>
      <w:r>
        <w:rPr>
          <w:szCs w:val="20"/>
          <w:u w:val="single"/>
        </w:rPr>
        <w:t>2.8</w:t>
      </w:r>
      <w:r>
        <w:rPr>
          <w:szCs w:val="20"/>
          <w:u w:val="single"/>
        </w:rPr>
        <w:fldChar w:fldCharType="end"/>
      </w:r>
      <w:r>
        <w:rPr>
          <w:szCs w:val="20"/>
        </w:rPr>
        <w:t xml:space="preserve">,  </w:t>
      </w:r>
      <w:r>
        <w:rPr>
          <w:szCs w:val="20"/>
          <w:u w:val="single"/>
        </w:rPr>
        <w:fldChar w:fldCharType="begin"/>
      </w:r>
      <w:r>
        <w:rPr>
          <w:szCs w:val="20"/>
          <w:u w:val="single"/>
        </w:rPr>
        <w:instrText xml:space="preserve"> REF _Ref_ContractCompanion_9kb9Ur07H \n \h \t \* MERGEFORMAT </w:instrText>
      </w:r>
      <w:r>
        <w:rPr>
          <w:szCs w:val="20"/>
          <w:u w:val="single"/>
        </w:rPr>
      </w:r>
      <w:r>
        <w:rPr>
          <w:szCs w:val="20"/>
          <w:u w:val="single"/>
        </w:rPr>
        <w:fldChar w:fldCharType="separate"/>
      </w:r>
      <w:r>
        <w:rPr>
          <w:szCs w:val="20"/>
          <w:u w:val="single"/>
        </w:rPr>
        <w:t>2.10</w:t>
      </w:r>
      <w:r>
        <w:rPr>
          <w:szCs w:val="20"/>
          <w:u w:val="single"/>
        </w:rPr>
        <w:fldChar w:fldCharType="end"/>
      </w:r>
      <w:r>
        <w:rPr>
          <w:szCs w:val="20"/>
        </w:rPr>
        <w:t xml:space="preserve">, </w:t>
      </w:r>
      <w:r>
        <w:rPr>
          <w:szCs w:val="20"/>
          <w:u w:val="single"/>
        </w:rPr>
        <w:fldChar w:fldCharType="begin"/>
      </w:r>
      <w:r>
        <w:rPr>
          <w:szCs w:val="20"/>
          <w:u w:val="single"/>
        </w:rPr>
        <w:instrText xml:space="preserve"> REF _Ref162992170 \r \h  \* MERGEFORMAT </w:instrText>
      </w:r>
      <w:r>
        <w:rPr>
          <w:szCs w:val="20"/>
          <w:u w:val="single"/>
        </w:rPr>
      </w:r>
      <w:r>
        <w:rPr>
          <w:szCs w:val="20"/>
          <w:u w:val="single"/>
        </w:rPr>
        <w:fldChar w:fldCharType="separate"/>
      </w:r>
      <w:r>
        <w:rPr>
          <w:szCs w:val="20"/>
          <w:u w:val="single"/>
        </w:rPr>
        <w:t>2.11</w:t>
      </w:r>
      <w:r>
        <w:rPr>
          <w:szCs w:val="20"/>
          <w:u w:val="single"/>
        </w:rPr>
        <w:fldChar w:fldCharType="end"/>
      </w:r>
      <w:r>
        <w:rPr>
          <w:szCs w:val="20"/>
        </w:rPr>
        <w:t xml:space="preserve"> and </w:t>
      </w:r>
      <w:r>
        <w:rPr>
          <w:szCs w:val="20"/>
          <w:u w:val="single"/>
        </w:rPr>
        <w:fldChar w:fldCharType="begin"/>
      </w:r>
      <w:r>
        <w:rPr>
          <w:szCs w:val="20"/>
          <w:u w:val="single"/>
        </w:rPr>
        <w:instrText xml:space="preserve"> REF _Ref444621396 \r \h  \* MERGEFORMAT </w:instrText>
      </w:r>
      <w:r>
        <w:rPr>
          <w:szCs w:val="20"/>
          <w:u w:val="single"/>
        </w:rPr>
      </w:r>
      <w:r>
        <w:rPr>
          <w:szCs w:val="20"/>
          <w:u w:val="single"/>
        </w:rPr>
        <w:fldChar w:fldCharType="separate"/>
      </w:r>
      <w:r>
        <w:rPr>
          <w:szCs w:val="20"/>
          <w:u w:val="single"/>
        </w:rPr>
        <w:t>2.15</w:t>
      </w:r>
      <w:r>
        <w:rPr>
          <w:szCs w:val="20"/>
          <w:u w:val="single"/>
        </w:rPr>
        <w:fldChar w:fldCharType="end"/>
      </w:r>
      <w:r>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49">
    <w:p w14:paraId="2A071FC2" w14:textId="75670270" w:rsidR="002E2E2B" w:rsidRPr="00940EDB" w:rsidRDefault="002E2E2B" w:rsidP="002E2E2B">
      <w:pPr>
        <w:pStyle w:val="FootnoteText"/>
        <w:rPr>
          <w:szCs w:val="20"/>
        </w:rPr>
      </w:pPr>
      <w:r>
        <w:rPr>
          <w:rStyle w:val="FootnoteReference"/>
          <w:sz w:val="20"/>
          <w:szCs w:val="20"/>
        </w:rPr>
        <w:footnoteRef/>
      </w:r>
      <w:r>
        <w:rPr>
          <w:szCs w:val="20"/>
        </w:rPr>
        <w:tab/>
        <w:t>University licenses subject to Bayh-Dole will have march-in rights, so this exception reduces disclosure obligations for licenses already called out elsewhere.</w:t>
      </w:r>
    </w:p>
  </w:footnote>
  <w:footnote w:id="50">
    <w:p w14:paraId="40892C4A" w14:textId="6E9575E5" w:rsidR="00F1487E" w:rsidRPr="00940EDB" w:rsidRDefault="00F1487E" w:rsidP="00862AD3">
      <w:pPr>
        <w:pStyle w:val="FootnoteText"/>
        <w:rPr>
          <w:b/>
          <w:bCs/>
          <w:i/>
          <w:iCs/>
          <w:szCs w:val="20"/>
        </w:rPr>
      </w:pPr>
      <w:r>
        <w:rPr>
          <w:rStyle w:val="FootnoteReference"/>
          <w:sz w:val="20"/>
          <w:szCs w:val="20"/>
        </w:rPr>
        <w:footnoteRef/>
      </w:r>
      <w:r>
        <w:rPr>
          <w:szCs w:val="20"/>
        </w:rPr>
        <w:tab/>
        <w:t>In prior iterations of this model SPA, the following representation, while not standard, 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 Because this rep is not standard, and rarely requested or given, it has been removed; the sentiment of the drafting committee is that this is best addressed as a diligence matter.</w:t>
      </w:r>
    </w:p>
  </w:footnote>
  <w:footnote w:id="51">
    <w:p w14:paraId="6974F230" w14:textId="77777777" w:rsidR="00F1487E" w:rsidRPr="00940EDB" w:rsidRDefault="00F1487E" w:rsidP="00862AD3">
      <w:pPr>
        <w:pStyle w:val="FootnoteText"/>
        <w:rPr>
          <w:szCs w:val="20"/>
        </w:rPr>
      </w:pPr>
      <w:r>
        <w:rPr>
          <w:rStyle w:val="FootnoteReference"/>
          <w:sz w:val="20"/>
          <w:szCs w:val="20"/>
        </w:rPr>
        <w:footnoteRef/>
      </w:r>
      <w:r>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52">
    <w:p w14:paraId="22823126" w14:textId="127C4812" w:rsidR="00F1487E" w:rsidRPr="00940EDB" w:rsidRDefault="00F1487E" w:rsidP="00862AD3">
      <w:pPr>
        <w:pStyle w:val="FootnoteText"/>
        <w:rPr>
          <w:szCs w:val="20"/>
        </w:rPr>
      </w:pPr>
      <w:r>
        <w:rPr>
          <w:rStyle w:val="FootnoteReference"/>
          <w:sz w:val="20"/>
          <w:szCs w:val="20"/>
        </w:rPr>
        <w:footnoteRef/>
      </w:r>
      <w:r>
        <w:rPr>
          <w:szCs w:val="20"/>
        </w:rPr>
        <w:tab/>
        <w:t>Prior registration rights may conflict with those currently being negotiated among the investors and the Company. Therefore, any such rights must be carefully reviewed, and any conflicts resolved. It is common to have any previous registration rights agreement amended to include the new investors or replaced by a new agreement,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53">
    <w:p w14:paraId="77A44203" w14:textId="0FB1F54F" w:rsidR="00F1487E" w:rsidRPr="00940EDB" w:rsidRDefault="00F1487E" w:rsidP="00862AD3">
      <w:pPr>
        <w:pStyle w:val="FootnoteText"/>
        <w:rPr>
          <w:b/>
          <w:bCs/>
          <w:iCs/>
          <w:szCs w:val="20"/>
        </w:rPr>
      </w:pPr>
      <w:r>
        <w:rPr>
          <w:rStyle w:val="FootnoteReference"/>
          <w:sz w:val="20"/>
          <w:szCs w:val="20"/>
        </w:rPr>
        <w:footnoteRef/>
      </w:r>
      <w:r>
        <w:rPr>
          <w:szCs w:val="20"/>
        </w:rPr>
        <w:tab/>
        <w:t xml:space="preserve">For early-stage companies without financial statements, </w:t>
      </w:r>
      <w:r>
        <w:rPr>
          <w:szCs w:val="20"/>
          <w:u w:val="single"/>
        </w:rPr>
        <w:t>the drafter</w:t>
      </w:r>
      <w:r>
        <w:rPr>
          <w:szCs w:val="20"/>
        </w:rPr>
        <w:t xml:space="preserve"> can remove the first three sentences and “Except as set forth in the Financial Statements” in the bracketed language below.</w:t>
      </w:r>
    </w:p>
  </w:footnote>
  <w:footnote w:id="54">
    <w:p w14:paraId="2E5FF489" w14:textId="53E0D197"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Use formation date (or other appropriate date) for companies that do not have financial statements.</w:t>
      </w:r>
    </w:p>
  </w:footnote>
  <w:footnote w:id="55">
    <w:p w14:paraId="4D731F39" w14:textId="2E662F59"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Use if there are no financial statements.</w:t>
      </w:r>
    </w:p>
  </w:footnote>
  <w:footnote w:id="56">
    <w:p w14:paraId="73856AAB" w14:textId="45CE26A5" w:rsidR="00F1487E" w:rsidRPr="00940EDB" w:rsidRDefault="00F1487E" w:rsidP="00862AD3">
      <w:pPr>
        <w:pStyle w:val="FootnoteText"/>
        <w:rPr>
          <w:szCs w:val="20"/>
        </w:rPr>
      </w:pPr>
      <w:r>
        <w:rPr>
          <w:rStyle w:val="FootnoteReference"/>
          <w:sz w:val="20"/>
          <w:szCs w:val="20"/>
        </w:rPr>
        <w:footnoteRef/>
      </w:r>
      <w:r>
        <w:rPr>
          <w:szCs w:val="20"/>
        </w:rPr>
        <w:tab/>
        <w:t>The purpose of this representation is to “bring down” the financial statements from the period covered thereby.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57">
    <w:p w14:paraId="2F653C77" w14:textId="726D834A"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For companies without financial statements, use formation date (or other appropriate date).</w:t>
      </w:r>
    </w:p>
  </w:footnote>
  <w:footnote w:id="58">
    <w:p w14:paraId="799C41A9" w14:textId="16CD8A97" w:rsidR="00F1487E" w:rsidRPr="00940EDB" w:rsidRDefault="00F1487E" w:rsidP="00862AD3">
      <w:pPr>
        <w:pStyle w:val="FootnoteText"/>
        <w:rPr>
          <w:szCs w:val="20"/>
        </w:rPr>
      </w:pPr>
      <w:r>
        <w:rPr>
          <w:rStyle w:val="FootnoteReference"/>
          <w:sz w:val="20"/>
          <w:szCs w:val="20"/>
        </w:rPr>
        <w:footnoteRef/>
      </w:r>
      <w:r>
        <w:rPr>
          <w:szCs w:val="20"/>
        </w:rPr>
        <w:tab/>
        <w:t xml:space="preserve">See </w:t>
      </w:r>
      <w:r>
        <w:rPr>
          <w:szCs w:val="20"/>
          <w:u w:val="single"/>
        </w:rPr>
        <w:t xml:space="preserve">footnote </w:t>
      </w:r>
      <w:r w:rsidR="00433CB3">
        <w:rPr>
          <w:szCs w:val="20"/>
          <w:u w:val="single"/>
        </w:rPr>
        <w:t>23</w:t>
      </w:r>
      <w:r>
        <w:rPr>
          <w:szCs w:val="20"/>
        </w:rPr>
        <w:t>.</w:t>
      </w:r>
    </w:p>
  </w:footnote>
  <w:footnote w:id="59">
    <w:p w14:paraId="7A8FDED6" w14:textId="7274F030" w:rsidR="00F1487E" w:rsidRPr="00940EDB" w:rsidRDefault="00F1487E" w:rsidP="00986E9C">
      <w:pPr>
        <w:pStyle w:val="FootnoteText"/>
        <w:rPr>
          <w:szCs w:val="20"/>
        </w:rPr>
      </w:pPr>
      <w:r>
        <w:rPr>
          <w:rStyle w:val="FootnoteReference"/>
          <w:sz w:val="20"/>
          <w:szCs w:val="20"/>
        </w:rPr>
        <w:footnoteRef/>
      </w:r>
      <w:r>
        <w:rPr>
          <w:szCs w:val="20"/>
        </w:rPr>
        <w:tab/>
        <w:t>The following representation can be added to focus attention on whether there are any diligence issues related to prior workplace misconduct: “or (e) informed, following an internal investigation: (i) by the Company that such Officer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60">
    <w:p w14:paraId="409FB59C" w14:textId="07987187" w:rsidR="005B04B4" w:rsidRPr="00940EDB" w:rsidRDefault="00B00824" w:rsidP="00B00824">
      <w:pPr>
        <w:pStyle w:val="FootnoteText"/>
        <w:rPr>
          <w:szCs w:val="20"/>
        </w:rPr>
      </w:pPr>
      <w:r>
        <w:rPr>
          <w:rStyle w:val="FootnoteReference"/>
          <w:sz w:val="20"/>
          <w:szCs w:val="20"/>
        </w:rPr>
        <w:footnoteRef/>
      </w:r>
      <w:r>
        <w:rPr>
          <w:szCs w:val="20"/>
        </w:rPr>
        <w:tab/>
        <w:t>Consider PFIC/CFC representations as appropriate.</w:t>
      </w:r>
    </w:p>
  </w:footnote>
  <w:footnote w:id="61">
    <w:p w14:paraId="3D7621BB" w14:textId="2F351B29" w:rsidR="00F1487E" w:rsidRPr="00940EDB" w:rsidRDefault="00F1487E" w:rsidP="00862AD3">
      <w:pPr>
        <w:pStyle w:val="FootnoteText"/>
        <w:rPr>
          <w:szCs w:val="20"/>
        </w:rPr>
      </w:pPr>
      <w:r>
        <w:rPr>
          <w:rStyle w:val="FootnoteReference"/>
          <w:sz w:val="20"/>
          <w:szCs w:val="20"/>
        </w:rPr>
        <w:footnoteRef/>
      </w:r>
      <w:r>
        <w:rPr>
          <w:szCs w:val="20"/>
        </w:rPr>
        <w:tab/>
        <w:t xml:space="preserve">The investors may negotiate life insurance coverage in favor of the Company for certain Officers, founders or other key employees. If such coverage is in effect prior to the closing, it may be appropriate to add to this representation a statement of the covered individuals and amount of coverage for each. </w:t>
      </w:r>
    </w:p>
  </w:footnote>
  <w:footnote w:id="62">
    <w:p w14:paraId="174A4224" w14:textId="614804B8" w:rsidR="008C4979" w:rsidRPr="00940EDB" w:rsidRDefault="00755E88" w:rsidP="0093211A">
      <w:pPr>
        <w:pStyle w:val="Heading2"/>
        <w:numPr>
          <w:ilvl w:val="0"/>
          <w:numId w:val="0"/>
        </w:numPr>
        <w:tabs>
          <w:tab w:val="left" w:pos="360"/>
        </w:tabs>
        <w:spacing w:before="0"/>
        <w:rPr>
          <w:vanish/>
          <w:sz w:val="20"/>
          <w:specVanish/>
        </w:rPr>
      </w:pPr>
      <w:r>
        <w:rPr>
          <w:rStyle w:val="FootnoteReference"/>
          <w:sz w:val="20"/>
          <w:szCs w:val="20"/>
        </w:rPr>
        <w:footnoteRef/>
      </w:r>
      <w:r>
        <w:rPr>
          <w:sz w:val="20"/>
        </w:rPr>
        <w:tab/>
        <w:t>Prior versions of this model agreement included an optional representation (set forth below) related to 83(b) elections. The consensus among the NVCA drafting group is that this is better addressed as a diligence matter and so, the representation is no longer included above. Failure to file an 83(b) election is substantially the concern of the particular stockholder who failed to file; however, for employees who fail to file the Company would have withholding obligations and for all failed filings the Company would have reporting obligations.  If the parties feel a representation is appropriate, the following can be added as a representation: “</w:t>
      </w:r>
      <w:bookmarkStart w:id="94" w:name="_Ref162988977"/>
      <w:r>
        <w:rPr>
          <w:sz w:val="20"/>
          <w:u w:val="single"/>
        </w:rPr>
        <w:t>83(b) Elections</w:t>
      </w:r>
      <w:bookmarkEnd w:id="94"/>
    </w:p>
    <w:p w14:paraId="20AC3033" w14:textId="5461F124" w:rsidR="00755E88" w:rsidRPr="00940EDB" w:rsidRDefault="008C4979" w:rsidP="008C4979">
      <w:pPr>
        <w:pStyle w:val="FootnoteText"/>
        <w:rPr>
          <w:szCs w:val="20"/>
        </w:rPr>
      </w:pPr>
      <w:r>
        <w:rPr>
          <w:szCs w:val="20"/>
        </w:rPr>
        <w:t>.</w:t>
      </w:r>
      <w:r>
        <w:rPr>
          <w:color w:val="000000"/>
          <w:szCs w:val="20"/>
        </w:rPr>
        <w:t xml:space="preserve"> </w:t>
      </w:r>
      <w:r>
        <w:rPr>
          <w:szCs w:val="20"/>
        </w:rPr>
        <w:t>To the Company’s knowledge, all elections and notices under Section 83(b) of the Code have been timely filed by all individuals who have acquired unvested shares of the Company’s Common Stock.”</w:t>
      </w:r>
    </w:p>
  </w:footnote>
  <w:footnote w:id="63">
    <w:p w14:paraId="233FD253" w14:textId="50E85713" w:rsidR="00F1487E" w:rsidRPr="00940EDB" w:rsidRDefault="00F1487E" w:rsidP="00862AD3">
      <w:pPr>
        <w:pStyle w:val="FootnoteText"/>
        <w:rPr>
          <w:szCs w:val="20"/>
        </w:rPr>
      </w:pPr>
      <w:r>
        <w:rPr>
          <w:rStyle w:val="FootnoteReference"/>
          <w:sz w:val="20"/>
          <w:szCs w:val="20"/>
        </w:rPr>
        <w:footnoteRef/>
      </w:r>
      <w:r>
        <w:rPr>
          <w:szCs w:val="20"/>
        </w:rPr>
        <w:tab/>
        <w:t>This representation is appropriate if there are foreign investors (</w:t>
      </w:r>
      <w:r>
        <w:rPr>
          <w:i/>
          <w:szCs w:val="20"/>
        </w:rPr>
        <w:t>i.e.</w:t>
      </w:r>
      <w:r>
        <w:rPr>
          <w:szCs w:val="20"/>
        </w:rPr>
        <w:t>, nonresident aliens) involved in the financing, since they are subject to the Foreign Investment Real Property Tax Act of 1980 (“</w:t>
      </w:r>
      <w:r>
        <w:rPr>
          <w:b/>
          <w:szCs w:val="20"/>
        </w:rPr>
        <w:t>FIRPTA</w:t>
      </w:r>
      <w:r>
        <w:rPr>
          <w:szCs w:val="20"/>
        </w:rPr>
        <w:t>”). Under FIRPTA, a transfer of an interest in a U.S. Real Property Holding Corporation (a “</w:t>
      </w:r>
      <w:r>
        <w:rPr>
          <w:b/>
          <w:szCs w:val="20"/>
        </w:rPr>
        <w:t>USRPHC</w:t>
      </w:r>
      <w:r>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64">
    <w:p w14:paraId="627486CD" w14:textId="0E66C6F6" w:rsidR="00F1487E" w:rsidRPr="00940EDB" w:rsidRDefault="00F1487E" w:rsidP="00862AD3">
      <w:pPr>
        <w:pStyle w:val="FootnoteText"/>
        <w:rPr>
          <w:szCs w:val="20"/>
        </w:rPr>
      </w:pPr>
      <w:r>
        <w:rPr>
          <w:rStyle w:val="FootnoteReference"/>
          <w:sz w:val="20"/>
          <w:szCs w:val="20"/>
        </w:rPr>
        <w:footnoteRef/>
      </w:r>
      <w:r>
        <w:rPr>
          <w:szCs w:val="20"/>
        </w:rPr>
        <w:tab/>
      </w:r>
      <w:r>
        <w:rPr>
          <w:b/>
          <w:bCs/>
          <w:i/>
          <w:iCs/>
          <w:szCs w:val="20"/>
        </w:rPr>
        <w:t xml:space="preserve">*Revised </w:t>
      </w:r>
      <w:r w:rsidR="00F06A8A">
        <w:rPr>
          <w:b/>
          <w:bCs/>
          <w:i/>
          <w:iCs/>
          <w:szCs w:val="20"/>
        </w:rPr>
        <w:t>October</w:t>
      </w:r>
      <w:r>
        <w:rPr>
          <w:b/>
          <w:bCs/>
          <w:i/>
          <w:iCs/>
          <w:szCs w:val="20"/>
        </w:rPr>
        <w:t xml:space="preserve"> 2025* </w:t>
      </w:r>
      <w:r>
        <w:rPr>
          <w:szCs w:val="20"/>
        </w:rPr>
        <w:t xml:space="preserve">For stock issued after July 4, 2025, Section 1202 of the Code provides for exclusion for U.S. federal income tax purposes (subject to certain limitations) from taxable income of the applicable percentage of the gains recognized on the disposition of certain stock in qualifying corporations that has been held for at least three years. The applicable percentage is 50% if such stock has been held for three years, 75% if such stock has been held four years, or 100% if such stock has been held for five years or longer. The 50% and 75% exclusions are based on a 28% capital gains rate. </w:t>
      </w:r>
      <w:r w:rsidR="00B95E29">
        <w:rPr>
          <w:szCs w:val="20"/>
        </w:rPr>
        <w:t>C</w:t>
      </w:r>
      <w:r>
        <w:rPr>
          <w:szCs w:val="20"/>
        </w:rPr>
        <w:t xml:space="preserve">ompliance with numerous other requirements during the time the investor holds the stock is needed for the investor to qualify for the benefits of Section 1202. See also QSBS covenants in NVCA model IRA. </w:t>
      </w:r>
      <w:r w:rsidR="00447436">
        <w:rPr>
          <w:szCs w:val="20"/>
        </w:rPr>
        <w:t>Note that the above-referenced $75M should be modified after 2027 to add “(as adjusted for inflation after 2026)”.</w:t>
      </w:r>
    </w:p>
  </w:footnote>
  <w:footnote w:id="65">
    <w:p w14:paraId="2B645FB5" w14:textId="102595F3" w:rsidR="00F1487E" w:rsidRPr="00940EDB" w:rsidRDefault="00F1487E" w:rsidP="00862AD3">
      <w:pPr>
        <w:pStyle w:val="FootnoteText"/>
        <w:rPr>
          <w:szCs w:val="20"/>
        </w:rPr>
      </w:pPr>
      <w:r>
        <w:rPr>
          <w:rStyle w:val="FootnoteReference"/>
          <w:sz w:val="20"/>
          <w:szCs w:val="20"/>
        </w:rPr>
        <w:footnoteRef/>
      </w:r>
      <w:r>
        <w:rPr>
          <w:szCs w:val="20"/>
        </w:rPr>
        <w:tab/>
        <w:t>The Small Business Concern representation is only necessary if one or more Purchasers is an SBIC.</w:t>
      </w:r>
    </w:p>
  </w:footnote>
  <w:footnote w:id="66">
    <w:p w14:paraId="362AA9C2" w14:textId="77777777" w:rsidR="00DE752D" w:rsidRPr="00940EDB" w:rsidRDefault="00DE752D" w:rsidP="00DE752D">
      <w:pPr>
        <w:pStyle w:val="FootnoteText"/>
        <w:rPr>
          <w:szCs w:val="20"/>
        </w:rPr>
      </w:pPr>
      <w:r>
        <w:rPr>
          <w:rStyle w:val="FootnoteReference"/>
          <w:sz w:val="20"/>
          <w:szCs w:val="20"/>
        </w:rPr>
        <w:footnoteRef/>
      </w:r>
      <w:r>
        <w:rPr>
          <w:szCs w:val="20"/>
        </w:rPr>
        <w:tab/>
        <w:t>Many early-stage companies may not have internal controls and policies in place and be unable to provide this representation. When this is the case, in lieu of a representation it might be appropriate for the Purchasers to request a post-closing covenant that the Company will put such controls in place.</w:t>
      </w:r>
    </w:p>
  </w:footnote>
  <w:footnote w:id="67">
    <w:p w14:paraId="4A4CD0AA" w14:textId="432F0C00" w:rsidR="00BF69C6" w:rsidRPr="00940EDB" w:rsidRDefault="00BF69C6" w:rsidP="00BF69C6">
      <w:pPr>
        <w:pStyle w:val="FootnoteText"/>
        <w:spacing w:after="120"/>
        <w:rPr>
          <w:szCs w:val="20"/>
        </w:rPr>
      </w:pPr>
      <w:r>
        <w:rPr>
          <w:rStyle w:val="FootnoteReference"/>
          <w:sz w:val="20"/>
          <w:szCs w:val="20"/>
        </w:rPr>
        <w:footnoteRef/>
      </w:r>
      <w:r>
        <w:rPr>
          <w:szCs w:val="20"/>
        </w:rPr>
        <w:tab/>
        <w:t xml:space="preserve">While these measures are likely required by the preceding representation, companies may not be aware that they have to take these measures in order to make the preceding rep, so it may be helpful to call out these measures specifically. </w:t>
      </w:r>
    </w:p>
  </w:footnote>
  <w:footnote w:id="68">
    <w:p w14:paraId="5654C634" w14:textId="5CD0E159" w:rsidR="00FD5C20" w:rsidRPr="00940EDB" w:rsidRDefault="00FD5C20" w:rsidP="00FD5C20">
      <w:pPr>
        <w:pStyle w:val="FootnoteText"/>
        <w:rPr>
          <w:szCs w:val="20"/>
        </w:rPr>
      </w:pPr>
      <w:r>
        <w:rPr>
          <w:rStyle w:val="FootnoteReference"/>
          <w:sz w:val="20"/>
          <w:szCs w:val="20"/>
        </w:rPr>
        <w:footnoteRef/>
      </w:r>
      <w:r>
        <w:rPr>
          <w:szCs w:val="20"/>
        </w:rPr>
        <w:tab/>
        <w:t xml:space="preserve">For companies subject to these healthcare laws, it may be appropriate to specifically make representations in regards to healthcare specific laws, even though as a technical matter the general compliance with law representation likely covers these issues. </w:t>
      </w:r>
    </w:p>
  </w:footnote>
  <w:footnote w:id="69">
    <w:p w14:paraId="46C54C41" w14:textId="193558EF" w:rsidR="0071352D" w:rsidRPr="00940EDB" w:rsidRDefault="0071352D" w:rsidP="0071352D">
      <w:pPr>
        <w:pStyle w:val="FootnoteText"/>
        <w:rPr>
          <w:szCs w:val="20"/>
        </w:rPr>
      </w:pPr>
      <w:r>
        <w:rPr>
          <w:rStyle w:val="FootnoteReference"/>
          <w:sz w:val="20"/>
          <w:szCs w:val="20"/>
        </w:rPr>
        <w:footnoteRef/>
      </w:r>
      <w:r>
        <w:rPr>
          <w:szCs w:val="20"/>
        </w:rPr>
        <w:tab/>
        <w:t xml:space="preserve">In this representation, the Company confirms that it </w:t>
      </w:r>
      <w:r w:rsidR="00DE2ADC">
        <w:rPr>
          <w:szCs w:val="20"/>
        </w:rPr>
        <w:t xml:space="preserve">(along with its subsidiaries) </w:t>
      </w:r>
      <w:r>
        <w:rPr>
          <w:szCs w:val="20"/>
        </w:rPr>
        <w:t xml:space="preserve">is not a “TID U.S. business” within the meaning of that term pursuant to the regulations of the Committee on Foreign Investment in the United States (CFIUS). Companies that are not TID U.S. businesses are (a) not subject to either of the two CFIUS </w:t>
      </w:r>
      <w:r>
        <w:rPr>
          <w:i/>
          <w:iCs/>
          <w:szCs w:val="20"/>
        </w:rPr>
        <w:t>mandatory</w:t>
      </w:r>
      <w:r>
        <w:rPr>
          <w:szCs w:val="20"/>
        </w:rPr>
        <w:t xml:space="preserve"> filing regimes and (b) not subject to CFIUS’s extended jurisdiction over non-controlling transactions. This representation does not wholly eliminate the possibility of CFIUS intervention – CFIUS has the discretionary right to </w:t>
      </w:r>
      <w:r>
        <w:rPr>
          <w:i/>
          <w:iCs/>
          <w:szCs w:val="20"/>
        </w:rPr>
        <w:t>elect</w:t>
      </w:r>
      <w:r>
        <w:rPr>
          <w:szCs w:val="20"/>
        </w:rPr>
        <w:t xml:space="preserve"> to intervene in any transaction that grants a foreign party a control stake in a U.S. business (</w:t>
      </w:r>
      <w:r>
        <w:rPr>
          <w:i/>
          <w:szCs w:val="20"/>
        </w:rPr>
        <w:t>e.g.</w:t>
      </w:r>
      <w:r>
        <w:rPr>
          <w:szCs w:val="20"/>
        </w:rPr>
        <w:t xml:space="preserve">, an investment of 10% or more, or that otherwise grants substantive rights of control) – but it should provide investors with significant comfort. Some Companies will not be able to make all parts of this representation but will be able to make part (a), the “no critical technologies” representation, which would eliminate the need to make the most common form of mandatory CFIUS filing. The final line of the representation will provide investors additional comfort that reevaluation at the time of the next capital raise is not required. Either this representation or the Purchaser representation in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below, is sufficient to show that no </w:t>
      </w:r>
      <w:r>
        <w:rPr>
          <w:i/>
          <w:iCs/>
          <w:szCs w:val="20"/>
        </w:rPr>
        <w:t>mandatory</w:t>
      </w:r>
      <w:r>
        <w:rPr>
          <w:szCs w:val="20"/>
        </w:rPr>
        <w:t xml:space="preserve"> CFIUS filing applies; accordingly, if the Company is able to make this representation, consider removing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w:t>
      </w:r>
    </w:p>
  </w:footnote>
  <w:footnote w:id="70">
    <w:p w14:paraId="4FF24BFC" w14:textId="66F8CD16" w:rsidR="00623940" w:rsidRPr="00940EDB" w:rsidRDefault="00623940" w:rsidP="00623940">
      <w:pPr>
        <w:pStyle w:val="FootnoteText"/>
        <w:rPr>
          <w:szCs w:val="20"/>
        </w:rPr>
      </w:pPr>
      <w:r>
        <w:rPr>
          <w:rStyle w:val="FootnoteReference"/>
          <w:sz w:val="20"/>
          <w:szCs w:val="20"/>
        </w:rPr>
        <w:footnoteRef/>
      </w:r>
      <w:r>
        <w:rPr>
          <w:szCs w:val="20"/>
        </w:rPr>
        <w:tab/>
        <w:t xml:space="preserve">For life science transactions, consider adding the representations and warranties in </w:t>
      </w:r>
      <w:r>
        <w:rPr>
          <w:szCs w:val="20"/>
          <w:u w:val="single"/>
        </w:rPr>
        <w:t>Sections 2.30</w:t>
      </w:r>
      <w:r>
        <w:rPr>
          <w:szCs w:val="20"/>
        </w:rPr>
        <w:t xml:space="preserve"> and </w:t>
      </w:r>
      <w:r>
        <w:rPr>
          <w:szCs w:val="20"/>
          <w:u w:val="single"/>
        </w:rPr>
        <w:t>2.31</w:t>
      </w:r>
      <w:r>
        <w:rPr>
          <w:szCs w:val="20"/>
        </w:rPr>
        <w:t xml:space="preserve">. These can be customized to development stage of the Company. </w:t>
      </w:r>
    </w:p>
  </w:footnote>
  <w:footnote w:id="71">
    <w:p w14:paraId="1D59E647" w14:textId="4DC76803" w:rsidR="00623940" w:rsidRPr="00940EDB" w:rsidRDefault="00623940" w:rsidP="00623940">
      <w:pPr>
        <w:pStyle w:val="FootnoteText"/>
        <w:rPr>
          <w:szCs w:val="20"/>
        </w:rPr>
      </w:pPr>
      <w:r>
        <w:rPr>
          <w:rStyle w:val="FootnoteReference"/>
          <w:sz w:val="20"/>
          <w:szCs w:val="20"/>
        </w:rPr>
        <w:footnoteRef/>
      </w:r>
      <w:r>
        <w:rPr>
          <w:szCs w:val="20"/>
        </w:rPr>
        <w:tab/>
        <w:t>21 CFR 312 applies to investigational new drug applications. 21 CFR 812 applies to investigational device exemption. These should be revised based on what is applicable to the Company.</w:t>
      </w:r>
    </w:p>
  </w:footnote>
  <w:footnote w:id="72">
    <w:p w14:paraId="1CE40291" w14:textId="2C33AE5C" w:rsidR="00623940" w:rsidRPr="00940EDB" w:rsidRDefault="00623940" w:rsidP="00623940">
      <w:pPr>
        <w:pStyle w:val="FootnoteText"/>
        <w:rPr>
          <w:szCs w:val="20"/>
        </w:rPr>
      </w:pPr>
      <w:r>
        <w:rPr>
          <w:rStyle w:val="FootnoteReference"/>
          <w:sz w:val="20"/>
          <w:szCs w:val="20"/>
        </w:rPr>
        <w:footnoteRef/>
      </w:r>
      <w:r>
        <w:rPr>
          <w:szCs w:val="20"/>
        </w:rPr>
        <w:tab/>
        <w:t>This should be revised depending on what is applicable to the Company.</w:t>
      </w:r>
    </w:p>
  </w:footnote>
  <w:footnote w:id="73">
    <w:p w14:paraId="0F7BACCE" w14:textId="3D5DBC81" w:rsidR="00623940" w:rsidRPr="00940EDB" w:rsidRDefault="00623940" w:rsidP="00623940">
      <w:pPr>
        <w:pStyle w:val="Heading2"/>
        <w:numPr>
          <w:ilvl w:val="0"/>
          <w:numId w:val="0"/>
        </w:numPr>
        <w:tabs>
          <w:tab w:val="left" w:pos="360"/>
        </w:tabs>
        <w:rPr>
          <w:vanish/>
          <w:sz w:val="20"/>
          <w:specVanish/>
        </w:rPr>
      </w:pPr>
      <w:r>
        <w:rPr>
          <w:rStyle w:val="FootnoteReference"/>
          <w:sz w:val="20"/>
          <w:szCs w:val="20"/>
        </w:rPr>
        <w:footnoteRef/>
      </w:r>
      <w:r>
        <w:rPr>
          <w:sz w:val="20"/>
        </w:rPr>
        <w:t xml:space="preserve"> </w:t>
      </w:r>
      <w:r>
        <w:rPr>
          <w:sz w:val="20"/>
        </w:rPr>
        <w:tab/>
        <w:t>In lieu of the more detailed representations at Sections 2.31 and 2.32, particularly for early-stage companies, a less detailed representation such as the following could be included: “</w:t>
      </w:r>
      <w:r>
        <w:rPr>
          <w:sz w:val="20"/>
          <w:u w:val="single"/>
        </w:rPr>
        <w:t>FDA Regulation</w:t>
      </w:r>
    </w:p>
    <w:p w14:paraId="03A89F8C" w14:textId="14B2C78D" w:rsidR="00623940" w:rsidRPr="00940EDB" w:rsidRDefault="00623940" w:rsidP="00623940">
      <w:pPr>
        <w:pStyle w:val="FootnoteText"/>
        <w:rPr>
          <w:szCs w:val="20"/>
        </w:rPr>
      </w:pPr>
      <w:r>
        <w:rPr>
          <w:szCs w:val="20"/>
        </w:rPr>
        <w:t>. The Company is and has been in material compliance with all applicable laws administered or issued by the U.S. Food and Drug Administration (“</w:t>
      </w:r>
      <w:r>
        <w:rPr>
          <w:b/>
          <w:szCs w:val="20"/>
        </w:rPr>
        <w:t>FDA</w:t>
      </w:r>
      <w:r>
        <w:rPr>
          <w:szCs w:val="20"/>
        </w:rPr>
        <w:t>”) or any other governmental entity or any institutional review board or comparable authority, including (without limitation) the Federal Food, Drug, and Cosmetic Act and all other applicable laws regarding developing, testing, manufacturing, complaint handling, adverse event [or medical device] reporting, marketing, distributing or promoting the products of the Company.”</w:t>
      </w:r>
    </w:p>
  </w:footnote>
  <w:footnote w:id="74">
    <w:p w14:paraId="71AA21DB" w14:textId="406276A8" w:rsidR="00633D25" w:rsidRPr="00633D25" w:rsidRDefault="00633D25">
      <w:pPr>
        <w:pStyle w:val="FootnoteText"/>
        <w:rPr>
          <w:b/>
          <w:bCs/>
          <w:i/>
          <w:iCs/>
        </w:rPr>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On July 22, 2024, OFAC released guidance clarifying that OFAC may now commence an enforcement action for civil violations of International Emergency Economic Powers Act- or Trading with Enemy Act-based sanctions prohibitions within 10 years of the latest date of the violation if such date was after April 24, 2019. The business parties can agree to a shorter period (such as five years).  The OFAC guidance is available at </w:t>
      </w:r>
      <w:hyperlink r:id="rId1" w:history="1">
        <w:r>
          <w:rPr>
            <w:rStyle w:val="Hyperlink"/>
            <w:color w:val="auto"/>
            <w:u w:val="none"/>
          </w:rPr>
          <w:t>https://ofac.treasury.gov/recent-actions/20240722</w:t>
        </w:r>
      </w:hyperlink>
      <w:r>
        <w:t>.</w:t>
      </w:r>
    </w:p>
  </w:footnote>
  <w:footnote w:id="75">
    <w:p w14:paraId="0E702008" w14:textId="4EAAB878" w:rsidR="008E3DB9" w:rsidRPr="00940EDB" w:rsidRDefault="008E3DB9" w:rsidP="008E3DB9">
      <w:pPr>
        <w:pStyle w:val="FootnoteText"/>
        <w:rPr>
          <w:szCs w:val="20"/>
        </w:rPr>
      </w:pPr>
      <w:r>
        <w:rPr>
          <w:rStyle w:val="FootnoteReference"/>
          <w:sz w:val="20"/>
          <w:szCs w:val="20"/>
        </w:rPr>
        <w:footnoteRef/>
      </w:r>
      <w:r>
        <w:rPr>
          <w:szCs w:val="20"/>
        </w:rPr>
        <w:tab/>
        <w:t>Include to the extent that these jurisdictions are or may be relevant.</w:t>
      </w:r>
    </w:p>
  </w:footnote>
  <w:footnote w:id="76">
    <w:p w14:paraId="5B125814" w14:textId="67B63501" w:rsidR="00E52D5C" w:rsidRPr="00940EDB" w:rsidRDefault="00E52D5C">
      <w:pPr>
        <w:pStyle w:val="FootnoteText"/>
        <w:rPr>
          <w:b/>
          <w:bCs/>
          <w:i/>
          <w:iCs/>
          <w:szCs w:val="20"/>
        </w:rPr>
      </w:pPr>
      <w:r>
        <w:rPr>
          <w:rStyle w:val="FootnoteReference"/>
          <w:sz w:val="20"/>
          <w:szCs w:val="20"/>
        </w:rPr>
        <w:footnoteRef/>
      </w:r>
      <w:r>
        <w:rPr>
          <w:szCs w:val="20"/>
        </w:rPr>
        <w:t xml:space="preserve"> </w:t>
      </w:r>
      <w:r>
        <w:rPr>
          <w:szCs w:val="20"/>
        </w:rPr>
        <w:tab/>
      </w:r>
      <w:bookmarkStart w:id="114" w:name="_Hlk203115014"/>
      <w:r>
        <w:rPr>
          <w:b/>
          <w:bCs/>
          <w:i/>
          <w:iCs/>
          <w:szCs w:val="20"/>
        </w:rPr>
        <w:t xml:space="preserve">*Revised </w:t>
      </w:r>
      <w:r w:rsidR="00F06A8A">
        <w:rPr>
          <w:b/>
          <w:bCs/>
          <w:i/>
          <w:iCs/>
          <w:szCs w:val="20"/>
        </w:rPr>
        <w:t>October</w:t>
      </w:r>
      <w:r>
        <w:rPr>
          <w:b/>
          <w:bCs/>
          <w:i/>
          <w:iCs/>
          <w:szCs w:val="20"/>
        </w:rPr>
        <w:t xml:space="preserve"> 2025* </w:t>
      </w:r>
      <w:bookmarkEnd w:id="114"/>
      <w:r>
        <w:rPr>
          <w:szCs w:val="20"/>
        </w:rPr>
        <w:t xml:space="preserve">Additional information regarding Restricted Countries can be found at: </w:t>
      </w:r>
      <w:hyperlink r:id="rId2" w:history="1">
        <w:r>
          <w:rPr>
            <w:rStyle w:val="Hyperlink"/>
            <w:color w:val="auto"/>
            <w:szCs w:val="20"/>
            <w:u w:val="none"/>
          </w:rPr>
          <w:t>https://ofac.treasury.gov/sanctions-programs-and-country-information</w:t>
        </w:r>
      </w:hyperlink>
      <w:r>
        <w:rPr>
          <w:szCs w:val="20"/>
        </w:rPr>
        <w:t>.</w:t>
      </w:r>
    </w:p>
  </w:footnote>
  <w:footnote w:id="77">
    <w:p w14:paraId="7E89930B" w14:textId="01888669" w:rsidR="008E3DB9" w:rsidRPr="00940EDB" w:rsidRDefault="008E3DB9" w:rsidP="008E3DB9">
      <w:pPr>
        <w:pStyle w:val="FootnoteText"/>
        <w:rPr>
          <w:szCs w:val="20"/>
        </w:rPr>
      </w:pPr>
      <w:r>
        <w:rPr>
          <w:rStyle w:val="FootnoteReference"/>
          <w:sz w:val="20"/>
          <w:szCs w:val="20"/>
        </w:rPr>
        <w:footnoteRef/>
      </w:r>
      <w:r>
        <w:rPr>
          <w:szCs w:val="20"/>
        </w:rPr>
        <w:tab/>
        <w:t>Model language is to account for the fact that some listed parties may not be fully prohibited, but rather subject to more targeted restrictions.</w:t>
      </w:r>
    </w:p>
  </w:footnote>
  <w:footnote w:id="78">
    <w:p w14:paraId="1551EA83" w14:textId="4EABA066" w:rsidR="00B46031" w:rsidRPr="00940EDB" w:rsidRDefault="00B46031" w:rsidP="00B46031">
      <w:pPr>
        <w:pStyle w:val="FootnoteText"/>
        <w:rPr>
          <w:szCs w:val="20"/>
        </w:rPr>
      </w:pPr>
      <w:r>
        <w:rPr>
          <w:rStyle w:val="FootnoteReference"/>
          <w:sz w:val="20"/>
          <w:szCs w:val="20"/>
        </w:rPr>
        <w:footnoteRef/>
      </w:r>
      <w:r>
        <w:rPr>
          <w:szCs w:val="20"/>
        </w:rPr>
        <w:tab/>
        <w:t>This should be revised depending on what is applicable to the Company.</w:t>
      </w:r>
    </w:p>
  </w:footnote>
  <w:footnote w:id="79">
    <w:p w14:paraId="029E7318" w14:textId="6D208732" w:rsidR="00B46031" w:rsidRPr="00940EDB" w:rsidRDefault="00B46031" w:rsidP="00B46031">
      <w:pPr>
        <w:pStyle w:val="FootnoteText"/>
        <w:rPr>
          <w:szCs w:val="20"/>
        </w:rPr>
      </w:pPr>
      <w:r>
        <w:rPr>
          <w:rStyle w:val="FootnoteReference"/>
          <w:sz w:val="20"/>
          <w:szCs w:val="20"/>
        </w:rPr>
        <w:footnoteRef/>
      </w:r>
      <w:r>
        <w:rPr>
          <w:szCs w:val="20"/>
        </w:rPr>
        <w:tab/>
        <w:t xml:space="preserve">In this representation, the Company confirms that, 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80">
    <w:p w14:paraId="0E36DBFC" w14:textId="4AFC43A6" w:rsidR="0011272F" w:rsidRDefault="0011272F" w:rsidP="0011272F">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rsidR="00895231">
        <w:rPr>
          <w:b/>
          <w:bCs/>
          <w:i/>
          <w:iCs/>
        </w:rPr>
        <w:t xml:space="preserve">revised from </w:t>
      </w:r>
      <w:r>
        <w:rPr>
          <w:b/>
          <w:bCs/>
          <w:i/>
          <w:iCs/>
        </w:rPr>
        <w:t>previously published separate rider]*</w:t>
      </w:r>
      <w:r>
        <w:t xml:space="preserve"> This is a model representation for use when investors in the financing are required to comply with the outbound rules to ensure the target of the investment (i.e., the Company) is not covered by the rules.  Adding </w:t>
      </w:r>
      <w:r w:rsidR="00A93792">
        <w:t>the bracketed clause (c)</w:t>
      </w:r>
      <w:r>
        <w:t xml:space="preserve"> will allow an investor to ensure the Company has examined not just itself but also all of its indirectly controlled businesses and indirect investee businesses</w:t>
      </w:r>
      <w:r w:rsidR="00A93792">
        <w:t xml:space="preserve">, which </w:t>
      </w:r>
      <w:r>
        <w:t xml:space="preserve">provides more comprehensive coverage against the investor potentially missing a filing but will also require the Company to diligence its investments more deeply. If the parties believe the investment is clearly outside the rules, they may choose to include only the first two </w:t>
      </w:r>
      <w:r w:rsidR="004F3E06">
        <w:t>clauses</w:t>
      </w:r>
      <w:r>
        <w:t xml:space="preserve"> of the representation, which will be simpler to confirm and will provide significant comfort that the rules do not apply.</w:t>
      </w:r>
    </w:p>
  </w:footnote>
  <w:footnote w:id="81">
    <w:p w14:paraId="2C93E984" w14:textId="5427896E" w:rsidR="000A3595" w:rsidRDefault="000A3595" w:rsidP="000A3595">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t xml:space="preserve"> In this representation, the Company confirms that it is not a “covered person” subject to restrictions on handling U.S. data under the new DOJ Data Security Program, often colloquially called “data export” rules.  The second sentence indicates that the Company has complied with the DSP since it took effect in April 2025. Adding the third, bracketed sentence of the representation may be appropriate when the investor believes the company likely possesses covered datasets.  The additional language will allow an investor to ensure the Company has established policies and procedures for DSP compliance, to ensure that it has addressed the (complex) compliance requirements for data holders under the DSP.</w:t>
      </w:r>
    </w:p>
  </w:footnote>
  <w:footnote w:id="82">
    <w:p w14:paraId="2EFC3AB2" w14:textId="6C2BA6EA" w:rsidR="00F1487E" w:rsidRPr="00940EDB" w:rsidRDefault="00F1487E" w:rsidP="009416CB">
      <w:pPr>
        <w:pStyle w:val="FootnoteText"/>
        <w:rPr>
          <w:szCs w:val="20"/>
        </w:rPr>
      </w:pPr>
      <w:r>
        <w:rPr>
          <w:rStyle w:val="FootnoteReference"/>
          <w:sz w:val="20"/>
          <w:szCs w:val="20"/>
        </w:rPr>
        <w:footnoteRef/>
      </w:r>
      <w:r>
        <w:rPr>
          <w:szCs w:val="20"/>
        </w:rPr>
        <w:tab/>
        <w:t>The investors’ right of recovery for a breach of this rep may be broader than under SEC Rule 10b-5, because in order to prevail in a Rule 10b-5 securities fraud action, the purchaser must establish that the seller acted with scienter. That is, a purely innocent misrepresentation normally does not give rise to civil liability under 10b-5.</w:t>
      </w:r>
    </w:p>
  </w:footnote>
  <w:footnote w:id="83">
    <w:p w14:paraId="1D647F2E" w14:textId="21430EEC" w:rsidR="00F1487E" w:rsidRPr="00940EDB" w:rsidRDefault="00F1487E" w:rsidP="00862AD3">
      <w:pPr>
        <w:pStyle w:val="FootnoteText"/>
        <w:rPr>
          <w:szCs w:val="20"/>
        </w:rPr>
      </w:pPr>
      <w:r>
        <w:rPr>
          <w:rStyle w:val="FootnoteReference"/>
          <w:sz w:val="20"/>
          <w:szCs w:val="20"/>
        </w:rPr>
        <w:footnoteRef/>
      </w:r>
      <w:r>
        <w:rPr>
          <w:szCs w:val="20"/>
        </w:rPr>
        <w:tab/>
        <w:t xml:space="preserve">The main purpose of the Purchasers’ representations and warranties in </w:t>
      </w:r>
      <w:r>
        <w:rPr>
          <w:szCs w:val="20"/>
          <w:u w:val="single"/>
        </w:rPr>
        <w:t xml:space="preserve">Section </w:t>
      </w:r>
      <w:r>
        <w:rPr>
          <w:szCs w:val="20"/>
          <w:u w:val="single"/>
        </w:rPr>
        <w:fldChar w:fldCharType="begin"/>
      </w:r>
      <w:r>
        <w:rPr>
          <w:szCs w:val="20"/>
          <w:u w:val="single"/>
        </w:rPr>
        <w:instrText xml:space="preserve"> REF _Ref_ContractCompanion_9kb9Ur04E \w \n \h \t \* MERGEFORMAT </w:instrText>
      </w:r>
      <w:r>
        <w:rPr>
          <w:szCs w:val="20"/>
          <w:u w:val="single"/>
        </w:rPr>
      </w:r>
      <w:r>
        <w:rPr>
          <w:szCs w:val="20"/>
          <w:u w:val="single"/>
        </w:rPr>
        <w:fldChar w:fldCharType="separate"/>
      </w:r>
      <w:r>
        <w:rPr>
          <w:szCs w:val="20"/>
          <w:u w:val="single"/>
        </w:rPr>
        <w:t>3</w:t>
      </w:r>
      <w:r>
        <w:rPr>
          <w:szCs w:val="20"/>
          <w:u w:val="single"/>
        </w:rPr>
        <w:fldChar w:fldCharType="end"/>
      </w:r>
      <w:r>
        <w:rPr>
          <w:szCs w:val="20"/>
        </w:rPr>
        <w:t xml:space="preserve"> are to ensure that the investors meet the criteria for private placement exceptions under applicable state and federal securities laws.</w:t>
      </w:r>
    </w:p>
  </w:footnote>
  <w:footnote w:id="84">
    <w:p w14:paraId="336FCA40" w14:textId="53FA863E" w:rsidR="00F1487E" w:rsidRPr="00940EDB" w:rsidRDefault="00F1487E" w:rsidP="00862AD3">
      <w:pPr>
        <w:pStyle w:val="FootnoteText"/>
        <w:rPr>
          <w:szCs w:val="20"/>
        </w:rPr>
      </w:pPr>
      <w:r>
        <w:rPr>
          <w:rStyle w:val="FootnoteReference"/>
          <w:sz w:val="20"/>
          <w:szCs w:val="20"/>
        </w:rPr>
        <w:footnoteRef/>
      </w:r>
      <w:r>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the language of this provision can be tailored to carve out that special entity.</w:t>
      </w:r>
    </w:p>
  </w:footnote>
  <w:footnote w:id="85">
    <w:p w14:paraId="62AEB81D" w14:textId="77777777" w:rsidR="00F1487E" w:rsidRPr="00940EDB" w:rsidRDefault="00F1487E" w:rsidP="00862AD3">
      <w:pPr>
        <w:pStyle w:val="FootnoteText"/>
        <w:rPr>
          <w:szCs w:val="20"/>
        </w:rPr>
      </w:pPr>
      <w:r>
        <w:rPr>
          <w:rStyle w:val="FootnoteReference"/>
          <w:sz w:val="20"/>
          <w:szCs w:val="20"/>
        </w:rPr>
        <w:footnoteRef/>
      </w:r>
      <w:r>
        <w:rPr>
          <w:szCs w:val="20"/>
        </w:rPr>
        <w:tab/>
        <w:t>Include the bracketed language if the private placement exemption is based on the safe harbor in Rule 155(c) under the Securities Act for private offerings following an abandoned public offering.</w:t>
      </w:r>
    </w:p>
  </w:footnote>
  <w:footnote w:id="86">
    <w:p w14:paraId="3150266C" w14:textId="77777777" w:rsidR="00E86025" w:rsidRPr="00940EDB" w:rsidRDefault="00E86025" w:rsidP="00E86025">
      <w:pPr>
        <w:pStyle w:val="FootnoteText"/>
        <w:rPr>
          <w:szCs w:val="20"/>
        </w:rPr>
      </w:pPr>
      <w:r>
        <w:rPr>
          <w:rStyle w:val="FootnoteReference"/>
          <w:sz w:val="20"/>
          <w:szCs w:val="20"/>
        </w:rPr>
        <w:footnoteRef/>
      </w:r>
      <w:r>
        <w:rPr>
          <w:szCs w:val="20"/>
        </w:rPr>
        <w:tab/>
        <w:t xml:space="preserve">If the Company cannot make the representation in Section </w:t>
      </w:r>
      <w:r>
        <w:rPr>
          <w:szCs w:val="20"/>
          <w:highlight w:val="cyan"/>
        </w:rPr>
        <w:fldChar w:fldCharType="begin"/>
      </w:r>
      <w:r>
        <w:rPr>
          <w:szCs w:val="20"/>
        </w:rPr>
        <w:instrText xml:space="preserve"> REF _Ref175117049 \w \h </w:instrText>
      </w:r>
      <w:r>
        <w:rPr>
          <w:szCs w:val="20"/>
          <w:highlight w:val="cyan"/>
        </w:rPr>
        <w:instrText xml:space="preserve"> \* MERGEFORMAT </w:instrText>
      </w:r>
      <w:r>
        <w:rPr>
          <w:szCs w:val="20"/>
          <w:highlight w:val="cyan"/>
        </w:rPr>
      </w:r>
      <w:r>
        <w:rPr>
          <w:szCs w:val="20"/>
          <w:highlight w:val="cyan"/>
        </w:rPr>
        <w:fldChar w:fldCharType="separate"/>
      </w:r>
      <w:r>
        <w:rPr>
          <w:szCs w:val="20"/>
        </w:rPr>
        <w:t>2.29</w:t>
      </w:r>
      <w:r>
        <w:rPr>
          <w:szCs w:val="20"/>
          <w:highlight w:val="cyan"/>
        </w:rPr>
        <w:fldChar w:fldCharType="end"/>
      </w:r>
      <w:r>
        <w:rPr>
          <w:szCs w:val="20"/>
        </w:rPr>
        <w:t xml:space="preserve">, the Company may desire to make this representation so each the Purchaser confirms that it (x) is not a “foreign person” within the meaning of that term pursuant to the regulations of the Committee on Foreign Investment in the United States (CFIUS), and (y) does not permit a foreign person to obtain CFIUS triggering rights by virtue of its investment. If the Company cannot make the representation in </w:t>
      </w:r>
      <w:r w:rsidRPr="00D21F72">
        <w:rPr>
          <w:szCs w:val="20"/>
          <w:u w:val="single"/>
        </w:rPr>
        <w:t xml:space="preserve">Section </w:t>
      </w:r>
      <w:r w:rsidRPr="00D21F72">
        <w:rPr>
          <w:szCs w:val="20"/>
          <w:highlight w:val="cyan"/>
          <w:u w:val="single"/>
        </w:rPr>
        <w:fldChar w:fldCharType="begin"/>
      </w:r>
      <w:r w:rsidRPr="00D21F72">
        <w:rPr>
          <w:szCs w:val="20"/>
          <w:u w:val="single"/>
        </w:rPr>
        <w:instrText xml:space="preserve"> REF _Ref175117049 \w \h </w:instrText>
      </w:r>
      <w:r w:rsidRPr="00D21F72">
        <w:rPr>
          <w:szCs w:val="20"/>
          <w:highlight w:val="cyan"/>
          <w:u w:val="single"/>
        </w:rPr>
        <w:instrText xml:space="preserve"> \* MERGEFORMAT </w:instrText>
      </w:r>
      <w:r w:rsidRPr="00D21F72">
        <w:rPr>
          <w:szCs w:val="20"/>
          <w:highlight w:val="cyan"/>
          <w:u w:val="single"/>
        </w:rPr>
      </w:r>
      <w:r w:rsidRPr="00D21F72">
        <w:rPr>
          <w:szCs w:val="20"/>
          <w:highlight w:val="cyan"/>
          <w:u w:val="single"/>
        </w:rPr>
        <w:fldChar w:fldCharType="separate"/>
      </w:r>
      <w:r w:rsidRPr="00D21F72">
        <w:rPr>
          <w:szCs w:val="20"/>
          <w:u w:val="single"/>
        </w:rPr>
        <w:t>2.29</w:t>
      </w:r>
      <w:r w:rsidRPr="00D21F72">
        <w:rPr>
          <w:szCs w:val="20"/>
          <w:highlight w:val="cyan"/>
          <w:u w:val="single"/>
        </w:rPr>
        <w:fldChar w:fldCharType="end"/>
      </w:r>
      <w:r>
        <w:rPr>
          <w:szCs w:val="20"/>
        </w:rPr>
        <w:t xml:space="preserve">, and one or more Purchasers is a “foreign person” for CFIUS purposes and permits a foreign person to obtain CFIUS triggering rights by virtue of its investment, the transaction may be subject to CFIUS review in either its </w:t>
      </w:r>
      <w:r>
        <w:rPr>
          <w:szCs w:val="20"/>
          <w:u w:val="single"/>
        </w:rPr>
        <w:t>mandatory or elective</w:t>
      </w:r>
      <w:r>
        <w:rPr>
          <w:szCs w:val="20"/>
        </w:rPr>
        <w:t xml:space="preserve"> forms. Either this representation or the Company representation in </w:t>
      </w:r>
      <w:r>
        <w:rPr>
          <w:szCs w:val="20"/>
          <w:u w:val="single"/>
        </w:rPr>
        <w:t xml:space="preserve">Section </w:t>
      </w:r>
      <w:r>
        <w:rPr>
          <w:szCs w:val="20"/>
          <w:u w:val="single"/>
        </w:rPr>
        <w:fldChar w:fldCharType="begin"/>
      </w:r>
      <w:r>
        <w:rPr>
          <w:szCs w:val="20"/>
          <w:u w:val="single"/>
        </w:rPr>
        <w:instrText xml:space="preserve"> REF _Ref175117049 \w \h  \* MERGEFORMAT </w:instrText>
      </w:r>
      <w:r>
        <w:rPr>
          <w:szCs w:val="20"/>
          <w:u w:val="single"/>
        </w:rPr>
      </w:r>
      <w:r>
        <w:rPr>
          <w:szCs w:val="20"/>
          <w:u w:val="single"/>
        </w:rPr>
        <w:fldChar w:fldCharType="separate"/>
      </w:r>
      <w:r>
        <w:rPr>
          <w:szCs w:val="20"/>
          <w:u w:val="single"/>
        </w:rPr>
        <w:t>2.29</w:t>
      </w:r>
      <w:r>
        <w:rPr>
          <w:szCs w:val="20"/>
          <w:u w:val="single"/>
        </w:rPr>
        <w:fldChar w:fldCharType="end"/>
      </w:r>
      <w:r>
        <w:rPr>
          <w:szCs w:val="20"/>
        </w:rPr>
        <w:t xml:space="preserve">, above, is sufficient to show that no </w:t>
      </w:r>
      <w:r>
        <w:rPr>
          <w:szCs w:val="20"/>
          <w:u w:val="single"/>
        </w:rPr>
        <w:t>mandatory</w:t>
      </w:r>
      <w:r>
        <w:rPr>
          <w:szCs w:val="20"/>
        </w:rPr>
        <w:t xml:space="preserve"> CFIUS filing applies.</w:t>
      </w:r>
    </w:p>
  </w:footnote>
  <w:footnote w:id="87">
    <w:p w14:paraId="1D7ADFED" w14:textId="4D44523E" w:rsidR="00780C07" w:rsidRDefault="00B73BE1" w:rsidP="00B73BE1">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[and revised from version previously published as a separate rider]*</w:t>
      </w:r>
      <w:r>
        <w:t xml:space="preserve"> This representation helps companies (and their stakeholders) confirm the percentage of capitalization that is deemed to be controlled by “</w:t>
      </w:r>
      <w:r>
        <w:rPr>
          <w:szCs w:val="20"/>
        </w:rPr>
        <w:t xml:space="preserve">persons of a country of concern”. In the limited set of cases where the Company is unclear on its status under the Outbound Investment Rules, the Company may may request the </w:t>
      </w:r>
      <w:r w:rsidR="00C908D5">
        <w:rPr>
          <w:szCs w:val="20"/>
        </w:rPr>
        <w:t>following representation</w:t>
      </w:r>
      <w:r>
        <w:rPr>
          <w:szCs w:val="20"/>
        </w:rPr>
        <w:t xml:space="preserve"> to ensure a particular set of purchasers’ investments is not subject to the Outbound Investment Rules regardless of the Company’s own status</w:t>
      </w:r>
      <w:r w:rsidR="00C908D5">
        <w:rPr>
          <w:szCs w:val="20"/>
        </w:rPr>
        <w:t>: “</w:t>
      </w:r>
      <w:r w:rsidR="00B969D1">
        <w:t>Except as otherwise disclosed in writing to the Company, the Purchaser is neither: (i) a “U.S. person” nor (ii) a “controlled foreign entity,” as these terms are defined in the Outbound Investment Rules.</w:t>
      </w:r>
      <w:r w:rsidR="00C908D5">
        <w:t>”</w:t>
      </w:r>
    </w:p>
  </w:footnote>
  <w:footnote w:id="88">
    <w:p w14:paraId="6DA307B3" w14:textId="05BA6B4E" w:rsidR="00A25836" w:rsidRDefault="00A25836" w:rsidP="00A25836">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w:t>
      </w:r>
      <w:r>
        <w:t xml:space="preserve"> This representation ensures that this SPA does not constitute an “investment agreement” under the DSP that potentially gives rise to Company obligations to institute stringent security controls under the DSP.  If an individual investor is in fact a “covered person” under the DSP and cannot provide this representation, the Company may be obligated to establish security controls unless the investment can be made a “passive investment” within the meaning of the DSP rules or the Company can demonstrate that it is not a U.S. person subject to the rules or does not have access to data subject to the rules</w:t>
      </w:r>
      <w:r>
        <w:rPr>
          <w:szCs w:val="20"/>
        </w:rPr>
        <w:t>.</w:t>
      </w:r>
    </w:p>
  </w:footnote>
  <w:footnote w:id="89">
    <w:p w14:paraId="4C2E08A3" w14:textId="3E51DC0C" w:rsidR="00F1487E" w:rsidRPr="00940EDB" w:rsidRDefault="00F1487E" w:rsidP="00862AD3">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Pr>
          <w:szCs w:val="20"/>
        </w:rPr>
        <w:t xml:space="preserve"> contains the conditions which the Company must satisfy (or which must be waived) prior to closing in order to trigger the investors’ obligation to purchase the shares; </w:t>
      </w:r>
      <w:r>
        <w:rPr>
          <w:szCs w:val="20"/>
          <w:u w:val="single"/>
        </w:rPr>
        <w:t xml:space="preserve">Section </w:t>
      </w:r>
      <w:r>
        <w:rPr>
          <w:szCs w:val="20"/>
          <w:u w:val="single"/>
        </w:rPr>
        <w:fldChar w:fldCharType="begin"/>
      </w:r>
      <w:r>
        <w:rPr>
          <w:szCs w:val="20"/>
          <w:u w:val="single"/>
        </w:rPr>
        <w:instrText xml:space="preserve"> REF _Ref_ContractCompanion_9kb9Ur068 \w \n \h \t \* MERGEFORMAT </w:instrText>
      </w:r>
      <w:r>
        <w:rPr>
          <w:szCs w:val="20"/>
          <w:u w:val="single"/>
        </w:rPr>
      </w:r>
      <w:r>
        <w:rPr>
          <w:szCs w:val="20"/>
          <w:u w:val="single"/>
        </w:rPr>
        <w:fldChar w:fldCharType="separate"/>
      </w:r>
      <w:r>
        <w:rPr>
          <w:szCs w:val="20"/>
          <w:u w:val="single"/>
        </w:rPr>
        <w:t>5</w:t>
      </w:r>
      <w:r>
        <w:rPr>
          <w:szCs w:val="20"/>
          <w:u w:val="single"/>
        </w:rPr>
        <w:fldChar w:fldCharType="end"/>
      </w:r>
      <w:r>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the Agreement contemplates multiple closings (</w:t>
      </w:r>
      <w:r>
        <w:rPr>
          <w:i/>
          <w:szCs w:val="20"/>
        </w:rPr>
        <w:t>e.g.</w:t>
      </w:r>
      <w:r>
        <w:rPr>
          <w:szCs w:val="20"/>
        </w:rPr>
        <w:t xml:space="preserve">, milestone closings), attention should be given to determining what conditions must be satisfied in order to trigger the investors’ obligations to purchase shares at subsequent closings, it may be appropriate to include a separate, more limited set of closing conditions for those subsequent closings. If the transaction is structured as a simultaneous signing and closing, the closing conditions serve as a convenient closing checklist, but are significantly diminished in importance. </w:t>
      </w:r>
    </w:p>
  </w:footnote>
  <w:footnote w:id="90">
    <w:p w14:paraId="55F72FE4" w14:textId="6880CD3A" w:rsidR="006E702B" w:rsidRDefault="006E702B">
      <w:pPr>
        <w:pStyle w:val="FootnoteText"/>
      </w:pPr>
      <w:r>
        <w:rPr>
          <w:rStyle w:val="FootnoteReference"/>
        </w:rPr>
        <w:footnoteRef/>
      </w:r>
      <w:r>
        <w:t xml:space="preserve"> </w:t>
      </w:r>
      <w:r>
        <w:tab/>
      </w:r>
      <w:r w:rsidR="00DC7FFE">
        <w:rPr>
          <w:b/>
          <w:bCs/>
          <w:i/>
          <w:iCs/>
        </w:rPr>
        <w:t xml:space="preserve">*New October 2025* </w:t>
      </w:r>
      <w:r>
        <w:t>Revise as appropriate for any tranche closings (for example, if the milestone is met, it may not be appropriate to revisit the reps but an alternative may be considering an MAE condition).</w:t>
      </w:r>
    </w:p>
  </w:footnote>
  <w:footnote w:id="91">
    <w:p w14:paraId="1D0E2EFB" w14:textId="30119B28" w:rsidR="00F1487E" w:rsidRPr="00940EDB" w:rsidRDefault="00F1487E" w:rsidP="00B22F98">
      <w:pPr>
        <w:pStyle w:val="FootnoteText"/>
        <w:rPr>
          <w:bCs/>
          <w:iCs/>
          <w:szCs w:val="20"/>
        </w:rPr>
      </w:pPr>
      <w:r>
        <w:rPr>
          <w:rStyle w:val="FootnoteReference"/>
          <w:sz w:val="20"/>
          <w:szCs w:val="20"/>
        </w:rPr>
        <w:footnoteRef/>
      </w:r>
      <w:r>
        <w:rPr>
          <w:szCs w:val="20"/>
        </w:rPr>
        <w:tab/>
        <w:t>Opinions can be expensive and time consuming; particularly for early-stage deals, and as a result the parties might agree to forego a legal opinion (or to exclude certain burdensome opinions, such as to capitalization) as a condition precedent.</w:t>
      </w:r>
    </w:p>
  </w:footnote>
  <w:footnote w:id="92">
    <w:p w14:paraId="6FBA749A" w14:textId="25752F57" w:rsidR="00025BAF" w:rsidRPr="00940EDB" w:rsidRDefault="00025BAF">
      <w:pPr>
        <w:pStyle w:val="FootnoteText"/>
        <w:rPr>
          <w:szCs w:val="20"/>
        </w:rPr>
      </w:pPr>
      <w:r>
        <w:rPr>
          <w:rStyle w:val="FootnoteReference"/>
          <w:sz w:val="20"/>
          <w:szCs w:val="20"/>
        </w:rPr>
        <w:footnoteRef/>
      </w:r>
      <w:r>
        <w:rPr>
          <w:szCs w:val="20"/>
        </w:rPr>
        <w:tab/>
      </w:r>
      <w:r>
        <w:rPr>
          <w:b/>
          <w:bCs/>
          <w:szCs w:val="20"/>
        </w:rPr>
        <w:t xml:space="preserve"> </w:t>
      </w:r>
      <w:r>
        <w:rPr>
          <w:szCs w:val="20"/>
        </w:rPr>
        <w:t>If there are no changes to the Board composition as part of the transaction, it may not be necessary to list this closing condition.</w:t>
      </w:r>
    </w:p>
  </w:footnote>
  <w:footnote w:id="93">
    <w:p w14:paraId="442D1DE3" w14:textId="41782177" w:rsidR="00F1487E" w:rsidRPr="00940EDB" w:rsidRDefault="00F1487E" w:rsidP="00862AD3">
      <w:pPr>
        <w:pStyle w:val="FootnoteText"/>
        <w:rPr>
          <w:szCs w:val="20"/>
        </w:rPr>
      </w:pPr>
      <w:r>
        <w:rPr>
          <w:rStyle w:val="FootnoteReference"/>
          <w:sz w:val="20"/>
          <w:szCs w:val="20"/>
        </w:rPr>
        <w:footnoteRef/>
      </w:r>
      <w:r>
        <w:rPr>
          <w:szCs w:val="20"/>
        </w:rPr>
        <w:tab/>
        <w:t>Sometimes a minimum aggregate investment amount is required for any Purchaser to close; it is typically simplest to express that as a number of Shares must be sold at the Initial Closing (though, in a simultaneous sign and close this is generally of limited utility).</w:t>
      </w:r>
    </w:p>
  </w:footnote>
  <w:footnote w:id="94">
    <w:p w14:paraId="11E06AFA" w14:textId="77777777" w:rsidR="00F1487E" w:rsidRPr="00940EDB" w:rsidRDefault="00F1487E" w:rsidP="00862AD3">
      <w:pPr>
        <w:pStyle w:val="FootnoteText"/>
        <w:rPr>
          <w:szCs w:val="20"/>
        </w:rPr>
      </w:pPr>
      <w:r>
        <w:rPr>
          <w:rStyle w:val="FootnoteReference"/>
          <w:sz w:val="20"/>
          <w:szCs w:val="20"/>
        </w:rPr>
        <w:footnoteRef/>
      </w:r>
      <w:r>
        <w:rPr>
          <w:szCs w:val="20"/>
        </w:rPr>
        <w:tab/>
        <w:t>See explanatory commentary in introduction to model Management Rights Letter.</w:t>
      </w:r>
    </w:p>
  </w:footnote>
  <w:footnote w:id="95">
    <w:p w14:paraId="6974C6AB" w14:textId="33AACA53" w:rsidR="00F1487E" w:rsidRPr="00940EDB" w:rsidRDefault="00F1487E" w:rsidP="00862AD3">
      <w:pPr>
        <w:pStyle w:val="FootnoteText"/>
        <w:rPr>
          <w:szCs w:val="20"/>
        </w:rPr>
      </w:pPr>
      <w:r>
        <w:rPr>
          <w:rStyle w:val="FootnoteReference"/>
          <w:sz w:val="20"/>
          <w:szCs w:val="20"/>
        </w:rPr>
        <w:footnoteRef/>
      </w:r>
      <w:r>
        <w:rPr>
          <w:szCs w:val="20"/>
        </w:rPr>
        <w:tab/>
        <w:t>Sometimes, although rarely, a limited survival period is negotiated.</w:t>
      </w:r>
    </w:p>
  </w:footnote>
  <w:footnote w:id="96">
    <w:p w14:paraId="506EF584" w14:textId="14DB20FB" w:rsidR="001415FC" w:rsidRDefault="001415FC" w:rsidP="001415FC">
      <w:pPr>
        <w:pStyle w:val="FootnoteText"/>
      </w:pPr>
      <w:r>
        <w:rPr>
          <w:rStyle w:val="FootnoteReference"/>
        </w:rPr>
        <w:footnoteRef/>
      </w:r>
      <w:r>
        <w:tab/>
      </w:r>
      <w:r>
        <w:rPr>
          <w:b/>
          <w:bCs/>
          <w:i/>
          <w:iCs/>
        </w:rPr>
        <w:t>*</w:t>
      </w:r>
      <w:r w:rsidR="00DC7FFE">
        <w:rPr>
          <w:b/>
          <w:bCs/>
          <w:i/>
          <w:iCs/>
        </w:rPr>
        <w:t>New</w:t>
      </w:r>
      <w:r>
        <w:rPr>
          <w:b/>
          <w:bCs/>
          <w:i/>
          <w:iCs/>
        </w:rPr>
        <w:t xml:space="preserve"> </w:t>
      </w:r>
      <w:r w:rsidR="00F06A8A">
        <w:rPr>
          <w:b/>
          <w:bCs/>
          <w:i/>
          <w:iCs/>
        </w:rPr>
        <w:t>October</w:t>
      </w:r>
      <w:r>
        <w:rPr>
          <w:b/>
          <w:bCs/>
          <w:i/>
          <w:iCs/>
        </w:rPr>
        <w:t xml:space="preserve"> 2025* </w:t>
      </w:r>
      <w:r>
        <w:t>All model documents have been drafted with an eye towards enforceability under Delaware law.  If the parties elect to use a different governing law, consult with local counsel to determine whether other changes to the documents are required, including (for example) whether such law imposes any particular requirements, such as special legends or other notices, in order to make restrictions on transfer of shares effective.</w:t>
      </w:r>
    </w:p>
  </w:footnote>
  <w:footnote w:id="97">
    <w:p w14:paraId="3E99F509" w14:textId="05CFC3F0" w:rsidR="00AD18E5" w:rsidRPr="00940EDB" w:rsidRDefault="00AD18E5" w:rsidP="00AD18E5">
      <w:pPr>
        <w:pStyle w:val="FootnoteText"/>
        <w:rPr>
          <w:szCs w:val="20"/>
        </w:rPr>
      </w:pPr>
      <w:r>
        <w:rPr>
          <w:rStyle w:val="FootnoteReference"/>
          <w:sz w:val="20"/>
          <w:szCs w:val="20"/>
        </w:rPr>
        <w:footnoteRef/>
      </w:r>
      <w:r>
        <w:rPr>
          <w:szCs w:val="20"/>
        </w:rPr>
        <w:tab/>
        <w:t>This model agreement provides that any cc to counsel be set forth on the Schedule of Purchasers/</w:t>
      </w:r>
      <w:r>
        <w:rPr>
          <w:szCs w:val="20"/>
          <w:u w:val="single"/>
        </w:rPr>
        <w:t>Exhibit A</w:t>
      </w:r>
      <w:r>
        <w:rPr>
          <w:szCs w:val="20"/>
        </w:rPr>
        <w:t xml:space="preserve"> – this way in future rounds, the cc is not simply replaced with the new round’s lead investor’s counsel.</w:t>
      </w:r>
    </w:p>
  </w:footnote>
  <w:footnote w:id="98">
    <w:p w14:paraId="27A24076" w14:textId="45C9EA92" w:rsidR="00F1487E" w:rsidRPr="00940EDB" w:rsidRDefault="00F1487E" w:rsidP="00862AD3">
      <w:pPr>
        <w:pStyle w:val="FootnoteText"/>
        <w:rPr>
          <w:szCs w:val="20"/>
        </w:rPr>
      </w:pPr>
      <w:r>
        <w:rPr>
          <w:rStyle w:val="FootnoteReference"/>
          <w:sz w:val="20"/>
          <w:szCs w:val="20"/>
        </w:rPr>
        <w:footnoteRef/>
      </w:r>
      <w:r>
        <w:rPr>
          <w:szCs w:val="20"/>
        </w:rPr>
        <w:tab/>
        <w:t>Typically, only the fees of the lead Purchaser are reimbursed by the Company. If other Purchasers have separate counsel and the Company has agreed to reimburse the fees, this provision will need to be tailored accordingly.</w:t>
      </w:r>
    </w:p>
  </w:footnote>
  <w:footnote w:id="99">
    <w:p w14:paraId="6A2936A0" w14:textId="77777777" w:rsidR="00AB0D4E" w:rsidRPr="00940EDB" w:rsidRDefault="00AB0D4E" w:rsidP="00AB0D4E">
      <w:pPr>
        <w:pStyle w:val="FootnoteText"/>
        <w:rPr>
          <w:szCs w:val="20"/>
        </w:rPr>
      </w:pPr>
      <w:r>
        <w:rPr>
          <w:rStyle w:val="FootnoteReference"/>
          <w:sz w:val="20"/>
          <w:szCs w:val="20"/>
        </w:rPr>
        <w:footnoteRef/>
      </w:r>
      <w:r>
        <w:rPr>
          <w:szCs w:val="20"/>
        </w:rPr>
        <w:tab/>
        <w:t>This clause is only necessary where the transaction is structured to be signed in advance of, and not simultaneously with, the Initial Closing. As discussed above, most transactions are simultaneously signed and closed.</w:t>
      </w:r>
    </w:p>
  </w:footnote>
  <w:footnote w:id="100">
    <w:p w14:paraId="249FDCA6" w14:textId="1ADCA14F" w:rsidR="00DC720C" w:rsidRPr="00940EDB" w:rsidRDefault="00DC720C" w:rsidP="00DC720C">
      <w:pPr>
        <w:pStyle w:val="FootnoteText"/>
        <w:rPr>
          <w:szCs w:val="20"/>
        </w:rPr>
      </w:pPr>
      <w:r>
        <w:rPr>
          <w:rStyle w:val="FootnoteReference"/>
          <w:sz w:val="20"/>
          <w:szCs w:val="20"/>
        </w:rPr>
        <w:footnoteRef/>
      </w:r>
      <w:r>
        <w:rPr>
          <w:szCs w:val="20"/>
        </w:rPr>
        <w:tab/>
      </w:r>
      <w:r>
        <w:rPr>
          <w:szCs w:val="20"/>
          <w:u w:val="single"/>
        </w:rPr>
        <w:t>Section </w:t>
      </w:r>
      <w:r>
        <w:rPr>
          <w:szCs w:val="20"/>
          <w:u w:val="single"/>
        </w:rPr>
        <w:fldChar w:fldCharType="begin"/>
      </w:r>
      <w:r>
        <w:rPr>
          <w:szCs w:val="20"/>
          <w:u w:val="single"/>
        </w:rPr>
        <w:instrText xml:space="preserve"> REF _Ref_ContractCompanion_9kb9Ur08A \n \h \t \* MERGEFORMAT </w:instrText>
      </w:r>
      <w:r>
        <w:rPr>
          <w:szCs w:val="20"/>
          <w:u w:val="single"/>
        </w:rPr>
      </w:r>
      <w:r>
        <w:rPr>
          <w:szCs w:val="20"/>
          <w:u w:val="single"/>
        </w:rPr>
        <w:fldChar w:fldCharType="separate"/>
      </w:r>
      <w:r>
        <w:rPr>
          <w:szCs w:val="20"/>
          <w:u w:val="single"/>
        </w:rPr>
        <w:t>6.14</w:t>
      </w:r>
      <w:r>
        <w:rPr>
          <w:szCs w:val="20"/>
          <w:u w:val="single"/>
        </w:rPr>
        <w:fldChar w:fldCharType="end"/>
      </w:r>
      <w:r>
        <w:rPr>
          <w:szCs w:val="20"/>
        </w:rPr>
        <w:t xml:space="preserve"> is to be used for transactions governed by California law that are not relying on NSMIA for a state securities law exemption. Please note the title of the California Commissioner of Corporations changed to the Commissioner of Financial Protection and Innovation in 2020.</w:t>
      </w:r>
    </w:p>
  </w:footnote>
  <w:footnote w:id="101">
    <w:p w14:paraId="15C9FB66" w14:textId="2322F48D" w:rsidR="00997072" w:rsidRPr="00940EDB" w:rsidRDefault="00997072">
      <w:pPr>
        <w:pStyle w:val="FootnoteText"/>
        <w:rPr>
          <w:szCs w:val="20"/>
        </w:rPr>
      </w:pPr>
      <w:r>
        <w:rPr>
          <w:rStyle w:val="FootnoteReference"/>
          <w:sz w:val="20"/>
          <w:szCs w:val="20"/>
        </w:rPr>
        <w:footnoteRef/>
      </w:r>
      <w:r>
        <w:rPr>
          <w:szCs w:val="20"/>
        </w:rPr>
        <w:tab/>
        <w:t>Some parties prefer to use the American Arbitration Association (“</w:t>
      </w:r>
      <w:r>
        <w:rPr>
          <w:b/>
          <w:bCs/>
          <w:szCs w:val="20"/>
        </w:rPr>
        <w:t>AAA</w:t>
      </w:r>
      <w:r>
        <w:rPr>
          <w:szCs w:val="20"/>
        </w:rPr>
        <w:t>”) instead of JAMS.</w:t>
      </w:r>
    </w:p>
  </w:footnote>
  <w:footnote w:id="102">
    <w:p w14:paraId="1A968BAD" w14:textId="77777777" w:rsidR="00A11339" w:rsidRPr="00940EDB" w:rsidRDefault="00A11339" w:rsidP="00A11339">
      <w:pPr>
        <w:pStyle w:val="FootnoteText"/>
        <w:rPr>
          <w:szCs w:val="20"/>
        </w:rPr>
      </w:pPr>
      <w:r>
        <w:rPr>
          <w:rStyle w:val="FootnoteReference"/>
          <w:sz w:val="20"/>
          <w:szCs w:val="20"/>
        </w:rPr>
        <w:footnoteRef/>
      </w:r>
      <w:r>
        <w:rPr>
          <w:szCs w:val="20"/>
        </w:rPr>
        <w:tab/>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103">
    <w:p w14:paraId="0CF6BAF4" w14:textId="31F88DC8" w:rsidR="009C72A1" w:rsidRPr="00940EDB" w:rsidRDefault="009C72A1" w:rsidP="009C72A1">
      <w:pPr>
        <w:pStyle w:val="FootnoteText"/>
        <w:rPr>
          <w:szCs w:val="20"/>
        </w:rPr>
      </w:pPr>
      <w:r>
        <w:rPr>
          <w:rStyle w:val="FootnoteReference"/>
          <w:sz w:val="20"/>
          <w:szCs w:val="20"/>
        </w:rPr>
        <w:footnoteRef/>
      </w:r>
      <w:r>
        <w:rPr>
          <w:szCs w:val="20"/>
        </w:rPr>
        <w:tab/>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706ECA46" w14:textId="49E1864E" w:rsidR="009C72A1" w:rsidRPr="00940EDB" w:rsidRDefault="009C72A1" w:rsidP="009C72A1">
      <w:pPr>
        <w:pStyle w:val="FootnoteText"/>
        <w:ind w:left="720"/>
        <w:rPr>
          <w:szCs w:val="20"/>
        </w:rPr>
      </w:pPr>
      <w:r>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szCs w:val="20"/>
        </w:rPr>
        <w:t>et seq.</w:t>
      </w:r>
      <w:r>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Pr>
          <w:szCs w:val="20"/>
        </w:rPr>
        <w:noBreakHyphen/>
        <w:t>judgment remedies under applicable law.</w:t>
      </w:r>
    </w:p>
  </w:footnote>
  <w:footnote w:id="104">
    <w:p w14:paraId="11D9B382" w14:textId="305D7AA3" w:rsidR="00F85A17" w:rsidRPr="00940EDB" w:rsidRDefault="00F85A17" w:rsidP="00F85A17">
      <w:pPr>
        <w:pStyle w:val="FootnoteText"/>
        <w:rPr>
          <w:szCs w:val="20"/>
        </w:rPr>
      </w:pPr>
      <w:r>
        <w:rPr>
          <w:rStyle w:val="FootnoteReference"/>
          <w:sz w:val="20"/>
          <w:szCs w:val="20"/>
        </w:rPr>
        <w:footnoteRef/>
      </w:r>
      <w:r>
        <w:rPr>
          <w:szCs w:val="20"/>
        </w:rPr>
        <w:tab/>
        <w:t>This model agreement provides a simplified/condensed form of a signature page, which should be customized as appropriate.</w:t>
      </w:r>
    </w:p>
  </w:footnote>
  <w:footnote w:id="105">
    <w:p w14:paraId="2F04BA8E" w14:textId="4B9EE06A" w:rsidR="00940E5B" w:rsidRPr="00940EDB" w:rsidRDefault="00940E5B">
      <w:pPr>
        <w:pStyle w:val="FootnoteText"/>
        <w:rPr>
          <w:szCs w:val="20"/>
        </w:rPr>
      </w:pPr>
      <w:r>
        <w:rPr>
          <w:rStyle w:val="FootnoteReference"/>
          <w:sz w:val="20"/>
          <w:szCs w:val="20"/>
        </w:rPr>
        <w:footnoteRef/>
      </w:r>
      <w:r>
        <w:rPr>
          <w:szCs w:val="20"/>
        </w:rPr>
        <w:tab/>
        <w:t>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106">
    <w:p w14:paraId="3F2CB1C9" w14:textId="335FBAB0" w:rsidR="008E33E8" w:rsidRPr="00940EDB" w:rsidRDefault="008E33E8">
      <w:pPr>
        <w:pStyle w:val="FootnoteText"/>
        <w:rPr>
          <w:szCs w:val="20"/>
        </w:rPr>
      </w:pPr>
      <w:r>
        <w:rPr>
          <w:rStyle w:val="FootnoteReference"/>
          <w:sz w:val="20"/>
          <w:szCs w:val="20"/>
        </w:rPr>
        <w:footnoteRef/>
      </w:r>
      <w:r>
        <w:rPr>
          <w:szCs w:val="20"/>
        </w:rPr>
        <w:tab/>
        <w:t xml:space="preserve">Carefully customize the table here so the column headings align with the language used in </w:t>
      </w:r>
      <w:r>
        <w:rPr>
          <w:szCs w:val="20"/>
          <w:u w:val="single"/>
        </w:rPr>
        <w:t xml:space="preserve">Section </w:t>
      </w:r>
      <w:r>
        <w:rPr>
          <w:szCs w:val="20"/>
          <w:u w:val="single"/>
        </w:rPr>
        <w:fldChar w:fldCharType="begin"/>
      </w:r>
      <w:r>
        <w:rPr>
          <w:szCs w:val="20"/>
          <w:u w:val="single"/>
        </w:rPr>
        <w:instrText xml:space="preserve"> REF _Ref146111739 \w \h  \* MERGEFORMAT </w:instrText>
      </w:r>
      <w:r>
        <w:rPr>
          <w:szCs w:val="20"/>
          <w:u w:val="single"/>
        </w:rPr>
      </w:r>
      <w:r>
        <w:rPr>
          <w:szCs w:val="20"/>
          <w:u w:val="single"/>
        </w:rPr>
        <w:fldChar w:fldCharType="separate"/>
      </w:r>
      <w:r>
        <w:rPr>
          <w:szCs w:val="20"/>
          <w:u w:val="single"/>
        </w:rPr>
        <w:t>1</w:t>
      </w:r>
      <w:r>
        <w:rPr>
          <w:szCs w:val="20"/>
          <w:u w:val="single"/>
        </w:rPr>
        <w:fldChar w:fldCharType="end"/>
      </w:r>
      <w:r>
        <w:rPr>
          <w:szCs w:val="20"/>
        </w:rPr>
        <w:t xml:space="preserve"> and provide clarity for each series, each purchase price, etc. Additionally, note that aggregate purchase prices need to be rounded </w:t>
      </w:r>
      <w:r>
        <w:rPr>
          <w:b/>
          <w:bCs/>
          <w:szCs w:val="20"/>
          <w:u w:val="single"/>
        </w:rPr>
        <w:t>up</w:t>
      </w:r>
      <w:r>
        <w:rPr>
          <w:szCs w:val="20"/>
        </w:rPr>
        <w:t xml:space="preserve"> to the nearest penny to ensure fully paid shares.  See alternative sample for a transaction that includes a mandatory tranche closing.</w:t>
      </w:r>
    </w:p>
  </w:footnote>
  <w:footnote w:id="107">
    <w:p w14:paraId="2CC096EB" w14:textId="085916BA" w:rsidR="008E33E8" w:rsidRPr="00940EDB" w:rsidRDefault="008E33E8" w:rsidP="008E33E8">
      <w:pPr>
        <w:pStyle w:val="FootnoteText"/>
        <w:rPr>
          <w:szCs w:val="20"/>
        </w:rPr>
      </w:pPr>
      <w:r>
        <w:rPr>
          <w:rStyle w:val="FootnoteReference"/>
          <w:sz w:val="20"/>
          <w:szCs w:val="20"/>
        </w:rPr>
        <w:footnoteRef/>
      </w:r>
      <w:r>
        <w:rPr>
          <w:szCs w:val="20"/>
        </w:rPr>
        <w:tab/>
        <w:t>In any version of this table, include the legal name of the Purchaser, its notice address, and if applicable, any cc (stating that the cc shall not itself constitute notice).</w:t>
      </w:r>
    </w:p>
  </w:footnote>
  <w:footnote w:id="108">
    <w:p w14:paraId="042F2731" w14:textId="459E7E4F" w:rsidR="00061708" w:rsidRPr="00061708" w:rsidRDefault="00061708">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schedule allows the Company to list out holders of Convertible Securities that </w:t>
      </w:r>
      <w:r w:rsidR="00E64493">
        <w:t xml:space="preserve">do not sign the SPA </w:t>
      </w:r>
      <w:r w:rsidR="00EC1A0F">
        <w:t xml:space="preserve">to clarify those holders are not </w:t>
      </w:r>
      <w:r w:rsidR="003A5D3C">
        <w:t xml:space="preserve">“Purchasers” </w:t>
      </w:r>
      <w:r w:rsidR="00F06CC8">
        <w:t>but still are entitled to the Convertible Security Shares.</w:t>
      </w:r>
    </w:p>
  </w:footnote>
  <w:footnote w:id="109">
    <w:p w14:paraId="713A2D17" w14:textId="20283130" w:rsidR="0007008A" w:rsidRPr="00940EDB" w:rsidRDefault="0007008A">
      <w:pPr>
        <w:pStyle w:val="FootnoteText"/>
        <w:rPr>
          <w:szCs w:val="20"/>
        </w:rPr>
      </w:pPr>
      <w:r>
        <w:rPr>
          <w:rStyle w:val="FootnoteReference"/>
          <w:sz w:val="20"/>
          <w:szCs w:val="20"/>
        </w:rPr>
        <w:footnoteRef/>
      </w:r>
      <w:r>
        <w:rPr>
          <w:szCs w:val="20"/>
        </w:rPr>
        <w:t xml:space="preserve"> </w:t>
      </w:r>
      <w:r>
        <w:rPr>
          <w:szCs w:val="20"/>
        </w:rPr>
        <w:tab/>
        <w:t>In practice, this language should be moved from here to the draft of the Disclosure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EF8E" w14:textId="36C211B2" w:rsidR="00AD6325" w:rsidRDefault="00AD6325" w:rsidP="00AD6325">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0181C5D9" w14:textId="3576567B" w:rsidR="00F1487E" w:rsidRPr="00DA7381" w:rsidRDefault="0036260C" w:rsidP="002165D7">
    <w:pPr>
      <w:jc w:val="both"/>
      <w:rPr>
        <w:i/>
      </w:rPr>
    </w:pPr>
    <w:bookmarkStart w:id="177" w:name="_Hlk140265810"/>
    <w:bookmarkStart w:id="178" w:name="_Hlk140265811"/>
    <w:r>
      <w:rPr>
        <w:rFonts w:ascii="Arial" w:hAnsi="Arial" w:cs="Arial"/>
        <w:b/>
        <w:sz w:val="20"/>
        <w:szCs w:val="20"/>
      </w:rPr>
      <w:t xml:space="preserve">For </w:t>
    </w:r>
    <w:bookmarkEnd w:id="177"/>
    <w:bookmarkEnd w:id="178"/>
    <w:r>
      <w:rPr>
        <w:rFonts w:ascii="Arial" w:hAnsi="Arial" w:cs="Arial"/>
        <w:b/>
        <w:sz w:val="20"/>
        <w:szCs w:val="20"/>
      </w:rPr>
      <w:t xml:space="preserve">those who will redline this against prior NVCA versions, </w:t>
    </w:r>
    <w:r w:rsidR="003B25F1" w:rsidRPr="001506FC">
      <w:rPr>
        <w:rFonts w:ascii="Arial" w:hAnsi="Arial" w:cs="Arial"/>
        <w:b/>
        <w:sz w:val="20"/>
        <w:szCs w:val="20"/>
      </w:rPr>
      <w:t>new footnotes are identified as "New"; footnotes that are not new but contain substantive revisions since the prior NVCA version are flagged as "Revised"</w:t>
    </w:r>
    <w:r>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9A89" w14:textId="77777777" w:rsidR="00666D11" w:rsidRDefault="00666D11">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6B4" w14:textId="77777777" w:rsidR="00F1487E" w:rsidRDefault="00F1487E" w:rsidP="004A3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6C2" w14:textId="56D9435D" w:rsidR="00F1487E" w:rsidRDefault="00F1487E" w:rsidP="004A3214">
    <w:pPr>
      <w:jc w:val="both"/>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3129" w14:textId="77777777" w:rsidR="006E6CB3" w:rsidRDefault="006E6CB3">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09C" w14:textId="77777777" w:rsidR="00731FFA" w:rsidRDefault="00731FFA">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4417020"/>
    <w:multiLevelType w:val="hybridMultilevel"/>
    <w:tmpl w:val="7328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21A1D2CE"/>
    <w:multiLevelType w:val="multilevel"/>
    <w:tmpl w:val="1B9C95E4"/>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21A1D2CF"/>
    <w:multiLevelType w:val="multilevel"/>
    <w:tmpl w:val="F17A9A36"/>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5"/>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9" w15:restartNumberingAfterBreak="0">
    <w:nsid w:val="23244429"/>
    <w:multiLevelType w:val="multilevel"/>
    <w:tmpl w:val="8244E09E"/>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20"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46565C5"/>
    <w:multiLevelType w:val="hybridMultilevel"/>
    <w:tmpl w:val="20B07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3"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66095012">
    <w:abstractNumId w:val="123"/>
  </w:num>
  <w:num w:numId="2" w16cid:durableId="1832675828">
    <w:abstractNumId w:val="11"/>
  </w:num>
  <w:num w:numId="3" w16cid:durableId="925386077">
    <w:abstractNumId w:val="29"/>
  </w:num>
  <w:num w:numId="4" w16cid:durableId="1715621251">
    <w:abstractNumId w:val="40"/>
  </w:num>
  <w:num w:numId="5" w16cid:durableId="234365572">
    <w:abstractNumId w:val="41"/>
  </w:num>
  <w:num w:numId="6" w16cid:durableId="1697192794">
    <w:abstractNumId w:val="42"/>
  </w:num>
  <w:num w:numId="7" w16cid:durableId="1646474429">
    <w:abstractNumId w:val="43"/>
  </w:num>
  <w:num w:numId="8" w16cid:durableId="1059480615">
    <w:abstractNumId w:val="44"/>
  </w:num>
  <w:num w:numId="9" w16cid:durableId="1150899122">
    <w:abstractNumId w:val="45"/>
  </w:num>
  <w:num w:numId="10" w16cid:durableId="207646789">
    <w:abstractNumId w:val="46"/>
  </w:num>
  <w:num w:numId="11" w16cid:durableId="1574775171">
    <w:abstractNumId w:val="1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031639">
    <w:abstractNumId w:val="119"/>
  </w:num>
  <w:num w:numId="13" w16cid:durableId="11499814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54034">
    <w:abstractNumId w:val="119"/>
  </w:num>
  <w:num w:numId="15" w16cid:durableId="788937418">
    <w:abstractNumId w:val="119"/>
  </w:num>
  <w:num w:numId="16" w16cid:durableId="433091765">
    <w:abstractNumId w:val="119"/>
  </w:num>
  <w:num w:numId="17" w16cid:durableId="1257593904">
    <w:abstractNumId w:val="119"/>
  </w:num>
  <w:num w:numId="18" w16cid:durableId="360136071">
    <w:abstractNumId w:val="119"/>
  </w:num>
  <w:num w:numId="19" w16cid:durableId="1244871687">
    <w:abstractNumId w:val="119"/>
  </w:num>
  <w:num w:numId="20" w16cid:durableId="1179925501">
    <w:abstractNumId w:val="47"/>
  </w:num>
  <w:num w:numId="21" w16cid:durableId="2002807860">
    <w:abstractNumId w:val="116"/>
  </w:num>
  <w:num w:numId="22" w16cid:durableId="949357429">
    <w:abstractNumId w:val="119"/>
  </w:num>
  <w:num w:numId="23" w16cid:durableId="623122825">
    <w:abstractNumId w:val="119"/>
  </w:num>
  <w:num w:numId="24" w16cid:durableId="554125716">
    <w:abstractNumId w:val="10"/>
  </w:num>
  <w:num w:numId="25" w16cid:durableId="14393768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6824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03080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620459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87618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955412">
    <w:abstractNumId w:val="117"/>
  </w:num>
  <w:num w:numId="31" w16cid:durableId="691342893">
    <w:abstractNumId w:val="118"/>
  </w:num>
  <w:num w:numId="32" w16cid:durableId="995110159">
    <w:abstractNumId w:val="1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1C64"/>
    <w:rsid w:val="00003936"/>
    <w:rsid w:val="00003F33"/>
    <w:rsid w:val="00004A71"/>
    <w:rsid w:val="00004C76"/>
    <w:rsid w:val="0000532F"/>
    <w:rsid w:val="000069B2"/>
    <w:rsid w:val="0000704C"/>
    <w:rsid w:val="000079F5"/>
    <w:rsid w:val="00013E79"/>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37E84"/>
    <w:rsid w:val="000433A9"/>
    <w:rsid w:val="000434C5"/>
    <w:rsid w:val="000445F6"/>
    <w:rsid w:val="00044EF0"/>
    <w:rsid w:val="0004621F"/>
    <w:rsid w:val="0004659D"/>
    <w:rsid w:val="00047E8B"/>
    <w:rsid w:val="000502EF"/>
    <w:rsid w:val="0005440E"/>
    <w:rsid w:val="00054C8C"/>
    <w:rsid w:val="00055805"/>
    <w:rsid w:val="00055896"/>
    <w:rsid w:val="00055F05"/>
    <w:rsid w:val="00056E75"/>
    <w:rsid w:val="0005746A"/>
    <w:rsid w:val="00057C97"/>
    <w:rsid w:val="00061708"/>
    <w:rsid w:val="00062975"/>
    <w:rsid w:val="00062A2B"/>
    <w:rsid w:val="00064784"/>
    <w:rsid w:val="00065050"/>
    <w:rsid w:val="00066E9B"/>
    <w:rsid w:val="0007008A"/>
    <w:rsid w:val="00070556"/>
    <w:rsid w:val="00071D2C"/>
    <w:rsid w:val="000756B0"/>
    <w:rsid w:val="0007587D"/>
    <w:rsid w:val="00077A69"/>
    <w:rsid w:val="00077EB7"/>
    <w:rsid w:val="0008003D"/>
    <w:rsid w:val="0008032C"/>
    <w:rsid w:val="0008083B"/>
    <w:rsid w:val="00081F8C"/>
    <w:rsid w:val="0008200F"/>
    <w:rsid w:val="000827FA"/>
    <w:rsid w:val="00082AED"/>
    <w:rsid w:val="00082D98"/>
    <w:rsid w:val="00083554"/>
    <w:rsid w:val="0008371F"/>
    <w:rsid w:val="00083B6B"/>
    <w:rsid w:val="00084931"/>
    <w:rsid w:val="000851B7"/>
    <w:rsid w:val="0008699F"/>
    <w:rsid w:val="000874BC"/>
    <w:rsid w:val="00091766"/>
    <w:rsid w:val="00093D5B"/>
    <w:rsid w:val="00094262"/>
    <w:rsid w:val="00094795"/>
    <w:rsid w:val="000A1991"/>
    <w:rsid w:val="000A32C4"/>
    <w:rsid w:val="000A33E2"/>
    <w:rsid w:val="000A3595"/>
    <w:rsid w:val="000A4496"/>
    <w:rsid w:val="000A4D11"/>
    <w:rsid w:val="000A633D"/>
    <w:rsid w:val="000A6E46"/>
    <w:rsid w:val="000A715E"/>
    <w:rsid w:val="000B062A"/>
    <w:rsid w:val="000B1759"/>
    <w:rsid w:val="000B36D8"/>
    <w:rsid w:val="000B3A59"/>
    <w:rsid w:val="000B5CCB"/>
    <w:rsid w:val="000B5D4C"/>
    <w:rsid w:val="000B64D8"/>
    <w:rsid w:val="000B7325"/>
    <w:rsid w:val="000B79D9"/>
    <w:rsid w:val="000C04E0"/>
    <w:rsid w:val="000C2538"/>
    <w:rsid w:val="000C342C"/>
    <w:rsid w:val="000C62D7"/>
    <w:rsid w:val="000C7021"/>
    <w:rsid w:val="000C76FA"/>
    <w:rsid w:val="000D2B4D"/>
    <w:rsid w:val="000D3E04"/>
    <w:rsid w:val="000D7A25"/>
    <w:rsid w:val="000E136C"/>
    <w:rsid w:val="000E17CA"/>
    <w:rsid w:val="000E2A73"/>
    <w:rsid w:val="000E2BA6"/>
    <w:rsid w:val="000E2BB5"/>
    <w:rsid w:val="000E62D2"/>
    <w:rsid w:val="000E64DF"/>
    <w:rsid w:val="000E7A71"/>
    <w:rsid w:val="000F0C31"/>
    <w:rsid w:val="000F14A2"/>
    <w:rsid w:val="000F16FC"/>
    <w:rsid w:val="000F187F"/>
    <w:rsid w:val="000F34CD"/>
    <w:rsid w:val="000F5D0B"/>
    <w:rsid w:val="000F68F8"/>
    <w:rsid w:val="0010133F"/>
    <w:rsid w:val="0010193B"/>
    <w:rsid w:val="0010300E"/>
    <w:rsid w:val="001063DC"/>
    <w:rsid w:val="001064E3"/>
    <w:rsid w:val="0011272F"/>
    <w:rsid w:val="00112BC1"/>
    <w:rsid w:val="0012140B"/>
    <w:rsid w:val="00122576"/>
    <w:rsid w:val="00123849"/>
    <w:rsid w:val="00125487"/>
    <w:rsid w:val="00126772"/>
    <w:rsid w:val="00130BB5"/>
    <w:rsid w:val="0013334F"/>
    <w:rsid w:val="00136422"/>
    <w:rsid w:val="001415FC"/>
    <w:rsid w:val="00142503"/>
    <w:rsid w:val="0014297A"/>
    <w:rsid w:val="00142AB7"/>
    <w:rsid w:val="00143AA7"/>
    <w:rsid w:val="00144994"/>
    <w:rsid w:val="00146C12"/>
    <w:rsid w:val="0015059D"/>
    <w:rsid w:val="00150A0F"/>
    <w:rsid w:val="00151864"/>
    <w:rsid w:val="00151D48"/>
    <w:rsid w:val="0015394D"/>
    <w:rsid w:val="00154016"/>
    <w:rsid w:val="001547C9"/>
    <w:rsid w:val="0015631D"/>
    <w:rsid w:val="001567B1"/>
    <w:rsid w:val="00162920"/>
    <w:rsid w:val="001632D3"/>
    <w:rsid w:val="00164241"/>
    <w:rsid w:val="00167422"/>
    <w:rsid w:val="0017335C"/>
    <w:rsid w:val="00173917"/>
    <w:rsid w:val="00174E64"/>
    <w:rsid w:val="00175B54"/>
    <w:rsid w:val="001809CE"/>
    <w:rsid w:val="00183A59"/>
    <w:rsid w:val="00183A86"/>
    <w:rsid w:val="00183D8F"/>
    <w:rsid w:val="00183F8A"/>
    <w:rsid w:val="0018756B"/>
    <w:rsid w:val="00187978"/>
    <w:rsid w:val="00193295"/>
    <w:rsid w:val="001939AC"/>
    <w:rsid w:val="001941C2"/>
    <w:rsid w:val="00194AA8"/>
    <w:rsid w:val="00196084"/>
    <w:rsid w:val="0019678D"/>
    <w:rsid w:val="00196BE0"/>
    <w:rsid w:val="001975EF"/>
    <w:rsid w:val="001976A4"/>
    <w:rsid w:val="001A1BF6"/>
    <w:rsid w:val="001A25C0"/>
    <w:rsid w:val="001A5D66"/>
    <w:rsid w:val="001A67EE"/>
    <w:rsid w:val="001A6D6E"/>
    <w:rsid w:val="001A6F58"/>
    <w:rsid w:val="001A7125"/>
    <w:rsid w:val="001B1DED"/>
    <w:rsid w:val="001B2A27"/>
    <w:rsid w:val="001B57F0"/>
    <w:rsid w:val="001B71E7"/>
    <w:rsid w:val="001C04E7"/>
    <w:rsid w:val="001C12EE"/>
    <w:rsid w:val="001C1682"/>
    <w:rsid w:val="001C1BF4"/>
    <w:rsid w:val="001C549D"/>
    <w:rsid w:val="001C72EA"/>
    <w:rsid w:val="001C75CB"/>
    <w:rsid w:val="001D32E2"/>
    <w:rsid w:val="001D3962"/>
    <w:rsid w:val="001D44A8"/>
    <w:rsid w:val="001D4D45"/>
    <w:rsid w:val="001D5AF3"/>
    <w:rsid w:val="001D7198"/>
    <w:rsid w:val="001E2861"/>
    <w:rsid w:val="001E337A"/>
    <w:rsid w:val="001E3573"/>
    <w:rsid w:val="001E4DA4"/>
    <w:rsid w:val="001E4F81"/>
    <w:rsid w:val="001E5179"/>
    <w:rsid w:val="001E51DF"/>
    <w:rsid w:val="001E5215"/>
    <w:rsid w:val="001E5C4A"/>
    <w:rsid w:val="001E682A"/>
    <w:rsid w:val="001E69C8"/>
    <w:rsid w:val="001E6F56"/>
    <w:rsid w:val="001F0746"/>
    <w:rsid w:val="001F1D2E"/>
    <w:rsid w:val="001F2736"/>
    <w:rsid w:val="001F7A2F"/>
    <w:rsid w:val="00202C70"/>
    <w:rsid w:val="00205ADA"/>
    <w:rsid w:val="00205E5B"/>
    <w:rsid w:val="00205FF9"/>
    <w:rsid w:val="00211DC4"/>
    <w:rsid w:val="00212380"/>
    <w:rsid w:val="00213024"/>
    <w:rsid w:val="00213A79"/>
    <w:rsid w:val="00213FB0"/>
    <w:rsid w:val="002140E0"/>
    <w:rsid w:val="002159E8"/>
    <w:rsid w:val="002165D7"/>
    <w:rsid w:val="002168AE"/>
    <w:rsid w:val="00217B33"/>
    <w:rsid w:val="00222424"/>
    <w:rsid w:val="002273F4"/>
    <w:rsid w:val="00230D39"/>
    <w:rsid w:val="0023195C"/>
    <w:rsid w:val="00233CE4"/>
    <w:rsid w:val="002407A9"/>
    <w:rsid w:val="002436EE"/>
    <w:rsid w:val="00243CF4"/>
    <w:rsid w:val="00246532"/>
    <w:rsid w:val="00246B0C"/>
    <w:rsid w:val="002470D1"/>
    <w:rsid w:val="00252652"/>
    <w:rsid w:val="002531D0"/>
    <w:rsid w:val="00253273"/>
    <w:rsid w:val="00253807"/>
    <w:rsid w:val="0025615E"/>
    <w:rsid w:val="00256977"/>
    <w:rsid w:val="00260464"/>
    <w:rsid w:val="00260470"/>
    <w:rsid w:val="00260EC2"/>
    <w:rsid w:val="002611A5"/>
    <w:rsid w:val="00262437"/>
    <w:rsid w:val="002646AF"/>
    <w:rsid w:val="002652B6"/>
    <w:rsid w:val="00265E2A"/>
    <w:rsid w:val="0026693B"/>
    <w:rsid w:val="00267600"/>
    <w:rsid w:val="00267A5F"/>
    <w:rsid w:val="002760E2"/>
    <w:rsid w:val="00280734"/>
    <w:rsid w:val="0028294B"/>
    <w:rsid w:val="00282AF7"/>
    <w:rsid w:val="0028420E"/>
    <w:rsid w:val="0028610C"/>
    <w:rsid w:val="00290CEB"/>
    <w:rsid w:val="00290F90"/>
    <w:rsid w:val="002911D0"/>
    <w:rsid w:val="00291AFD"/>
    <w:rsid w:val="00292E97"/>
    <w:rsid w:val="002949F5"/>
    <w:rsid w:val="00295A6E"/>
    <w:rsid w:val="00295AA1"/>
    <w:rsid w:val="00296C11"/>
    <w:rsid w:val="002977B1"/>
    <w:rsid w:val="002A2334"/>
    <w:rsid w:val="002A2D97"/>
    <w:rsid w:val="002A2F82"/>
    <w:rsid w:val="002A4A16"/>
    <w:rsid w:val="002A6A20"/>
    <w:rsid w:val="002A79C3"/>
    <w:rsid w:val="002B025C"/>
    <w:rsid w:val="002B03CE"/>
    <w:rsid w:val="002B0D83"/>
    <w:rsid w:val="002B3278"/>
    <w:rsid w:val="002B335D"/>
    <w:rsid w:val="002B47C7"/>
    <w:rsid w:val="002B65FD"/>
    <w:rsid w:val="002B6DA8"/>
    <w:rsid w:val="002C09A2"/>
    <w:rsid w:val="002C1AA7"/>
    <w:rsid w:val="002D54B1"/>
    <w:rsid w:val="002D571E"/>
    <w:rsid w:val="002E0752"/>
    <w:rsid w:val="002E0F7B"/>
    <w:rsid w:val="002E174A"/>
    <w:rsid w:val="002E1C51"/>
    <w:rsid w:val="002E1EE2"/>
    <w:rsid w:val="002E23EF"/>
    <w:rsid w:val="002E2E2B"/>
    <w:rsid w:val="002E2F0C"/>
    <w:rsid w:val="002E3492"/>
    <w:rsid w:val="002E3A5C"/>
    <w:rsid w:val="002E3BDD"/>
    <w:rsid w:val="002F015A"/>
    <w:rsid w:val="002F051D"/>
    <w:rsid w:val="002F0F5E"/>
    <w:rsid w:val="002F1F56"/>
    <w:rsid w:val="002F30CB"/>
    <w:rsid w:val="002F3A22"/>
    <w:rsid w:val="002F50F9"/>
    <w:rsid w:val="002F51F1"/>
    <w:rsid w:val="002F59D7"/>
    <w:rsid w:val="002F60D3"/>
    <w:rsid w:val="002F6615"/>
    <w:rsid w:val="002F7770"/>
    <w:rsid w:val="002F7CEB"/>
    <w:rsid w:val="00300662"/>
    <w:rsid w:val="003008DC"/>
    <w:rsid w:val="003019F6"/>
    <w:rsid w:val="00303845"/>
    <w:rsid w:val="00303B6B"/>
    <w:rsid w:val="00306226"/>
    <w:rsid w:val="00306B86"/>
    <w:rsid w:val="00307265"/>
    <w:rsid w:val="00311A48"/>
    <w:rsid w:val="00324D8B"/>
    <w:rsid w:val="00326134"/>
    <w:rsid w:val="0033082B"/>
    <w:rsid w:val="00332DD9"/>
    <w:rsid w:val="0033375B"/>
    <w:rsid w:val="00334228"/>
    <w:rsid w:val="00336D5B"/>
    <w:rsid w:val="003374A5"/>
    <w:rsid w:val="00337FE4"/>
    <w:rsid w:val="003403B2"/>
    <w:rsid w:val="003404E4"/>
    <w:rsid w:val="00340FE1"/>
    <w:rsid w:val="003438B4"/>
    <w:rsid w:val="00351036"/>
    <w:rsid w:val="0035114D"/>
    <w:rsid w:val="0035119D"/>
    <w:rsid w:val="00351617"/>
    <w:rsid w:val="00351BAD"/>
    <w:rsid w:val="00351ECF"/>
    <w:rsid w:val="00352B05"/>
    <w:rsid w:val="00354677"/>
    <w:rsid w:val="00356CA6"/>
    <w:rsid w:val="003613E1"/>
    <w:rsid w:val="0036210F"/>
    <w:rsid w:val="0036260C"/>
    <w:rsid w:val="0036287D"/>
    <w:rsid w:val="0036452E"/>
    <w:rsid w:val="00365422"/>
    <w:rsid w:val="003677D3"/>
    <w:rsid w:val="00371CB6"/>
    <w:rsid w:val="003723F2"/>
    <w:rsid w:val="00376079"/>
    <w:rsid w:val="00377CAC"/>
    <w:rsid w:val="00380D43"/>
    <w:rsid w:val="00380E4B"/>
    <w:rsid w:val="00381F99"/>
    <w:rsid w:val="0038322E"/>
    <w:rsid w:val="0038522D"/>
    <w:rsid w:val="003856E4"/>
    <w:rsid w:val="00385C00"/>
    <w:rsid w:val="0038683C"/>
    <w:rsid w:val="00386C2C"/>
    <w:rsid w:val="00387B0F"/>
    <w:rsid w:val="0039048E"/>
    <w:rsid w:val="00391A85"/>
    <w:rsid w:val="00394579"/>
    <w:rsid w:val="003945A5"/>
    <w:rsid w:val="00395BEC"/>
    <w:rsid w:val="00395EC8"/>
    <w:rsid w:val="00396093"/>
    <w:rsid w:val="003A09C2"/>
    <w:rsid w:val="003A3197"/>
    <w:rsid w:val="003A4EB8"/>
    <w:rsid w:val="003A5D3C"/>
    <w:rsid w:val="003A6CCA"/>
    <w:rsid w:val="003B12E3"/>
    <w:rsid w:val="003B25F1"/>
    <w:rsid w:val="003B3BAD"/>
    <w:rsid w:val="003B575C"/>
    <w:rsid w:val="003B63FD"/>
    <w:rsid w:val="003B6588"/>
    <w:rsid w:val="003B6AD8"/>
    <w:rsid w:val="003C0D76"/>
    <w:rsid w:val="003C2632"/>
    <w:rsid w:val="003C4AA6"/>
    <w:rsid w:val="003C5467"/>
    <w:rsid w:val="003C596E"/>
    <w:rsid w:val="003C6F0D"/>
    <w:rsid w:val="003C7E17"/>
    <w:rsid w:val="003D0686"/>
    <w:rsid w:val="003D1A2B"/>
    <w:rsid w:val="003D2DA2"/>
    <w:rsid w:val="003D3F9F"/>
    <w:rsid w:val="003D4210"/>
    <w:rsid w:val="003D5F90"/>
    <w:rsid w:val="003D6626"/>
    <w:rsid w:val="003D7671"/>
    <w:rsid w:val="003E1212"/>
    <w:rsid w:val="003E1D27"/>
    <w:rsid w:val="003E2749"/>
    <w:rsid w:val="003E3736"/>
    <w:rsid w:val="003E3D76"/>
    <w:rsid w:val="003E4EB0"/>
    <w:rsid w:val="003E5B01"/>
    <w:rsid w:val="003F016B"/>
    <w:rsid w:val="003F1057"/>
    <w:rsid w:val="003F3601"/>
    <w:rsid w:val="003F4812"/>
    <w:rsid w:val="003F49C6"/>
    <w:rsid w:val="003F582E"/>
    <w:rsid w:val="003F5CDA"/>
    <w:rsid w:val="003F5DBD"/>
    <w:rsid w:val="003F637E"/>
    <w:rsid w:val="003F6C3D"/>
    <w:rsid w:val="004019DB"/>
    <w:rsid w:val="00402902"/>
    <w:rsid w:val="00405E9C"/>
    <w:rsid w:val="0040725F"/>
    <w:rsid w:val="00410A72"/>
    <w:rsid w:val="00412699"/>
    <w:rsid w:val="00413777"/>
    <w:rsid w:val="00414239"/>
    <w:rsid w:val="004149F2"/>
    <w:rsid w:val="00415EF4"/>
    <w:rsid w:val="00416119"/>
    <w:rsid w:val="00417067"/>
    <w:rsid w:val="00417263"/>
    <w:rsid w:val="004206E8"/>
    <w:rsid w:val="004208DA"/>
    <w:rsid w:val="004222A0"/>
    <w:rsid w:val="00422CCF"/>
    <w:rsid w:val="00423E42"/>
    <w:rsid w:val="004254E6"/>
    <w:rsid w:val="004255BC"/>
    <w:rsid w:val="004261CB"/>
    <w:rsid w:val="00430708"/>
    <w:rsid w:val="00432C21"/>
    <w:rsid w:val="00433CB3"/>
    <w:rsid w:val="00440BB9"/>
    <w:rsid w:val="00440E02"/>
    <w:rsid w:val="00440FBC"/>
    <w:rsid w:val="004416CB"/>
    <w:rsid w:val="00441D81"/>
    <w:rsid w:val="00441E8F"/>
    <w:rsid w:val="00442311"/>
    <w:rsid w:val="0044414B"/>
    <w:rsid w:val="00444DDD"/>
    <w:rsid w:val="00446949"/>
    <w:rsid w:val="00447436"/>
    <w:rsid w:val="00451577"/>
    <w:rsid w:val="004518B9"/>
    <w:rsid w:val="004532A9"/>
    <w:rsid w:val="00454790"/>
    <w:rsid w:val="00454DDD"/>
    <w:rsid w:val="00455734"/>
    <w:rsid w:val="00456866"/>
    <w:rsid w:val="00457E57"/>
    <w:rsid w:val="0046102E"/>
    <w:rsid w:val="00461830"/>
    <w:rsid w:val="00461A0E"/>
    <w:rsid w:val="00463738"/>
    <w:rsid w:val="0046472A"/>
    <w:rsid w:val="004677AC"/>
    <w:rsid w:val="004702FE"/>
    <w:rsid w:val="004708E3"/>
    <w:rsid w:val="00471005"/>
    <w:rsid w:val="0047169C"/>
    <w:rsid w:val="0047389C"/>
    <w:rsid w:val="00473B24"/>
    <w:rsid w:val="00473C33"/>
    <w:rsid w:val="004749D5"/>
    <w:rsid w:val="00475A64"/>
    <w:rsid w:val="004812EA"/>
    <w:rsid w:val="00482763"/>
    <w:rsid w:val="00483BDA"/>
    <w:rsid w:val="00484D18"/>
    <w:rsid w:val="00485A66"/>
    <w:rsid w:val="00487742"/>
    <w:rsid w:val="00487FD5"/>
    <w:rsid w:val="004904B2"/>
    <w:rsid w:val="004912E0"/>
    <w:rsid w:val="0049193A"/>
    <w:rsid w:val="00492F82"/>
    <w:rsid w:val="00493108"/>
    <w:rsid w:val="0049369A"/>
    <w:rsid w:val="00493EAF"/>
    <w:rsid w:val="00494B6B"/>
    <w:rsid w:val="004950DF"/>
    <w:rsid w:val="00496090"/>
    <w:rsid w:val="00496936"/>
    <w:rsid w:val="00497C1D"/>
    <w:rsid w:val="004A084B"/>
    <w:rsid w:val="004A17C8"/>
    <w:rsid w:val="004A2874"/>
    <w:rsid w:val="004A3214"/>
    <w:rsid w:val="004A4265"/>
    <w:rsid w:val="004A47F3"/>
    <w:rsid w:val="004A6BB3"/>
    <w:rsid w:val="004A7DC4"/>
    <w:rsid w:val="004B0E79"/>
    <w:rsid w:val="004B3560"/>
    <w:rsid w:val="004B3DF4"/>
    <w:rsid w:val="004B431A"/>
    <w:rsid w:val="004B47C0"/>
    <w:rsid w:val="004B6132"/>
    <w:rsid w:val="004C0124"/>
    <w:rsid w:val="004C060A"/>
    <w:rsid w:val="004C1F51"/>
    <w:rsid w:val="004C2F2B"/>
    <w:rsid w:val="004C3F81"/>
    <w:rsid w:val="004C414B"/>
    <w:rsid w:val="004C67C2"/>
    <w:rsid w:val="004C6D16"/>
    <w:rsid w:val="004D472B"/>
    <w:rsid w:val="004D483A"/>
    <w:rsid w:val="004D4D20"/>
    <w:rsid w:val="004D5EA3"/>
    <w:rsid w:val="004D63AA"/>
    <w:rsid w:val="004D6622"/>
    <w:rsid w:val="004D78C3"/>
    <w:rsid w:val="004E008D"/>
    <w:rsid w:val="004E037F"/>
    <w:rsid w:val="004E14DA"/>
    <w:rsid w:val="004E202B"/>
    <w:rsid w:val="004E2369"/>
    <w:rsid w:val="004E3449"/>
    <w:rsid w:val="004E494A"/>
    <w:rsid w:val="004E6449"/>
    <w:rsid w:val="004E6C31"/>
    <w:rsid w:val="004E6FCF"/>
    <w:rsid w:val="004E74A4"/>
    <w:rsid w:val="004E7E87"/>
    <w:rsid w:val="004F076B"/>
    <w:rsid w:val="004F0906"/>
    <w:rsid w:val="004F2ED4"/>
    <w:rsid w:val="004F3E06"/>
    <w:rsid w:val="004F408E"/>
    <w:rsid w:val="004F501A"/>
    <w:rsid w:val="004F5346"/>
    <w:rsid w:val="004F62F3"/>
    <w:rsid w:val="00500EDE"/>
    <w:rsid w:val="0051051C"/>
    <w:rsid w:val="00510E9D"/>
    <w:rsid w:val="00513E6D"/>
    <w:rsid w:val="005170B5"/>
    <w:rsid w:val="0052035C"/>
    <w:rsid w:val="005244FF"/>
    <w:rsid w:val="0052682E"/>
    <w:rsid w:val="00526FAD"/>
    <w:rsid w:val="00527386"/>
    <w:rsid w:val="00527EF4"/>
    <w:rsid w:val="00530B27"/>
    <w:rsid w:val="00530D88"/>
    <w:rsid w:val="0053135A"/>
    <w:rsid w:val="00534DF0"/>
    <w:rsid w:val="0053562D"/>
    <w:rsid w:val="005361B6"/>
    <w:rsid w:val="00537129"/>
    <w:rsid w:val="005408C3"/>
    <w:rsid w:val="00546665"/>
    <w:rsid w:val="005467A8"/>
    <w:rsid w:val="00546DF6"/>
    <w:rsid w:val="00550794"/>
    <w:rsid w:val="00551993"/>
    <w:rsid w:val="00551EF5"/>
    <w:rsid w:val="005527DC"/>
    <w:rsid w:val="005564C5"/>
    <w:rsid w:val="0055783E"/>
    <w:rsid w:val="005605CE"/>
    <w:rsid w:val="0056160D"/>
    <w:rsid w:val="00564D1D"/>
    <w:rsid w:val="00565EB1"/>
    <w:rsid w:val="00567D82"/>
    <w:rsid w:val="00567F16"/>
    <w:rsid w:val="00571673"/>
    <w:rsid w:val="0057185A"/>
    <w:rsid w:val="005721EF"/>
    <w:rsid w:val="00573A31"/>
    <w:rsid w:val="00573D3C"/>
    <w:rsid w:val="0057487E"/>
    <w:rsid w:val="00574FEF"/>
    <w:rsid w:val="00580D56"/>
    <w:rsid w:val="005812CC"/>
    <w:rsid w:val="00585193"/>
    <w:rsid w:val="00587122"/>
    <w:rsid w:val="0058713C"/>
    <w:rsid w:val="00591691"/>
    <w:rsid w:val="0059192F"/>
    <w:rsid w:val="00593647"/>
    <w:rsid w:val="0059371F"/>
    <w:rsid w:val="005945E3"/>
    <w:rsid w:val="0059494B"/>
    <w:rsid w:val="00597717"/>
    <w:rsid w:val="00597B8C"/>
    <w:rsid w:val="005A2BC9"/>
    <w:rsid w:val="005A3C56"/>
    <w:rsid w:val="005A6C40"/>
    <w:rsid w:val="005A6E38"/>
    <w:rsid w:val="005B04B4"/>
    <w:rsid w:val="005B05BE"/>
    <w:rsid w:val="005B1568"/>
    <w:rsid w:val="005B3F23"/>
    <w:rsid w:val="005B556C"/>
    <w:rsid w:val="005B6D40"/>
    <w:rsid w:val="005B7495"/>
    <w:rsid w:val="005C0045"/>
    <w:rsid w:val="005C116A"/>
    <w:rsid w:val="005C1A8E"/>
    <w:rsid w:val="005C6004"/>
    <w:rsid w:val="005D00AA"/>
    <w:rsid w:val="005D18EB"/>
    <w:rsid w:val="005D5505"/>
    <w:rsid w:val="005D58B8"/>
    <w:rsid w:val="005D6952"/>
    <w:rsid w:val="005D7048"/>
    <w:rsid w:val="005E0B1D"/>
    <w:rsid w:val="005E11EB"/>
    <w:rsid w:val="005E1C14"/>
    <w:rsid w:val="005E342B"/>
    <w:rsid w:val="005E3DEF"/>
    <w:rsid w:val="005E44C9"/>
    <w:rsid w:val="005E5891"/>
    <w:rsid w:val="005E79DD"/>
    <w:rsid w:val="005E7DF4"/>
    <w:rsid w:val="005F1F1C"/>
    <w:rsid w:val="005F21A0"/>
    <w:rsid w:val="005F4C82"/>
    <w:rsid w:val="005F602D"/>
    <w:rsid w:val="005F62B3"/>
    <w:rsid w:val="005F7471"/>
    <w:rsid w:val="005F7CCE"/>
    <w:rsid w:val="00601108"/>
    <w:rsid w:val="00603DB8"/>
    <w:rsid w:val="00607D6B"/>
    <w:rsid w:val="00607D98"/>
    <w:rsid w:val="006114DB"/>
    <w:rsid w:val="006126B7"/>
    <w:rsid w:val="00612BFB"/>
    <w:rsid w:val="00613ACC"/>
    <w:rsid w:val="00613F9E"/>
    <w:rsid w:val="006159D9"/>
    <w:rsid w:val="00616938"/>
    <w:rsid w:val="0062062A"/>
    <w:rsid w:val="006208BF"/>
    <w:rsid w:val="0062162B"/>
    <w:rsid w:val="00623115"/>
    <w:rsid w:val="00623780"/>
    <w:rsid w:val="00623940"/>
    <w:rsid w:val="00625ED3"/>
    <w:rsid w:val="006271E2"/>
    <w:rsid w:val="00627770"/>
    <w:rsid w:val="00630062"/>
    <w:rsid w:val="00631F63"/>
    <w:rsid w:val="00632BC7"/>
    <w:rsid w:val="00632C9E"/>
    <w:rsid w:val="00633D25"/>
    <w:rsid w:val="00634911"/>
    <w:rsid w:val="00637F2E"/>
    <w:rsid w:val="00640740"/>
    <w:rsid w:val="00640CCE"/>
    <w:rsid w:val="00642A43"/>
    <w:rsid w:val="0064402A"/>
    <w:rsid w:val="00644D75"/>
    <w:rsid w:val="00645EFB"/>
    <w:rsid w:val="00647BA4"/>
    <w:rsid w:val="0065173B"/>
    <w:rsid w:val="00651B31"/>
    <w:rsid w:val="00651C92"/>
    <w:rsid w:val="0065260B"/>
    <w:rsid w:val="00652B0A"/>
    <w:rsid w:val="00652F23"/>
    <w:rsid w:val="00653159"/>
    <w:rsid w:val="00653BF9"/>
    <w:rsid w:val="00662657"/>
    <w:rsid w:val="006644B7"/>
    <w:rsid w:val="00664FFF"/>
    <w:rsid w:val="00665EDE"/>
    <w:rsid w:val="00666C6B"/>
    <w:rsid w:val="00666D11"/>
    <w:rsid w:val="00667FD8"/>
    <w:rsid w:val="00670387"/>
    <w:rsid w:val="00671062"/>
    <w:rsid w:val="00671B90"/>
    <w:rsid w:val="00671E8B"/>
    <w:rsid w:val="00672676"/>
    <w:rsid w:val="00672E7C"/>
    <w:rsid w:val="006734D4"/>
    <w:rsid w:val="0067361E"/>
    <w:rsid w:val="00675F18"/>
    <w:rsid w:val="006760F6"/>
    <w:rsid w:val="006769A0"/>
    <w:rsid w:val="00676CC9"/>
    <w:rsid w:val="00676E4A"/>
    <w:rsid w:val="006773C8"/>
    <w:rsid w:val="006775D7"/>
    <w:rsid w:val="006775F8"/>
    <w:rsid w:val="00680391"/>
    <w:rsid w:val="00684ABB"/>
    <w:rsid w:val="00684C5E"/>
    <w:rsid w:val="00687202"/>
    <w:rsid w:val="00690140"/>
    <w:rsid w:val="00690D6E"/>
    <w:rsid w:val="0069291B"/>
    <w:rsid w:val="00693615"/>
    <w:rsid w:val="006952C6"/>
    <w:rsid w:val="0069561F"/>
    <w:rsid w:val="00696B09"/>
    <w:rsid w:val="00696E09"/>
    <w:rsid w:val="00697DC7"/>
    <w:rsid w:val="006A0313"/>
    <w:rsid w:val="006A11C1"/>
    <w:rsid w:val="006A1EEB"/>
    <w:rsid w:val="006A20C7"/>
    <w:rsid w:val="006A21B6"/>
    <w:rsid w:val="006A26F3"/>
    <w:rsid w:val="006A2F33"/>
    <w:rsid w:val="006A4BBD"/>
    <w:rsid w:val="006A5210"/>
    <w:rsid w:val="006A5AE1"/>
    <w:rsid w:val="006A710A"/>
    <w:rsid w:val="006B1547"/>
    <w:rsid w:val="006B1629"/>
    <w:rsid w:val="006B20F5"/>
    <w:rsid w:val="006B3C3D"/>
    <w:rsid w:val="006B538D"/>
    <w:rsid w:val="006B5F47"/>
    <w:rsid w:val="006C16F9"/>
    <w:rsid w:val="006C26DB"/>
    <w:rsid w:val="006C2B83"/>
    <w:rsid w:val="006C2BDE"/>
    <w:rsid w:val="006C360A"/>
    <w:rsid w:val="006C5C24"/>
    <w:rsid w:val="006C6E82"/>
    <w:rsid w:val="006C6FBA"/>
    <w:rsid w:val="006C7056"/>
    <w:rsid w:val="006C7297"/>
    <w:rsid w:val="006D07C4"/>
    <w:rsid w:val="006D3B24"/>
    <w:rsid w:val="006D5DA9"/>
    <w:rsid w:val="006D7767"/>
    <w:rsid w:val="006D7D84"/>
    <w:rsid w:val="006E182D"/>
    <w:rsid w:val="006E48CF"/>
    <w:rsid w:val="006E5ACC"/>
    <w:rsid w:val="006E6CB3"/>
    <w:rsid w:val="006E702B"/>
    <w:rsid w:val="006F2DD5"/>
    <w:rsid w:val="006F3627"/>
    <w:rsid w:val="006F5AC7"/>
    <w:rsid w:val="006F64A5"/>
    <w:rsid w:val="006F7999"/>
    <w:rsid w:val="0070029A"/>
    <w:rsid w:val="00701746"/>
    <w:rsid w:val="00702307"/>
    <w:rsid w:val="0070394E"/>
    <w:rsid w:val="00703E37"/>
    <w:rsid w:val="00703ED9"/>
    <w:rsid w:val="00703FF7"/>
    <w:rsid w:val="00704D30"/>
    <w:rsid w:val="0070667A"/>
    <w:rsid w:val="00706981"/>
    <w:rsid w:val="0070707A"/>
    <w:rsid w:val="0071352D"/>
    <w:rsid w:val="00714059"/>
    <w:rsid w:val="00717587"/>
    <w:rsid w:val="007177D9"/>
    <w:rsid w:val="00717F62"/>
    <w:rsid w:val="0072118B"/>
    <w:rsid w:val="00721E0A"/>
    <w:rsid w:val="00722551"/>
    <w:rsid w:val="00724336"/>
    <w:rsid w:val="00724CAE"/>
    <w:rsid w:val="00726359"/>
    <w:rsid w:val="00726C8D"/>
    <w:rsid w:val="00727B70"/>
    <w:rsid w:val="00727B88"/>
    <w:rsid w:val="00730A6D"/>
    <w:rsid w:val="00731FFA"/>
    <w:rsid w:val="007331C0"/>
    <w:rsid w:val="0073542A"/>
    <w:rsid w:val="007402E8"/>
    <w:rsid w:val="007469E6"/>
    <w:rsid w:val="00747202"/>
    <w:rsid w:val="00751542"/>
    <w:rsid w:val="0075208B"/>
    <w:rsid w:val="00752A2A"/>
    <w:rsid w:val="00753921"/>
    <w:rsid w:val="00753932"/>
    <w:rsid w:val="00753F45"/>
    <w:rsid w:val="00754F91"/>
    <w:rsid w:val="00755E88"/>
    <w:rsid w:val="00756805"/>
    <w:rsid w:val="007572D4"/>
    <w:rsid w:val="007574AE"/>
    <w:rsid w:val="00760AA2"/>
    <w:rsid w:val="00760FEF"/>
    <w:rsid w:val="00764695"/>
    <w:rsid w:val="00766E8A"/>
    <w:rsid w:val="00766EA5"/>
    <w:rsid w:val="00767E92"/>
    <w:rsid w:val="0077110F"/>
    <w:rsid w:val="00771F9D"/>
    <w:rsid w:val="00777336"/>
    <w:rsid w:val="00777945"/>
    <w:rsid w:val="00780A69"/>
    <w:rsid w:val="00780C07"/>
    <w:rsid w:val="00782CA5"/>
    <w:rsid w:val="00783D6A"/>
    <w:rsid w:val="00784DA9"/>
    <w:rsid w:val="00784EAA"/>
    <w:rsid w:val="0078647D"/>
    <w:rsid w:val="00787D5A"/>
    <w:rsid w:val="00792C38"/>
    <w:rsid w:val="00794D73"/>
    <w:rsid w:val="00795A36"/>
    <w:rsid w:val="007970E1"/>
    <w:rsid w:val="00797982"/>
    <w:rsid w:val="007A180A"/>
    <w:rsid w:val="007A2D2F"/>
    <w:rsid w:val="007A3661"/>
    <w:rsid w:val="007A4D5C"/>
    <w:rsid w:val="007A4F51"/>
    <w:rsid w:val="007A51E6"/>
    <w:rsid w:val="007A5EAB"/>
    <w:rsid w:val="007A73B0"/>
    <w:rsid w:val="007B01D9"/>
    <w:rsid w:val="007B1112"/>
    <w:rsid w:val="007B1EEA"/>
    <w:rsid w:val="007B4C76"/>
    <w:rsid w:val="007B585B"/>
    <w:rsid w:val="007B6BD0"/>
    <w:rsid w:val="007B7125"/>
    <w:rsid w:val="007C0A5E"/>
    <w:rsid w:val="007C24ED"/>
    <w:rsid w:val="007C2501"/>
    <w:rsid w:val="007C3225"/>
    <w:rsid w:val="007C411A"/>
    <w:rsid w:val="007C7908"/>
    <w:rsid w:val="007D035F"/>
    <w:rsid w:val="007D1B99"/>
    <w:rsid w:val="007D1DAA"/>
    <w:rsid w:val="007D2A17"/>
    <w:rsid w:val="007D448D"/>
    <w:rsid w:val="007D779B"/>
    <w:rsid w:val="007E2D62"/>
    <w:rsid w:val="007E4CCB"/>
    <w:rsid w:val="007E5A87"/>
    <w:rsid w:val="007E7B57"/>
    <w:rsid w:val="007E7D7E"/>
    <w:rsid w:val="007F0E24"/>
    <w:rsid w:val="007F3A04"/>
    <w:rsid w:val="007F3A52"/>
    <w:rsid w:val="007F3FF9"/>
    <w:rsid w:val="007F4012"/>
    <w:rsid w:val="007F441A"/>
    <w:rsid w:val="007F4497"/>
    <w:rsid w:val="007F4DD1"/>
    <w:rsid w:val="007F55FA"/>
    <w:rsid w:val="008000FB"/>
    <w:rsid w:val="00802A86"/>
    <w:rsid w:val="00802C4B"/>
    <w:rsid w:val="00803694"/>
    <w:rsid w:val="0080411B"/>
    <w:rsid w:val="0080449F"/>
    <w:rsid w:val="00806902"/>
    <w:rsid w:val="008069EB"/>
    <w:rsid w:val="00810039"/>
    <w:rsid w:val="00810A82"/>
    <w:rsid w:val="008111DF"/>
    <w:rsid w:val="00811653"/>
    <w:rsid w:val="00814893"/>
    <w:rsid w:val="00814B2E"/>
    <w:rsid w:val="00815B4C"/>
    <w:rsid w:val="00817E39"/>
    <w:rsid w:val="0082015C"/>
    <w:rsid w:val="00821E51"/>
    <w:rsid w:val="00824D2E"/>
    <w:rsid w:val="00826958"/>
    <w:rsid w:val="00826C61"/>
    <w:rsid w:val="008303C2"/>
    <w:rsid w:val="00830C51"/>
    <w:rsid w:val="008315D6"/>
    <w:rsid w:val="00831A54"/>
    <w:rsid w:val="0083263C"/>
    <w:rsid w:val="008375E0"/>
    <w:rsid w:val="00837665"/>
    <w:rsid w:val="00840772"/>
    <w:rsid w:val="008460E0"/>
    <w:rsid w:val="008467FD"/>
    <w:rsid w:val="00847167"/>
    <w:rsid w:val="00847BA6"/>
    <w:rsid w:val="008502E8"/>
    <w:rsid w:val="008516A4"/>
    <w:rsid w:val="00851F67"/>
    <w:rsid w:val="00852CCC"/>
    <w:rsid w:val="00855290"/>
    <w:rsid w:val="00862AD3"/>
    <w:rsid w:val="008648FF"/>
    <w:rsid w:val="00865523"/>
    <w:rsid w:val="0086591F"/>
    <w:rsid w:val="00871A92"/>
    <w:rsid w:val="008725D0"/>
    <w:rsid w:val="00872CAE"/>
    <w:rsid w:val="008731A5"/>
    <w:rsid w:val="0087358B"/>
    <w:rsid w:val="008740FB"/>
    <w:rsid w:val="008749C4"/>
    <w:rsid w:val="008753E1"/>
    <w:rsid w:val="0087581E"/>
    <w:rsid w:val="00876795"/>
    <w:rsid w:val="00877988"/>
    <w:rsid w:val="00880839"/>
    <w:rsid w:val="008813E3"/>
    <w:rsid w:val="00882F07"/>
    <w:rsid w:val="00882F0D"/>
    <w:rsid w:val="0088303E"/>
    <w:rsid w:val="00883BA1"/>
    <w:rsid w:val="00883EE2"/>
    <w:rsid w:val="008861FA"/>
    <w:rsid w:val="0088674B"/>
    <w:rsid w:val="00886D24"/>
    <w:rsid w:val="008871BA"/>
    <w:rsid w:val="00887B10"/>
    <w:rsid w:val="00891689"/>
    <w:rsid w:val="00892570"/>
    <w:rsid w:val="008926F8"/>
    <w:rsid w:val="00892FE2"/>
    <w:rsid w:val="00895231"/>
    <w:rsid w:val="00896E25"/>
    <w:rsid w:val="00897E0C"/>
    <w:rsid w:val="008A0D77"/>
    <w:rsid w:val="008A3582"/>
    <w:rsid w:val="008A4166"/>
    <w:rsid w:val="008A5AA8"/>
    <w:rsid w:val="008A5F1C"/>
    <w:rsid w:val="008A6038"/>
    <w:rsid w:val="008A7372"/>
    <w:rsid w:val="008A786B"/>
    <w:rsid w:val="008B12B8"/>
    <w:rsid w:val="008B245A"/>
    <w:rsid w:val="008B28AE"/>
    <w:rsid w:val="008B4A47"/>
    <w:rsid w:val="008B4CD2"/>
    <w:rsid w:val="008B5764"/>
    <w:rsid w:val="008B5B17"/>
    <w:rsid w:val="008B5C00"/>
    <w:rsid w:val="008B652C"/>
    <w:rsid w:val="008B6841"/>
    <w:rsid w:val="008B6A77"/>
    <w:rsid w:val="008C3862"/>
    <w:rsid w:val="008C3C64"/>
    <w:rsid w:val="008C3F22"/>
    <w:rsid w:val="008C4979"/>
    <w:rsid w:val="008C4EDC"/>
    <w:rsid w:val="008C51AF"/>
    <w:rsid w:val="008C5274"/>
    <w:rsid w:val="008C54AF"/>
    <w:rsid w:val="008C75E0"/>
    <w:rsid w:val="008D0567"/>
    <w:rsid w:val="008D1C1A"/>
    <w:rsid w:val="008D2595"/>
    <w:rsid w:val="008D2CBE"/>
    <w:rsid w:val="008D3209"/>
    <w:rsid w:val="008D6EE3"/>
    <w:rsid w:val="008D70F1"/>
    <w:rsid w:val="008D7C8B"/>
    <w:rsid w:val="008E0054"/>
    <w:rsid w:val="008E009B"/>
    <w:rsid w:val="008E33E8"/>
    <w:rsid w:val="008E34B8"/>
    <w:rsid w:val="008E3DB9"/>
    <w:rsid w:val="008E4FBB"/>
    <w:rsid w:val="008E63CE"/>
    <w:rsid w:val="008E6ACE"/>
    <w:rsid w:val="008E71AE"/>
    <w:rsid w:val="008E779C"/>
    <w:rsid w:val="008E794F"/>
    <w:rsid w:val="008E7B1D"/>
    <w:rsid w:val="008F096B"/>
    <w:rsid w:val="008F1B79"/>
    <w:rsid w:val="008F3406"/>
    <w:rsid w:val="008F3D64"/>
    <w:rsid w:val="008F61FC"/>
    <w:rsid w:val="008F7836"/>
    <w:rsid w:val="008F7C55"/>
    <w:rsid w:val="0090011E"/>
    <w:rsid w:val="0090274F"/>
    <w:rsid w:val="0090340C"/>
    <w:rsid w:val="00903E47"/>
    <w:rsid w:val="0090621B"/>
    <w:rsid w:val="009063EE"/>
    <w:rsid w:val="00906622"/>
    <w:rsid w:val="00910176"/>
    <w:rsid w:val="00912510"/>
    <w:rsid w:val="00914441"/>
    <w:rsid w:val="009201C7"/>
    <w:rsid w:val="00921D30"/>
    <w:rsid w:val="009235BA"/>
    <w:rsid w:val="009244B2"/>
    <w:rsid w:val="00924845"/>
    <w:rsid w:val="00927BA7"/>
    <w:rsid w:val="00930033"/>
    <w:rsid w:val="00930C9E"/>
    <w:rsid w:val="00930E7A"/>
    <w:rsid w:val="0093211A"/>
    <w:rsid w:val="009326E7"/>
    <w:rsid w:val="00933159"/>
    <w:rsid w:val="00935737"/>
    <w:rsid w:val="00940476"/>
    <w:rsid w:val="00940E5B"/>
    <w:rsid w:val="00940EDB"/>
    <w:rsid w:val="009416CB"/>
    <w:rsid w:val="00943E4D"/>
    <w:rsid w:val="00951970"/>
    <w:rsid w:val="00951ED8"/>
    <w:rsid w:val="009547C8"/>
    <w:rsid w:val="00954CE7"/>
    <w:rsid w:val="00955488"/>
    <w:rsid w:val="00956357"/>
    <w:rsid w:val="009569E3"/>
    <w:rsid w:val="00960EF9"/>
    <w:rsid w:val="009639B4"/>
    <w:rsid w:val="00964155"/>
    <w:rsid w:val="0096590B"/>
    <w:rsid w:val="0096686A"/>
    <w:rsid w:val="009672E3"/>
    <w:rsid w:val="009712EA"/>
    <w:rsid w:val="0097198D"/>
    <w:rsid w:val="009727FA"/>
    <w:rsid w:val="0097356F"/>
    <w:rsid w:val="00974F34"/>
    <w:rsid w:val="009758B2"/>
    <w:rsid w:val="009769BC"/>
    <w:rsid w:val="00976D7B"/>
    <w:rsid w:val="00977E44"/>
    <w:rsid w:val="0098006B"/>
    <w:rsid w:val="00982A8D"/>
    <w:rsid w:val="00983082"/>
    <w:rsid w:val="00984D0D"/>
    <w:rsid w:val="00986E9C"/>
    <w:rsid w:val="009878DA"/>
    <w:rsid w:val="00991EC2"/>
    <w:rsid w:val="00992472"/>
    <w:rsid w:val="00992B61"/>
    <w:rsid w:val="00993009"/>
    <w:rsid w:val="009936A5"/>
    <w:rsid w:val="009941C0"/>
    <w:rsid w:val="0099521C"/>
    <w:rsid w:val="00996046"/>
    <w:rsid w:val="009963AD"/>
    <w:rsid w:val="0099649C"/>
    <w:rsid w:val="00997072"/>
    <w:rsid w:val="009978B7"/>
    <w:rsid w:val="009A030A"/>
    <w:rsid w:val="009A0F67"/>
    <w:rsid w:val="009A23BB"/>
    <w:rsid w:val="009A2F75"/>
    <w:rsid w:val="009A3837"/>
    <w:rsid w:val="009A445B"/>
    <w:rsid w:val="009A4817"/>
    <w:rsid w:val="009A6C6B"/>
    <w:rsid w:val="009B47CF"/>
    <w:rsid w:val="009B61AD"/>
    <w:rsid w:val="009B62FC"/>
    <w:rsid w:val="009B64FC"/>
    <w:rsid w:val="009B6A6F"/>
    <w:rsid w:val="009B74A6"/>
    <w:rsid w:val="009C086F"/>
    <w:rsid w:val="009C088C"/>
    <w:rsid w:val="009C2BBB"/>
    <w:rsid w:val="009C4C40"/>
    <w:rsid w:val="009C507D"/>
    <w:rsid w:val="009C72A1"/>
    <w:rsid w:val="009C76AE"/>
    <w:rsid w:val="009D03A5"/>
    <w:rsid w:val="009D1253"/>
    <w:rsid w:val="009D2098"/>
    <w:rsid w:val="009D2311"/>
    <w:rsid w:val="009D290C"/>
    <w:rsid w:val="009D3397"/>
    <w:rsid w:val="009D3EDA"/>
    <w:rsid w:val="009D4CC5"/>
    <w:rsid w:val="009D56E0"/>
    <w:rsid w:val="009D6D22"/>
    <w:rsid w:val="009D76E8"/>
    <w:rsid w:val="009E0985"/>
    <w:rsid w:val="009E4847"/>
    <w:rsid w:val="009E4BA5"/>
    <w:rsid w:val="009E7ECF"/>
    <w:rsid w:val="009F1BF2"/>
    <w:rsid w:val="009F20FA"/>
    <w:rsid w:val="009F59AA"/>
    <w:rsid w:val="009F62C0"/>
    <w:rsid w:val="009F7617"/>
    <w:rsid w:val="009F7F6D"/>
    <w:rsid w:val="00A0148A"/>
    <w:rsid w:val="00A05F03"/>
    <w:rsid w:val="00A10D93"/>
    <w:rsid w:val="00A11339"/>
    <w:rsid w:val="00A13464"/>
    <w:rsid w:val="00A13B47"/>
    <w:rsid w:val="00A142C7"/>
    <w:rsid w:val="00A15635"/>
    <w:rsid w:val="00A16906"/>
    <w:rsid w:val="00A1782B"/>
    <w:rsid w:val="00A2128F"/>
    <w:rsid w:val="00A2244D"/>
    <w:rsid w:val="00A22C4B"/>
    <w:rsid w:val="00A232A3"/>
    <w:rsid w:val="00A244EC"/>
    <w:rsid w:val="00A24CD6"/>
    <w:rsid w:val="00A255BC"/>
    <w:rsid w:val="00A25836"/>
    <w:rsid w:val="00A26C02"/>
    <w:rsid w:val="00A26F02"/>
    <w:rsid w:val="00A27375"/>
    <w:rsid w:val="00A27C41"/>
    <w:rsid w:val="00A32197"/>
    <w:rsid w:val="00A337F0"/>
    <w:rsid w:val="00A35775"/>
    <w:rsid w:val="00A35ECF"/>
    <w:rsid w:val="00A3638D"/>
    <w:rsid w:val="00A364FD"/>
    <w:rsid w:val="00A37324"/>
    <w:rsid w:val="00A3741A"/>
    <w:rsid w:val="00A41CC9"/>
    <w:rsid w:val="00A41D03"/>
    <w:rsid w:val="00A42293"/>
    <w:rsid w:val="00A442CD"/>
    <w:rsid w:val="00A4447C"/>
    <w:rsid w:val="00A45818"/>
    <w:rsid w:val="00A461C8"/>
    <w:rsid w:val="00A46297"/>
    <w:rsid w:val="00A463C4"/>
    <w:rsid w:val="00A466FD"/>
    <w:rsid w:val="00A50375"/>
    <w:rsid w:val="00A506E4"/>
    <w:rsid w:val="00A508E5"/>
    <w:rsid w:val="00A51347"/>
    <w:rsid w:val="00A515F4"/>
    <w:rsid w:val="00A56E9B"/>
    <w:rsid w:val="00A6031B"/>
    <w:rsid w:val="00A60AFA"/>
    <w:rsid w:val="00A60ED2"/>
    <w:rsid w:val="00A61E73"/>
    <w:rsid w:val="00A6235C"/>
    <w:rsid w:val="00A657D0"/>
    <w:rsid w:val="00A65FA6"/>
    <w:rsid w:val="00A675C4"/>
    <w:rsid w:val="00A71721"/>
    <w:rsid w:val="00A71C2A"/>
    <w:rsid w:val="00A71F34"/>
    <w:rsid w:val="00A723F7"/>
    <w:rsid w:val="00A724F0"/>
    <w:rsid w:val="00A725A0"/>
    <w:rsid w:val="00A7614E"/>
    <w:rsid w:val="00A76B02"/>
    <w:rsid w:val="00A7763F"/>
    <w:rsid w:val="00A82060"/>
    <w:rsid w:val="00A82A8E"/>
    <w:rsid w:val="00A8434B"/>
    <w:rsid w:val="00A84C48"/>
    <w:rsid w:val="00A85D6F"/>
    <w:rsid w:val="00A86F6E"/>
    <w:rsid w:val="00A913EB"/>
    <w:rsid w:val="00A916D7"/>
    <w:rsid w:val="00A92591"/>
    <w:rsid w:val="00A93792"/>
    <w:rsid w:val="00A949EF"/>
    <w:rsid w:val="00A96C4A"/>
    <w:rsid w:val="00AA0BDA"/>
    <w:rsid w:val="00AA33B6"/>
    <w:rsid w:val="00AA4A5A"/>
    <w:rsid w:val="00AA7097"/>
    <w:rsid w:val="00AA7E96"/>
    <w:rsid w:val="00AA7F15"/>
    <w:rsid w:val="00AB04CC"/>
    <w:rsid w:val="00AB0A5A"/>
    <w:rsid w:val="00AB0D4E"/>
    <w:rsid w:val="00AB1565"/>
    <w:rsid w:val="00AB2F2E"/>
    <w:rsid w:val="00AB3004"/>
    <w:rsid w:val="00AB354C"/>
    <w:rsid w:val="00AB7394"/>
    <w:rsid w:val="00AB7B0F"/>
    <w:rsid w:val="00AC0310"/>
    <w:rsid w:val="00AC5EB4"/>
    <w:rsid w:val="00AD035D"/>
    <w:rsid w:val="00AD0976"/>
    <w:rsid w:val="00AD0D3D"/>
    <w:rsid w:val="00AD18E5"/>
    <w:rsid w:val="00AD1D3C"/>
    <w:rsid w:val="00AD2F32"/>
    <w:rsid w:val="00AD32EB"/>
    <w:rsid w:val="00AD4067"/>
    <w:rsid w:val="00AD4244"/>
    <w:rsid w:val="00AD5122"/>
    <w:rsid w:val="00AD5188"/>
    <w:rsid w:val="00AD5978"/>
    <w:rsid w:val="00AD5B8F"/>
    <w:rsid w:val="00AD6325"/>
    <w:rsid w:val="00AD7018"/>
    <w:rsid w:val="00AD75C1"/>
    <w:rsid w:val="00AE0183"/>
    <w:rsid w:val="00AE0D97"/>
    <w:rsid w:val="00AE2234"/>
    <w:rsid w:val="00AE4F80"/>
    <w:rsid w:val="00AE522D"/>
    <w:rsid w:val="00AE7D52"/>
    <w:rsid w:val="00AF0E2A"/>
    <w:rsid w:val="00AF172F"/>
    <w:rsid w:val="00AF1DC1"/>
    <w:rsid w:val="00AF4A98"/>
    <w:rsid w:val="00AF5952"/>
    <w:rsid w:val="00AF75D7"/>
    <w:rsid w:val="00B00824"/>
    <w:rsid w:val="00B02A71"/>
    <w:rsid w:val="00B03D9C"/>
    <w:rsid w:val="00B045BC"/>
    <w:rsid w:val="00B1166F"/>
    <w:rsid w:val="00B12AC7"/>
    <w:rsid w:val="00B13660"/>
    <w:rsid w:val="00B13972"/>
    <w:rsid w:val="00B14D08"/>
    <w:rsid w:val="00B16BA5"/>
    <w:rsid w:val="00B1799F"/>
    <w:rsid w:val="00B20A53"/>
    <w:rsid w:val="00B22F98"/>
    <w:rsid w:val="00B23FAC"/>
    <w:rsid w:val="00B250D1"/>
    <w:rsid w:val="00B25CA0"/>
    <w:rsid w:val="00B26539"/>
    <w:rsid w:val="00B2716D"/>
    <w:rsid w:val="00B31316"/>
    <w:rsid w:val="00B3181A"/>
    <w:rsid w:val="00B3245E"/>
    <w:rsid w:val="00B34865"/>
    <w:rsid w:val="00B37ECF"/>
    <w:rsid w:val="00B41020"/>
    <w:rsid w:val="00B41BBF"/>
    <w:rsid w:val="00B42120"/>
    <w:rsid w:val="00B42355"/>
    <w:rsid w:val="00B43D50"/>
    <w:rsid w:val="00B442B4"/>
    <w:rsid w:val="00B4515E"/>
    <w:rsid w:val="00B46031"/>
    <w:rsid w:val="00B476C6"/>
    <w:rsid w:val="00B5127F"/>
    <w:rsid w:val="00B516F7"/>
    <w:rsid w:val="00B5272C"/>
    <w:rsid w:val="00B52B03"/>
    <w:rsid w:val="00B57538"/>
    <w:rsid w:val="00B578DB"/>
    <w:rsid w:val="00B60BC9"/>
    <w:rsid w:val="00B6146F"/>
    <w:rsid w:val="00B61652"/>
    <w:rsid w:val="00B61DEE"/>
    <w:rsid w:val="00B62C1F"/>
    <w:rsid w:val="00B62E47"/>
    <w:rsid w:val="00B6427C"/>
    <w:rsid w:val="00B646C9"/>
    <w:rsid w:val="00B64F50"/>
    <w:rsid w:val="00B6747C"/>
    <w:rsid w:val="00B72898"/>
    <w:rsid w:val="00B72977"/>
    <w:rsid w:val="00B72ACF"/>
    <w:rsid w:val="00B73487"/>
    <w:rsid w:val="00B73BE1"/>
    <w:rsid w:val="00B7508C"/>
    <w:rsid w:val="00B776D7"/>
    <w:rsid w:val="00B777B5"/>
    <w:rsid w:val="00B80393"/>
    <w:rsid w:val="00B81AB1"/>
    <w:rsid w:val="00B84622"/>
    <w:rsid w:val="00B8543E"/>
    <w:rsid w:val="00B86063"/>
    <w:rsid w:val="00B86695"/>
    <w:rsid w:val="00B91338"/>
    <w:rsid w:val="00B91400"/>
    <w:rsid w:val="00B91925"/>
    <w:rsid w:val="00B92068"/>
    <w:rsid w:val="00B9241D"/>
    <w:rsid w:val="00B94342"/>
    <w:rsid w:val="00B945D5"/>
    <w:rsid w:val="00B958BC"/>
    <w:rsid w:val="00B95E29"/>
    <w:rsid w:val="00B969D1"/>
    <w:rsid w:val="00B96EB3"/>
    <w:rsid w:val="00BA21E8"/>
    <w:rsid w:val="00BA331B"/>
    <w:rsid w:val="00BA3690"/>
    <w:rsid w:val="00BA3707"/>
    <w:rsid w:val="00BA3881"/>
    <w:rsid w:val="00BA44E1"/>
    <w:rsid w:val="00BA7BC3"/>
    <w:rsid w:val="00BB3B92"/>
    <w:rsid w:val="00BB5F5D"/>
    <w:rsid w:val="00BB6507"/>
    <w:rsid w:val="00BB6F80"/>
    <w:rsid w:val="00BC0136"/>
    <w:rsid w:val="00BC0EA3"/>
    <w:rsid w:val="00BC12B6"/>
    <w:rsid w:val="00BC1F0B"/>
    <w:rsid w:val="00BC525E"/>
    <w:rsid w:val="00BC70CC"/>
    <w:rsid w:val="00BC779B"/>
    <w:rsid w:val="00BC78A1"/>
    <w:rsid w:val="00BD054F"/>
    <w:rsid w:val="00BD1085"/>
    <w:rsid w:val="00BD3CD8"/>
    <w:rsid w:val="00BD4208"/>
    <w:rsid w:val="00BD44E1"/>
    <w:rsid w:val="00BD5AEB"/>
    <w:rsid w:val="00BD78F5"/>
    <w:rsid w:val="00BE19F4"/>
    <w:rsid w:val="00BE5DEE"/>
    <w:rsid w:val="00BE7106"/>
    <w:rsid w:val="00BE7E46"/>
    <w:rsid w:val="00BE7F78"/>
    <w:rsid w:val="00BF0FF8"/>
    <w:rsid w:val="00BF25BE"/>
    <w:rsid w:val="00BF32E4"/>
    <w:rsid w:val="00BF55FB"/>
    <w:rsid w:val="00BF5756"/>
    <w:rsid w:val="00BF5A4E"/>
    <w:rsid w:val="00BF63AB"/>
    <w:rsid w:val="00BF67B6"/>
    <w:rsid w:val="00BF6819"/>
    <w:rsid w:val="00BF69C6"/>
    <w:rsid w:val="00C059AB"/>
    <w:rsid w:val="00C06842"/>
    <w:rsid w:val="00C10F90"/>
    <w:rsid w:val="00C111B2"/>
    <w:rsid w:val="00C139D6"/>
    <w:rsid w:val="00C13DD4"/>
    <w:rsid w:val="00C14404"/>
    <w:rsid w:val="00C207EA"/>
    <w:rsid w:val="00C20F76"/>
    <w:rsid w:val="00C22A50"/>
    <w:rsid w:val="00C23908"/>
    <w:rsid w:val="00C23D10"/>
    <w:rsid w:val="00C24F61"/>
    <w:rsid w:val="00C30F37"/>
    <w:rsid w:val="00C31851"/>
    <w:rsid w:val="00C326ED"/>
    <w:rsid w:val="00C33B35"/>
    <w:rsid w:val="00C352A0"/>
    <w:rsid w:val="00C3711E"/>
    <w:rsid w:val="00C4361E"/>
    <w:rsid w:val="00C4376F"/>
    <w:rsid w:val="00C45622"/>
    <w:rsid w:val="00C458DB"/>
    <w:rsid w:val="00C46C55"/>
    <w:rsid w:val="00C4740B"/>
    <w:rsid w:val="00C50007"/>
    <w:rsid w:val="00C50102"/>
    <w:rsid w:val="00C50132"/>
    <w:rsid w:val="00C51098"/>
    <w:rsid w:val="00C519F9"/>
    <w:rsid w:val="00C52A4A"/>
    <w:rsid w:val="00C54A2A"/>
    <w:rsid w:val="00C60C4C"/>
    <w:rsid w:val="00C6234F"/>
    <w:rsid w:val="00C62B7D"/>
    <w:rsid w:val="00C64EAF"/>
    <w:rsid w:val="00C65244"/>
    <w:rsid w:val="00C654EF"/>
    <w:rsid w:val="00C65988"/>
    <w:rsid w:val="00C66527"/>
    <w:rsid w:val="00C66865"/>
    <w:rsid w:val="00C66EC1"/>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3DE3"/>
    <w:rsid w:val="00C8428D"/>
    <w:rsid w:val="00C842DE"/>
    <w:rsid w:val="00C84DEA"/>
    <w:rsid w:val="00C8533E"/>
    <w:rsid w:val="00C85ED8"/>
    <w:rsid w:val="00C8651C"/>
    <w:rsid w:val="00C86D36"/>
    <w:rsid w:val="00C87845"/>
    <w:rsid w:val="00C908D5"/>
    <w:rsid w:val="00C91885"/>
    <w:rsid w:val="00C91F1D"/>
    <w:rsid w:val="00C92959"/>
    <w:rsid w:val="00C95911"/>
    <w:rsid w:val="00C95B7D"/>
    <w:rsid w:val="00CA0293"/>
    <w:rsid w:val="00CA1799"/>
    <w:rsid w:val="00CA4C96"/>
    <w:rsid w:val="00CA4E75"/>
    <w:rsid w:val="00CA6C7E"/>
    <w:rsid w:val="00CA72CA"/>
    <w:rsid w:val="00CA7E23"/>
    <w:rsid w:val="00CB2703"/>
    <w:rsid w:val="00CB4704"/>
    <w:rsid w:val="00CB50B6"/>
    <w:rsid w:val="00CB5D9D"/>
    <w:rsid w:val="00CC0057"/>
    <w:rsid w:val="00CC0079"/>
    <w:rsid w:val="00CC0EB5"/>
    <w:rsid w:val="00CC2D44"/>
    <w:rsid w:val="00CC5D86"/>
    <w:rsid w:val="00CC6133"/>
    <w:rsid w:val="00CC6206"/>
    <w:rsid w:val="00CD09FC"/>
    <w:rsid w:val="00CD1A11"/>
    <w:rsid w:val="00CD259C"/>
    <w:rsid w:val="00CD3CE8"/>
    <w:rsid w:val="00CD46B2"/>
    <w:rsid w:val="00CD4D00"/>
    <w:rsid w:val="00CE0E4E"/>
    <w:rsid w:val="00CE0EB5"/>
    <w:rsid w:val="00CE160D"/>
    <w:rsid w:val="00CE24A2"/>
    <w:rsid w:val="00CE423A"/>
    <w:rsid w:val="00CE4893"/>
    <w:rsid w:val="00CE5198"/>
    <w:rsid w:val="00CE5B60"/>
    <w:rsid w:val="00CE5F83"/>
    <w:rsid w:val="00CE738D"/>
    <w:rsid w:val="00CE7567"/>
    <w:rsid w:val="00CF01B6"/>
    <w:rsid w:val="00CF417D"/>
    <w:rsid w:val="00CF46F7"/>
    <w:rsid w:val="00CF6B6D"/>
    <w:rsid w:val="00CF76B3"/>
    <w:rsid w:val="00D02605"/>
    <w:rsid w:val="00D03D08"/>
    <w:rsid w:val="00D04F33"/>
    <w:rsid w:val="00D113E4"/>
    <w:rsid w:val="00D1275E"/>
    <w:rsid w:val="00D15493"/>
    <w:rsid w:val="00D1684E"/>
    <w:rsid w:val="00D1754A"/>
    <w:rsid w:val="00D176D7"/>
    <w:rsid w:val="00D20E00"/>
    <w:rsid w:val="00D21555"/>
    <w:rsid w:val="00D21D41"/>
    <w:rsid w:val="00D21F72"/>
    <w:rsid w:val="00D22F36"/>
    <w:rsid w:val="00D232BB"/>
    <w:rsid w:val="00D24112"/>
    <w:rsid w:val="00D25EBC"/>
    <w:rsid w:val="00D26EF9"/>
    <w:rsid w:val="00D27DE7"/>
    <w:rsid w:val="00D311F4"/>
    <w:rsid w:val="00D32863"/>
    <w:rsid w:val="00D32B26"/>
    <w:rsid w:val="00D33A7C"/>
    <w:rsid w:val="00D33C49"/>
    <w:rsid w:val="00D34349"/>
    <w:rsid w:val="00D3551B"/>
    <w:rsid w:val="00D37DED"/>
    <w:rsid w:val="00D42531"/>
    <w:rsid w:val="00D46976"/>
    <w:rsid w:val="00D477D4"/>
    <w:rsid w:val="00D47C58"/>
    <w:rsid w:val="00D507E7"/>
    <w:rsid w:val="00D5173A"/>
    <w:rsid w:val="00D51804"/>
    <w:rsid w:val="00D51EDB"/>
    <w:rsid w:val="00D552CF"/>
    <w:rsid w:val="00D5705D"/>
    <w:rsid w:val="00D601F7"/>
    <w:rsid w:val="00D60808"/>
    <w:rsid w:val="00D61C30"/>
    <w:rsid w:val="00D620F0"/>
    <w:rsid w:val="00D62381"/>
    <w:rsid w:val="00D62519"/>
    <w:rsid w:val="00D62845"/>
    <w:rsid w:val="00D62F87"/>
    <w:rsid w:val="00D6548D"/>
    <w:rsid w:val="00D66838"/>
    <w:rsid w:val="00D67B4D"/>
    <w:rsid w:val="00D67DCC"/>
    <w:rsid w:val="00D73753"/>
    <w:rsid w:val="00D7381F"/>
    <w:rsid w:val="00D7417F"/>
    <w:rsid w:val="00D771AE"/>
    <w:rsid w:val="00D80845"/>
    <w:rsid w:val="00D815EB"/>
    <w:rsid w:val="00D82339"/>
    <w:rsid w:val="00D828EE"/>
    <w:rsid w:val="00D8454B"/>
    <w:rsid w:val="00D918F8"/>
    <w:rsid w:val="00D927AA"/>
    <w:rsid w:val="00D92A0C"/>
    <w:rsid w:val="00D935C7"/>
    <w:rsid w:val="00D96690"/>
    <w:rsid w:val="00DA0E6A"/>
    <w:rsid w:val="00DA3362"/>
    <w:rsid w:val="00DA499E"/>
    <w:rsid w:val="00DA4E18"/>
    <w:rsid w:val="00DA518D"/>
    <w:rsid w:val="00DA5D01"/>
    <w:rsid w:val="00DA623F"/>
    <w:rsid w:val="00DA7048"/>
    <w:rsid w:val="00DA7381"/>
    <w:rsid w:val="00DB1D5F"/>
    <w:rsid w:val="00DB1E95"/>
    <w:rsid w:val="00DB3036"/>
    <w:rsid w:val="00DB3DE0"/>
    <w:rsid w:val="00DB4148"/>
    <w:rsid w:val="00DB438B"/>
    <w:rsid w:val="00DB51BB"/>
    <w:rsid w:val="00DB559B"/>
    <w:rsid w:val="00DB578F"/>
    <w:rsid w:val="00DB6756"/>
    <w:rsid w:val="00DB7A49"/>
    <w:rsid w:val="00DB7D71"/>
    <w:rsid w:val="00DC0156"/>
    <w:rsid w:val="00DC19B2"/>
    <w:rsid w:val="00DC1FD0"/>
    <w:rsid w:val="00DC23D3"/>
    <w:rsid w:val="00DC2495"/>
    <w:rsid w:val="00DC3AC6"/>
    <w:rsid w:val="00DC45CD"/>
    <w:rsid w:val="00DC720C"/>
    <w:rsid w:val="00DC7FFE"/>
    <w:rsid w:val="00DD259E"/>
    <w:rsid w:val="00DE15B5"/>
    <w:rsid w:val="00DE2ADC"/>
    <w:rsid w:val="00DE4E5D"/>
    <w:rsid w:val="00DE752D"/>
    <w:rsid w:val="00DE7679"/>
    <w:rsid w:val="00DF1071"/>
    <w:rsid w:val="00DF1EE7"/>
    <w:rsid w:val="00DF39A6"/>
    <w:rsid w:val="00DF3C5D"/>
    <w:rsid w:val="00DF46FE"/>
    <w:rsid w:val="00DF49D3"/>
    <w:rsid w:val="00DF4C61"/>
    <w:rsid w:val="00DF5E36"/>
    <w:rsid w:val="00DF6B24"/>
    <w:rsid w:val="00E00144"/>
    <w:rsid w:val="00E01F5E"/>
    <w:rsid w:val="00E0390E"/>
    <w:rsid w:val="00E05D0F"/>
    <w:rsid w:val="00E13026"/>
    <w:rsid w:val="00E130B9"/>
    <w:rsid w:val="00E13A0B"/>
    <w:rsid w:val="00E14981"/>
    <w:rsid w:val="00E15E9A"/>
    <w:rsid w:val="00E17790"/>
    <w:rsid w:val="00E20C02"/>
    <w:rsid w:val="00E22612"/>
    <w:rsid w:val="00E2300E"/>
    <w:rsid w:val="00E243DD"/>
    <w:rsid w:val="00E25C31"/>
    <w:rsid w:val="00E27A6B"/>
    <w:rsid w:val="00E27BFA"/>
    <w:rsid w:val="00E303D7"/>
    <w:rsid w:val="00E310B6"/>
    <w:rsid w:val="00E310F3"/>
    <w:rsid w:val="00E3121F"/>
    <w:rsid w:val="00E32931"/>
    <w:rsid w:val="00E3301E"/>
    <w:rsid w:val="00E3304F"/>
    <w:rsid w:val="00E331E5"/>
    <w:rsid w:val="00E34FA3"/>
    <w:rsid w:val="00E35EED"/>
    <w:rsid w:val="00E3697D"/>
    <w:rsid w:val="00E373E9"/>
    <w:rsid w:val="00E40F8F"/>
    <w:rsid w:val="00E424A7"/>
    <w:rsid w:val="00E426D0"/>
    <w:rsid w:val="00E431F5"/>
    <w:rsid w:val="00E4561A"/>
    <w:rsid w:val="00E467F7"/>
    <w:rsid w:val="00E46FCB"/>
    <w:rsid w:val="00E47A89"/>
    <w:rsid w:val="00E51446"/>
    <w:rsid w:val="00E52A22"/>
    <w:rsid w:val="00E52D5C"/>
    <w:rsid w:val="00E5320D"/>
    <w:rsid w:val="00E550C1"/>
    <w:rsid w:val="00E55DB6"/>
    <w:rsid w:val="00E601D7"/>
    <w:rsid w:val="00E62D23"/>
    <w:rsid w:val="00E63DBC"/>
    <w:rsid w:val="00E63FEF"/>
    <w:rsid w:val="00E64493"/>
    <w:rsid w:val="00E64867"/>
    <w:rsid w:val="00E65BAC"/>
    <w:rsid w:val="00E6601E"/>
    <w:rsid w:val="00E66404"/>
    <w:rsid w:val="00E6679F"/>
    <w:rsid w:val="00E66F1E"/>
    <w:rsid w:val="00E708D5"/>
    <w:rsid w:val="00E7117D"/>
    <w:rsid w:val="00E713C6"/>
    <w:rsid w:val="00E7183D"/>
    <w:rsid w:val="00E7419E"/>
    <w:rsid w:val="00E74CA0"/>
    <w:rsid w:val="00E77B81"/>
    <w:rsid w:val="00E811A6"/>
    <w:rsid w:val="00E83D4E"/>
    <w:rsid w:val="00E84AC9"/>
    <w:rsid w:val="00E8559C"/>
    <w:rsid w:val="00E86025"/>
    <w:rsid w:val="00E87E2F"/>
    <w:rsid w:val="00E92363"/>
    <w:rsid w:val="00E92F38"/>
    <w:rsid w:val="00E92FD3"/>
    <w:rsid w:val="00E93D0B"/>
    <w:rsid w:val="00E955A2"/>
    <w:rsid w:val="00E95E70"/>
    <w:rsid w:val="00E97F0C"/>
    <w:rsid w:val="00EA0C3E"/>
    <w:rsid w:val="00EA368A"/>
    <w:rsid w:val="00EA5488"/>
    <w:rsid w:val="00EA58F2"/>
    <w:rsid w:val="00EA591A"/>
    <w:rsid w:val="00EA63BE"/>
    <w:rsid w:val="00EB4BA3"/>
    <w:rsid w:val="00EB4FB4"/>
    <w:rsid w:val="00EB645A"/>
    <w:rsid w:val="00EB6D6D"/>
    <w:rsid w:val="00EC0E4C"/>
    <w:rsid w:val="00EC1A0F"/>
    <w:rsid w:val="00EC369E"/>
    <w:rsid w:val="00EC393F"/>
    <w:rsid w:val="00EC4354"/>
    <w:rsid w:val="00EC4B65"/>
    <w:rsid w:val="00EC6E83"/>
    <w:rsid w:val="00EC73AE"/>
    <w:rsid w:val="00EC78DA"/>
    <w:rsid w:val="00ED14B2"/>
    <w:rsid w:val="00ED2796"/>
    <w:rsid w:val="00ED3AC0"/>
    <w:rsid w:val="00ED4AB2"/>
    <w:rsid w:val="00ED5ACC"/>
    <w:rsid w:val="00EE190A"/>
    <w:rsid w:val="00EE1D7B"/>
    <w:rsid w:val="00EE2B5A"/>
    <w:rsid w:val="00EE2E9B"/>
    <w:rsid w:val="00EE30AE"/>
    <w:rsid w:val="00EE4988"/>
    <w:rsid w:val="00EE5B95"/>
    <w:rsid w:val="00EE6158"/>
    <w:rsid w:val="00EE6DB3"/>
    <w:rsid w:val="00EE750F"/>
    <w:rsid w:val="00EF01FE"/>
    <w:rsid w:val="00EF4B34"/>
    <w:rsid w:val="00EF4EDF"/>
    <w:rsid w:val="00EF6AA5"/>
    <w:rsid w:val="00EF6B5D"/>
    <w:rsid w:val="00EF6E4F"/>
    <w:rsid w:val="00F00E5D"/>
    <w:rsid w:val="00F01108"/>
    <w:rsid w:val="00F02824"/>
    <w:rsid w:val="00F028EC"/>
    <w:rsid w:val="00F037E6"/>
    <w:rsid w:val="00F03E32"/>
    <w:rsid w:val="00F048A2"/>
    <w:rsid w:val="00F0617F"/>
    <w:rsid w:val="00F06599"/>
    <w:rsid w:val="00F06A8A"/>
    <w:rsid w:val="00F06CC8"/>
    <w:rsid w:val="00F11C07"/>
    <w:rsid w:val="00F1259F"/>
    <w:rsid w:val="00F1487E"/>
    <w:rsid w:val="00F15180"/>
    <w:rsid w:val="00F1638C"/>
    <w:rsid w:val="00F202E8"/>
    <w:rsid w:val="00F23402"/>
    <w:rsid w:val="00F23DDC"/>
    <w:rsid w:val="00F2478A"/>
    <w:rsid w:val="00F24AB8"/>
    <w:rsid w:val="00F253AE"/>
    <w:rsid w:val="00F256FB"/>
    <w:rsid w:val="00F301A4"/>
    <w:rsid w:val="00F30A77"/>
    <w:rsid w:val="00F32665"/>
    <w:rsid w:val="00F32B4F"/>
    <w:rsid w:val="00F3317A"/>
    <w:rsid w:val="00F331C8"/>
    <w:rsid w:val="00F40653"/>
    <w:rsid w:val="00F4191A"/>
    <w:rsid w:val="00F422AD"/>
    <w:rsid w:val="00F45789"/>
    <w:rsid w:val="00F500A0"/>
    <w:rsid w:val="00F5103E"/>
    <w:rsid w:val="00F51734"/>
    <w:rsid w:val="00F5268A"/>
    <w:rsid w:val="00F535B1"/>
    <w:rsid w:val="00F5363C"/>
    <w:rsid w:val="00F551C7"/>
    <w:rsid w:val="00F5664F"/>
    <w:rsid w:val="00F57FDA"/>
    <w:rsid w:val="00F60539"/>
    <w:rsid w:val="00F60DE7"/>
    <w:rsid w:val="00F630DE"/>
    <w:rsid w:val="00F63738"/>
    <w:rsid w:val="00F6380B"/>
    <w:rsid w:val="00F646A5"/>
    <w:rsid w:val="00F65E95"/>
    <w:rsid w:val="00F66092"/>
    <w:rsid w:val="00F66C10"/>
    <w:rsid w:val="00F67F15"/>
    <w:rsid w:val="00F72968"/>
    <w:rsid w:val="00F737BE"/>
    <w:rsid w:val="00F74B3B"/>
    <w:rsid w:val="00F7628C"/>
    <w:rsid w:val="00F7667C"/>
    <w:rsid w:val="00F77D0C"/>
    <w:rsid w:val="00F8091C"/>
    <w:rsid w:val="00F80DFA"/>
    <w:rsid w:val="00F81726"/>
    <w:rsid w:val="00F818C8"/>
    <w:rsid w:val="00F83174"/>
    <w:rsid w:val="00F834E4"/>
    <w:rsid w:val="00F83B3A"/>
    <w:rsid w:val="00F83E41"/>
    <w:rsid w:val="00F84569"/>
    <w:rsid w:val="00F85A17"/>
    <w:rsid w:val="00F91E90"/>
    <w:rsid w:val="00F92568"/>
    <w:rsid w:val="00F92DEF"/>
    <w:rsid w:val="00F92E36"/>
    <w:rsid w:val="00F94825"/>
    <w:rsid w:val="00FA1D62"/>
    <w:rsid w:val="00FA5604"/>
    <w:rsid w:val="00FA5A6D"/>
    <w:rsid w:val="00FA6948"/>
    <w:rsid w:val="00FA73AF"/>
    <w:rsid w:val="00FA7F06"/>
    <w:rsid w:val="00FB0EF8"/>
    <w:rsid w:val="00FB143F"/>
    <w:rsid w:val="00FB3298"/>
    <w:rsid w:val="00FB4DE3"/>
    <w:rsid w:val="00FB4F1A"/>
    <w:rsid w:val="00FB64A3"/>
    <w:rsid w:val="00FB708E"/>
    <w:rsid w:val="00FC04A2"/>
    <w:rsid w:val="00FC0717"/>
    <w:rsid w:val="00FC0778"/>
    <w:rsid w:val="00FC0C81"/>
    <w:rsid w:val="00FC6A40"/>
    <w:rsid w:val="00FC760B"/>
    <w:rsid w:val="00FD1513"/>
    <w:rsid w:val="00FD3815"/>
    <w:rsid w:val="00FD39AD"/>
    <w:rsid w:val="00FD404B"/>
    <w:rsid w:val="00FD4148"/>
    <w:rsid w:val="00FD5C20"/>
    <w:rsid w:val="00FD5FD0"/>
    <w:rsid w:val="00FE204D"/>
    <w:rsid w:val="00FE5773"/>
    <w:rsid w:val="00FE6F22"/>
    <w:rsid w:val="00FE7985"/>
    <w:rsid w:val="00FF0ABF"/>
    <w:rsid w:val="00FF158C"/>
    <w:rsid w:val="00FF21D8"/>
    <w:rsid w:val="00FF21EC"/>
    <w:rsid w:val="00FF29AA"/>
    <w:rsid w:val="00FF2E6F"/>
    <w:rsid w:val="00FF2EC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32"/>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link w:val="Heading2Char"/>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9Char">
    <w:name w:val="Heading 9 Char"/>
    <w:basedOn w:val="DefaultParagraphFont"/>
    <w:link w:val="Heading9"/>
    <w:uiPriority w:val="9"/>
    <w:rsid w:val="00771F9D"/>
    <w:rPr>
      <w:szCs w:val="20"/>
      <w:shd w:val="clear" w:color="auto" w:fill="FFFFFF"/>
    </w:rPr>
  </w:style>
  <w:style w:type="character" w:customStyle="1" w:styleId="BodyTextChar">
    <w:name w:val="Body Text Char"/>
    <w:basedOn w:val="DefaultParagraphFont"/>
    <w:link w:val="BodyText"/>
    <w:uiPriority w:val="99"/>
    <w:rsid w:val="00B945D5"/>
    <w:rPr>
      <w:shd w:val="clear" w:color="auto" w:fill="FFFFFF"/>
    </w:rPr>
  </w:style>
  <w:style w:type="character" w:styleId="PlaceholderText">
    <w:name w:val="Placeholder Text"/>
    <w:basedOn w:val="DefaultParagraphFont"/>
    <w:uiPriority w:val="67"/>
    <w:semiHidden/>
    <w:rsid w:val="00D67DCC"/>
    <w:rPr>
      <w:color w:val="666666"/>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customStyle="1" w:styleId="FootnoteReference1">
    <w:name w:val="FootnoteReference_1"/>
    <w:uiPriority w:val="99"/>
    <w:rsid w:val="00CA72CA"/>
    <w:rPr>
      <w:position w:val="0"/>
      <w:vertAlign w:val="superscript"/>
    </w:rPr>
  </w:style>
  <w:style w:type="character" w:customStyle="1" w:styleId="Heading6Char">
    <w:name w:val="Heading 6 Char"/>
    <w:basedOn w:val="DefaultParagraphFont"/>
    <w:link w:val="Heading6"/>
    <w:uiPriority w:val="9"/>
    <w:rsid w:val="00771F9D"/>
    <w:rPr>
      <w:szCs w:val="20"/>
      <w:shd w:val="clear" w:color="auto" w:fill="FFFFFF"/>
    </w:rPr>
  </w:style>
  <w:style w:type="character" w:styleId="Hyperlink">
    <w:name w:val="Hyperlink"/>
    <w:uiPriority w:val="99"/>
    <w:rPr>
      <w:color w:val="0000FF"/>
      <w:u w:val="single"/>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paragraph" w:styleId="Header">
    <w:name w:val="header"/>
    <w:basedOn w:val="Normal"/>
    <w:link w:val="HeaderChar"/>
    <w:uiPriority w:val="99"/>
    <w:rsid w:val="002E3A5C"/>
    <w:pPr>
      <w:tabs>
        <w:tab w:val="center" w:pos="4320"/>
        <w:tab w:val="right" w:pos="8640"/>
      </w:tabs>
    </w:pPr>
  </w:style>
  <w:style w:type="character" w:customStyle="1" w:styleId="normaltextrun">
    <w:name w:val="normaltextrun"/>
    <w:rPr>
      <w:sz w:val="22"/>
      <w:szCs w:val="22"/>
    </w:r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character" w:customStyle="1" w:styleId="CommentTextChar">
    <w:name w:val="Comment Text Char"/>
    <w:basedOn w:val="DefaultParagraphFont"/>
    <w:link w:val="CommentText"/>
    <w:uiPriority w:val="99"/>
    <w:rsid w:val="005E44C9"/>
    <w:rPr>
      <w:sz w:val="20"/>
      <w:szCs w:val="20"/>
      <w:shd w:val="clear" w:color="auto" w:fill="FFFFFF"/>
    </w:rPr>
  </w:style>
  <w:style w:type="paragraph" w:customStyle="1" w:styleId="Header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50132"/>
    <w:rPr>
      <w:rFonts w:ascii="Times New Roman" w:hAnsi="Times New Roman"/>
      <w:spacing w:val="0"/>
      <w:w w:val="100"/>
      <w:position w:val="0"/>
      <w:sz w:val="22"/>
      <w:szCs w:val="16"/>
      <w:vertAlign w:val="superscript"/>
    </w:rPr>
  </w:style>
  <w:style w:type="character" w:styleId="PageNumber">
    <w:name w:val="page number"/>
    <w:basedOn w:val="DefaultParagraphFont"/>
    <w:uiPriority w:val="99"/>
    <w:rsid w:val="002E3A5C"/>
  </w:style>
  <w:style w:type="paragraph" w:customStyle="1" w:styleId="Plain">
    <w:name w:val="Plain"/>
    <w:basedOn w:val="Normal"/>
    <w:rsid w:val="002E3A5C"/>
    <w:pPr>
      <w:jc w:val="both"/>
    </w:pPr>
  </w:style>
  <w:style w:type="paragraph" w:customStyle="1" w:styleId="EndnoteText">
    <w:name w:val="EndnoteText"/>
    <w:semiHidden/>
    <w:pPr>
      <w:tabs>
        <w:tab w:val="left" w:pos="360"/>
      </w:tabs>
      <w:spacing w:before="120" w:after="120"/>
      <w:ind w:firstLine="360"/>
    </w:pPr>
    <w:rPr>
      <w:sz w:val="20"/>
    </w:rPr>
  </w:style>
  <w:style w:type="paragraph" w:customStyle="1" w:styleId="Footer1">
    <w:name w:val="Footer_1"/>
    <w:uiPriority w:val="99"/>
    <w:pPr>
      <w:widowControl w:val="0"/>
      <w:shd w:val="clear" w:color="auto" w:fill="FFFFFF"/>
      <w:tabs>
        <w:tab w:val="center" w:pos="4320"/>
        <w:tab w:val="right" w:pos="8640"/>
      </w:tabs>
      <w:autoSpaceDE w:val="0"/>
      <w:autoSpaceDN w:val="0"/>
      <w:adjustRightInd w:val="0"/>
      <w:spacing w:after="240" w:line="240" w:lineRule="auto"/>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paragraph" w:customStyle="1" w:styleId="Address">
    <w:name w:val="Address"/>
    <w:basedOn w:val="Normal"/>
    <w:semiHidden/>
    <w:rsid w:val="00B43D50"/>
    <w:pPr>
      <w:widowControl/>
      <w:shd w:val="clear" w:color="auto" w:fill="auto"/>
      <w:autoSpaceDE/>
      <w:autoSpaceDN/>
      <w:adjustRightInd/>
      <w:spacing w:before="480" w:after="0"/>
    </w:pPr>
    <w:rPr>
      <w:rFonts w:ascii="Calibri" w:eastAsiaTheme="minorEastAsia" w:hAnsi="Calibri" w:cs="Calibri"/>
      <w:szCs w:val="20"/>
      <w:lang w:eastAsia="zh-CN"/>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character" w:customStyle="1" w:styleId="Heading7Char">
    <w:name w:val="Heading 7 Char"/>
    <w:basedOn w:val="DefaultParagraphFont"/>
    <w:link w:val="Heading7"/>
    <w:uiPriority w:val="9"/>
    <w:rsid w:val="00771F9D"/>
    <w:rPr>
      <w:szCs w:val="20"/>
      <w:shd w:val="clear" w:color="auto" w:fill="FFFFFF"/>
    </w:rPr>
  </w:style>
  <w:style w:type="character" w:customStyle="1" w:styleId="FootnoteTextChar">
    <w:name w:val="Footnote Text Char"/>
    <w:basedOn w:val="DefaultParagraphFont"/>
    <w:link w:val="FootnoteText"/>
    <w:uiPriority w:val="99"/>
    <w:rsid w:val="00CA72CA"/>
    <w:rPr>
      <w:sz w:val="20"/>
    </w:rPr>
  </w:style>
  <w:style w:type="table" w:customStyle="1" w:styleId="TableGrid1">
    <w:name w:val="TableGrid_1"/>
    <w:uiPriority w:val="99"/>
    <w:pPr>
      <w:adjustRightInd w:val="0"/>
      <w:spacing w:before="240" w:after="0"/>
      <w:ind w:firstLine="720"/>
      <w:jc w:val="both"/>
    </w:pPr>
    <w:rPr>
      <w:rFonts w:eastAsia="Times New Roman Bold"/>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paragraph" w:styleId="BodyText">
    <w:name w:val="Body Text"/>
    <w:basedOn w:val="Normal"/>
    <w:link w:val="BodyTextChar"/>
    <w:uiPriority w:val="99"/>
    <w:unhideWhenUsed/>
    <w:rsid w:val="00B945D5"/>
    <w:pPr>
      <w:ind w:firstLine="720"/>
      <w:jc w:val="both"/>
    </w:p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rsid w:val="00771F9D"/>
    <w:rPr>
      <w:szCs w:val="20"/>
      <w:shd w:val="clear" w:color="auto" w:fill="FFFFFF"/>
    </w:rPr>
  </w:style>
  <w:style w:type="paragraph" w:customStyle="1" w:styleId="MacPacTrailer">
    <w:name w:val="MacPac Trailer"/>
    <w:rsid w:val="00D67DCC"/>
    <w:pPr>
      <w:widowControl w:val="0"/>
      <w:spacing w:after="0" w:line="200" w:lineRule="exact"/>
    </w:pPr>
    <w:rPr>
      <w:rFonts w:ascii="Arial" w:hAnsi="Arial"/>
      <w:sz w:val="14"/>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customStyle="1" w:styleId="Heading8Char">
    <w:name w:val="Heading 8 Char"/>
    <w:basedOn w:val="DefaultParagraphFont"/>
    <w:link w:val="Heading8"/>
    <w:uiPriority w:val="9"/>
    <w:rsid w:val="00771F9D"/>
    <w:rPr>
      <w:szCs w:val="20"/>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customStyle="1" w:styleId="PageNumber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customStyle="1" w:styleId="HeadingPara2">
    <w:name w:val="Heading Para 2"/>
    <w:basedOn w:val="Heading2"/>
    <w:next w:val="Normal"/>
    <w:rsid w:val="00150A0F"/>
    <w:pPr>
      <w:numPr>
        <w:ilvl w:val="0"/>
        <w:numId w:val="0"/>
      </w:numPr>
      <w:spacing w:before="0" w:after="240"/>
      <w:outlineLvl w:val="9"/>
    </w:pPr>
  </w:style>
  <w:style w:type="paragraph" w:customStyle="1" w:styleId="HeadingPara1">
    <w:name w:val="Heading Para 1"/>
    <w:basedOn w:val="Heading1"/>
    <w:next w:val="Normal"/>
    <w:rsid w:val="00183D8F"/>
    <w:pPr>
      <w:numPr>
        <w:numId w:val="0"/>
      </w:numPr>
      <w:outlineLvl w:val="9"/>
    </w:pPr>
  </w:style>
  <w:style w:type="paragraph" w:customStyle="1" w:styleId="Heading51">
    <w:name w:val="Heading5_1"/>
    <w:uiPriority w:val="9"/>
    <w:unhideWhenUsed/>
    <w:qFormat/>
    <w:pPr>
      <w:shd w:val="clear" w:color="auto" w:fill="FFFFFF"/>
      <w:tabs>
        <w:tab w:val="num" w:pos="720"/>
        <w:tab w:val="num" w:pos="1440"/>
        <w:tab w:val="num" w:pos="2160"/>
        <w:tab w:val="num" w:pos="2880"/>
        <w:tab w:val="num" w:pos="3600"/>
      </w:tabs>
      <w:autoSpaceDE w:val="0"/>
      <w:autoSpaceDN w:val="0"/>
      <w:adjustRightInd w:val="0"/>
      <w:spacing w:before="240" w:after="0" w:line="240" w:lineRule="auto"/>
      <w:ind w:left="720" w:firstLine="2160"/>
      <w:jc w:val="both"/>
      <w:outlineLvl w:val="4"/>
    </w:pPr>
    <w:rPr>
      <w:szCs w:val="20"/>
    </w:rPr>
  </w:style>
  <w:style w:type="character" w:customStyle="1" w:styleId="Heading2Char">
    <w:name w:val="Heading 2 Char"/>
    <w:basedOn w:val="DefaultParagraphFont"/>
    <w:link w:val="Heading2"/>
    <w:uiPriority w:val="9"/>
    <w:rsid w:val="008C4979"/>
    <w:rPr>
      <w:szCs w:val="20"/>
      <w:shd w:val="clear" w:color="auto" w:fill="FFFFFF"/>
    </w:rPr>
  </w:style>
  <w:style w:type="paragraph" w:styleId="ListParagraph">
    <w:name w:val="List Paragraph"/>
    <w:basedOn w:val="Normal"/>
    <w:uiPriority w:val="72"/>
    <w:rsid w:val="00623940"/>
    <w:pPr>
      <w:ind w:left="720"/>
      <w:contextualSpacing/>
    </w:pPr>
  </w:style>
  <w:style w:type="character" w:styleId="UnresolvedMention">
    <w:name w:val="Unresolved Mention"/>
    <w:basedOn w:val="DefaultParagraphFont"/>
    <w:uiPriority w:val="99"/>
    <w:semiHidden/>
    <w:unhideWhenUsed/>
    <w:rsid w:val="00BF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519393192">
      <w:bodyDiv w:val="1"/>
      <w:marLeft w:val="0"/>
      <w:marRight w:val="0"/>
      <w:marTop w:val="0"/>
      <w:marBottom w:val="0"/>
      <w:divBdr>
        <w:top w:val="none" w:sz="0" w:space="0" w:color="auto"/>
        <w:left w:val="none" w:sz="0" w:space="0" w:color="auto"/>
        <w:bottom w:val="none" w:sz="0" w:space="0" w:color="auto"/>
        <w:right w:val="none" w:sz="0" w:space="0" w:color="auto"/>
      </w:divBdr>
    </w:div>
    <w:div w:id="1116946449">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 w:id="14489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fac.treasury.gov/sanctions-programs-and-country-information" TargetMode="External"/><Relationship Id="rId1" Type="http://schemas.openxmlformats.org/officeDocument/2006/relationships/hyperlink" Target="https://ofac.treasury.gov/recent-actions/2024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Template>
  <TotalTime>4</TotalTime>
  <Pages>51</Pages>
  <Words>19421</Words>
  <Characters>109200</Characters>
  <Application>Microsoft Office Word</Application>
  <DocSecurity>0</DocSecurity>
  <Lines>1560</Lines>
  <Paragraphs>508</Paragraphs>
  <ScaleCrop>false</ScaleCrop>
  <Company/>
  <LinksUpToDate>false</LinksUpToDate>
  <CharactersWithSpaces>128113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Diem-Mi Lu</dc:creator>
  <cp:lastModifiedBy>Diem-Mi Lu</cp:lastModifiedBy>
  <cp:revision>4</cp:revision>
  <cp:lastPrinted>2025-10-01T20:53:00Z</cp:lastPrinted>
  <dcterms:created xsi:type="dcterms:W3CDTF">2025-10-28T17:14:00Z</dcterms:created>
  <dcterms:modified xsi:type="dcterms:W3CDTF">2025-10-28T17:18:00Z</dcterms:modified>
</cp:coreProperties>
</file>