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75240" w14:textId="77777777" w:rsidR="005B3BE5" w:rsidRDefault="002647F6" w:rsidP="005B3BE5">
      <w:pPr>
        <w:jc w:val="center"/>
      </w:pPr>
      <w:r>
        <w:rPr>
          <w:noProof/>
        </w:rPr>
        <w:drawing>
          <wp:inline distT="0" distB="0" distL="0" distR="0" wp14:anchorId="2C463AE0" wp14:editId="1D4D7AD2">
            <wp:extent cx="3657600" cy="142266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1422661"/>
                    </a:xfrm>
                    <a:prstGeom prst="rect">
                      <a:avLst/>
                    </a:prstGeom>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4675"/>
        <w:gridCol w:w="4675"/>
      </w:tblGrid>
      <w:tr w:rsidR="001F2A6E" w14:paraId="68B3E037" w14:textId="77777777" w:rsidTr="004E78C0">
        <w:trPr>
          <w:jc w:val="center"/>
        </w:trPr>
        <w:tc>
          <w:tcPr>
            <w:tcW w:w="4675" w:type="dxa"/>
            <w:tcMar>
              <w:top w:w="0" w:type="dxa"/>
              <w:left w:w="108" w:type="dxa"/>
              <w:bottom w:w="0" w:type="dxa"/>
              <w:right w:w="108" w:type="dxa"/>
            </w:tcMar>
            <w:hideMark/>
          </w:tcPr>
          <w:p w14:paraId="119B218B" w14:textId="3FFE705A" w:rsidR="001F2A6E" w:rsidRDefault="000E1C97" w:rsidP="00CF5E50">
            <w:pPr>
              <w:rPr>
                <w:b/>
                <w:bCs/>
              </w:rPr>
            </w:pPr>
            <w:r w:rsidRPr="00721582">
              <w:rPr>
                <w:b/>
                <w:bCs/>
                <w:caps/>
              </w:rPr>
              <w:t>September</w:t>
            </w:r>
            <w:r>
              <w:rPr>
                <w:b/>
                <w:bCs/>
              </w:rPr>
              <w:t xml:space="preserve"> </w:t>
            </w:r>
            <w:r w:rsidR="00CF5E50">
              <w:rPr>
                <w:b/>
                <w:bCs/>
              </w:rPr>
              <w:t>29</w:t>
            </w:r>
            <w:r>
              <w:rPr>
                <w:b/>
                <w:bCs/>
              </w:rPr>
              <w:t>, 2017</w:t>
            </w:r>
          </w:p>
        </w:tc>
        <w:tc>
          <w:tcPr>
            <w:tcW w:w="4675" w:type="dxa"/>
            <w:tcMar>
              <w:top w:w="0" w:type="dxa"/>
              <w:left w:w="108" w:type="dxa"/>
              <w:bottom w:w="0" w:type="dxa"/>
              <w:right w:w="108" w:type="dxa"/>
            </w:tcMar>
            <w:hideMark/>
          </w:tcPr>
          <w:p w14:paraId="07627F22" w14:textId="77777777" w:rsidR="001F2A6E" w:rsidRDefault="001F2A6E" w:rsidP="004E78C0">
            <w:pPr>
              <w:jc w:val="right"/>
              <w:rPr>
                <w:b/>
                <w:bCs/>
              </w:rPr>
            </w:pPr>
            <w:r>
              <w:rPr>
                <w:b/>
                <w:bCs/>
              </w:rPr>
              <w:t>FOR IMMEDIATE RELEASE</w:t>
            </w:r>
          </w:p>
        </w:tc>
      </w:tr>
    </w:tbl>
    <w:p w14:paraId="57AD85E8" w14:textId="77777777" w:rsidR="000E1C97" w:rsidRDefault="000E1C97" w:rsidP="000E1C97">
      <w:pPr>
        <w:rPr>
          <w:b/>
        </w:rPr>
      </w:pPr>
    </w:p>
    <w:p w14:paraId="36F6ECA6" w14:textId="77777777" w:rsidR="000E1C97" w:rsidRPr="000E1C97" w:rsidRDefault="000E1C97" w:rsidP="000E1C97">
      <w:pPr>
        <w:rPr>
          <w:b/>
        </w:rPr>
      </w:pPr>
      <w:r>
        <w:rPr>
          <w:b/>
        </w:rPr>
        <w:t>Contacts:</w:t>
      </w:r>
    </w:p>
    <w:tbl>
      <w:tblPr>
        <w:tblStyle w:val="TableGrid"/>
        <w:tblW w:w="8732" w:type="dxa"/>
        <w:jc w:val="center"/>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2432"/>
        <w:gridCol w:w="3240"/>
        <w:gridCol w:w="3060"/>
      </w:tblGrid>
      <w:tr w:rsidR="004E6F47" w14:paraId="479097E1" w14:textId="77777777" w:rsidTr="000E78BA">
        <w:trPr>
          <w:jc w:val="center"/>
        </w:trPr>
        <w:tc>
          <w:tcPr>
            <w:tcW w:w="2432" w:type="dxa"/>
          </w:tcPr>
          <w:p w14:paraId="67EC8B78" w14:textId="77777777" w:rsidR="004E6F47" w:rsidRPr="000E1C97" w:rsidRDefault="004E6F47" w:rsidP="000E78BA">
            <w:pPr>
              <w:tabs>
                <w:tab w:val="left" w:pos="1818"/>
              </w:tabs>
              <w:rPr>
                <w:b/>
              </w:rPr>
            </w:pPr>
            <w:r w:rsidRPr="000E1C97">
              <w:rPr>
                <w:b/>
              </w:rPr>
              <w:t>Ben Veghte</w:t>
            </w:r>
          </w:p>
        </w:tc>
        <w:tc>
          <w:tcPr>
            <w:tcW w:w="3240" w:type="dxa"/>
          </w:tcPr>
          <w:p w14:paraId="78AF721A" w14:textId="77777777" w:rsidR="004E6F47" w:rsidRPr="000E1C97" w:rsidRDefault="004E6F47" w:rsidP="000E78BA">
            <w:pPr>
              <w:tabs>
                <w:tab w:val="left" w:pos="1818"/>
              </w:tabs>
              <w:rPr>
                <w:b/>
              </w:rPr>
            </w:pPr>
            <w:r w:rsidRPr="000E1C97">
              <w:rPr>
                <w:b/>
              </w:rPr>
              <w:t>Melissa Cruz</w:t>
            </w:r>
          </w:p>
        </w:tc>
        <w:tc>
          <w:tcPr>
            <w:tcW w:w="3060" w:type="dxa"/>
          </w:tcPr>
          <w:p w14:paraId="7DB944C8" w14:textId="77777777" w:rsidR="004E6F47" w:rsidRPr="000E1C97" w:rsidRDefault="004E6F47" w:rsidP="000E78BA">
            <w:pPr>
              <w:tabs>
                <w:tab w:val="left" w:pos="1818"/>
              </w:tabs>
              <w:rPr>
                <w:b/>
              </w:rPr>
            </w:pPr>
            <w:r w:rsidRPr="000E1C97">
              <w:rPr>
                <w:b/>
              </w:rPr>
              <w:t>Stacey Berkowitz</w:t>
            </w:r>
          </w:p>
        </w:tc>
      </w:tr>
      <w:tr w:rsidR="004E6F47" w14:paraId="2FDEB344" w14:textId="77777777" w:rsidTr="000E78BA">
        <w:trPr>
          <w:jc w:val="center"/>
        </w:trPr>
        <w:tc>
          <w:tcPr>
            <w:tcW w:w="2432" w:type="dxa"/>
          </w:tcPr>
          <w:p w14:paraId="111F69E2" w14:textId="77777777" w:rsidR="004E6F47" w:rsidRPr="000E1C97" w:rsidRDefault="004E6F47" w:rsidP="000E78BA">
            <w:pPr>
              <w:tabs>
                <w:tab w:val="left" w:pos="1818"/>
              </w:tabs>
            </w:pPr>
            <w:r w:rsidRPr="000E1C97">
              <w:t>NVCA</w:t>
            </w:r>
          </w:p>
        </w:tc>
        <w:tc>
          <w:tcPr>
            <w:tcW w:w="3240" w:type="dxa"/>
          </w:tcPr>
          <w:p w14:paraId="7D2DC017" w14:textId="77777777" w:rsidR="004E6F47" w:rsidRPr="000E1C97" w:rsidRDefault="004E6F47" w:rsidP="000E78BA">
            <w:pPr>
              <w:tabs>
                <w:tab w:val="left" w:pos="1818"/>
              </w:tabs>
            </w:pPr>
            <w:r>
              <w:t>American Immigration Council</w:t>
            </w:r>
          </w:p>
        </w:tc>
        <w:tc>
          <w:tcPr>
            <w:tcW w:w="3060" w:type="dxa"/>
          </w:tcPr>
          <w:p w14:paraId="5F2F2D03" w14:textId="77777777" w:rsidR="004E6F47" w:rsidRPr="000E1C97" w:rsidRDefault="004E6F47" w:rsidP="000E78BA">
            <w:pPr>
              <w:tabs>
                <w:tab w:val="left" w:pos="1818"/>
              </w:tabs>
            </w:pPr>
            <w:r w:rsidRPr="000E1C97">
              <w:t>Mayer Brown</w:t>
            </w:r>
          </w:p>
        </w:tc>
      </w:tr>
      <w:tr w:rsidR="004E6F47" w14:paraId="6A7247D5" w14:textId="77777777" w:rsidTr="000E78BA">
        <w:trPr>
          <w:jc w:val="center"/>
        </w:trPr>
        <w:tc>
          <w:tcPr>
            <w:tcW w:w="2432" w:type="dxa"/>
          </w:tcPr>
          <w:p w14:paraId="0D90161E" w14:textId="77777777" w:rsidR="004E6F47" w:rsidRPr="000E1C97" w:rsidRDefault="004E6F47" w:rsidP="000E78BA">
            <w:pPr>
              <w:tabs>
                <w:tab w:val="left" w:pos="1818"/>
              </w:tabs>
            </w:pPr>
            <w:r w:rsidRPr="000E1C97">
              <w:t>202-864-5923</w:t>
            </w:r>
          </w:p>
        </w:tc>
        <w:tc>
          <w:tcPr>
            <w:tcW w:w="3240" w:type="dxa"/>
          </w:tcPr>
          <w:p w14:paraId="6BAD2B47" w14:textId="77777777" w:rsidR="004E6F47" w:rsidRPr="000E1C97" w:rsidRDefault="004E6F47" w:rsidP="000E78BA">
            <w:pPr>
              <w:tabs>
                <w:tab w:val="left" w:pos="1818"/>
              </w:tabs>
            </w:pPr>
            <w:r w:rsidRPr="000E1C97">
              <w:t>202-507-7518</w:t>
            </w:r>
          </w:p>
        </w:tc>
        <w:tc>
          <w:tcPr>
            <w:tcW w:w="3060" w:type="dxa"/>
          </w:tcPr>
          <w:p w14:paraId="6D622D57" w14:textId="77777777" w:rsidR="004E6F47" w:rsidRPr="000E1C97" w:rsidRDefault="004E6F47" w:rsidP="000E78BA">
            <w:pPr>
              <w:tabs>
                <w:tab w:val="left" w:pos="1818"/>
              </w:tabs>
            </w:pPr>
            <w:r w:rsidRPr="000E1C97">
              <w:t>212-506-2636</w:t>
            </w:r>
          </w:p>
        </w:tc>
      </w:tr>
      <w:tr w:rsidR="004E6F47" w14:paraId="67F5B60E" w14:textId="77777777" w:rsidTr="000E78BA">
        <w:trPr>
          <w:jc w:val="center"/>
        </w:trPr>
        <w:tc>
          <w:tcPr>
            <w:tcW w:w="2432" w:type="dxa"/>
          </w:tcPr>
          <w:p w14:paraId="3D3A9F81" w14:textId="77777777" w:rsidR="004E6F47" w:rsidRPr="000E1C97" w:rsidRDefault="00D0462A" w:rsidP="000E78BA">
            <w:pPr>
              <w:tabs>
                <w:tab w:val="left" w:pos="1818"/>
              </w:tabs>
            </w:pPr>
            <w:hyperlink r:id="rId6" w:history="1">
              <w:r w:rsidR="004E6F47" w:rsidRPr="000E1C97">
                <w:rPr>
                  <w:rStyle w:val="Hyperlink"/>
                </w:rPr>
                <w:t>bveghte@nvca.org</w:t>
              </w:r>
            </w:hyperlink>
          </w:p>
        </w:tc>
        <w:tc>
          <w:tcPr>
            <w:tcW w:w="3240" w:type="dxa"/>
          </w:tcPr>
          <w:p w14:paraId="0D05EBA3" w14:textId="77777777" w:rsidR="004E6F47" w:rsidRPr="000E1C97" w:rsidRDefault="00D0462A" w:rsidP="000E78BA">
            <w:pPr>
              <w:tabs>
                <w:tab w:val="left" w:pos="1818"/>
              </w:tabs>
            </w:pPr>
            <w:hyperlink r:id="rId7" w:history="1">
              <w:r w:rsidR="004E6F47" w:rsidRPr="000E1C97">
                <w:rPr>
                  <w:rStyle w:val="Hyperlink"/>
                </w:rPr>
                <w:t>mcruz@immcouncil.org</w:t>
              </w:r>
            </w:hyperlink>
          </w:p>
        </w:tc>
        <w:tc>
          <w:tcPr>
            <w:tcW w:w="3060" w:type="dxa"/>
          </w:tcPr>
          <w:p w14:paraId="372D828A" w14:textId="77777777" w:rsidR="004E6F47" w:rsidRPr="000E1C97" w:rsidRDefault="00D0462A" w:rsidP="000E78BA">
            <w:pPr>
              <w:tabs>
                <w:tab w:val="left" w:pos="1818"/>
              </w:tabs>
            </w:pPr>
            <w:hyperlink r:id="rId8" w:history="1">
              <w:r w:rsidR="004E6F47" w:rsidRPr="006C7939">
                <w:rPr>
                  <w:rStyle w:val="Hyperlink"/>
                </w:rPr>
                <w:t>s</w:t>
              </w:r>
              <w:r w:rsidR="004E6F47">
                <w:rPr>
                  <w:rStyle w:val="Hyperlink"/>
                </w:rPr>
                <w:t>b</w:t>
              </w:r>
              <w:r w:rsidR="004E6F47" w:rsidRPr="006C7939">
                <w:rPr>
                  <w:rStyle w:val="Hyperlink"/>
                </w:rPr>
                <w:t>erkowitz@mayerbrown.com</w:t>
              </w:r>
            </w:hyperlink>
          </w:p>
        </w:tc>
      </w:tr>
    </w:tbl>
    <w:p w14:paraId="73EDCC1E" w14:textId="77777777" w:rsidR="001F2A6E" w:rsidRPr="005B3BE5" w:rsidRDefault="001F2A6E" w:rsidP="005B3BE5">
      <w:pPr>
        <w:jc w:val="center"/>
      </w:pPr>
    </w:p>
    <w:p w14:paraId="04BCA286" w14:textId="4A044A5F" w:rsidR="00435079" w:rsidRDefault="00614DB0" w:rsidP="005B3BE5">
      <w:pPr>
        <w:pStyle w:val="NoSpacing"/>
        <w:jc w:val="center"/>
        <w:rPr>
          <w:b/>
          <w:sz w:val="28"/>
          <w:szCs w:val="28"/>
        </w:rPr>
      </w:pPr>
      <w:r>
        <w:rPr>
          <w:b/>
          <w:sz w:val="28"/>
          <w:szCs w:val="28"/>
        </w:rPr>
        <w:t>Motion for Preliminary Injunction Filed to Compel DHS to Implement International Entrepreneur Rule</w:t>
      </w:r>
    </w:p>
    <w:p w14:paraId="53B39976" w14:textId="77777777" w:rsidR="00EB7D67" w:rsidRDefault="00EB7D67" w:rsidP="005B3BE5">
      <w:pPr>
        <w:pStyle w:val="NoSpacing"/>
        <w:jc w:val="center"/>
        <w:rPr>
          <w:b/>
          <w:sz w:val="28"/>
          <w:szCs w:val="28"/>
        </w:rPr>
      </w:pPr>
    </w:p>
    <w:p w14:paraId="2EFCC36E" w14:textId="47BF0DA4" w:rsidR="00C72771" w:rsidRDefault="009F424A" w:rsidP="005C153E">
      <w:pPr>
        <w:pStyle w:val="NoSpacing"/>
        <w:rPr>
          <w:sz w:val="24"/>
          <w:szCs w:val="24"/>
        </w:rPr>
      </w:pPr>
      <w:r>
        <w:rPr>
          <w:b/>
          <w:sz w:val="24"/>
          <w:szCs w:val="24"/>
        </w:rPr>
        <w:t>WASHINGTON, DC</w:t>
      </w:r>
      <w:r w:rsidR="005B3BE5">
        <w:rPr>
          <w:b/>
          <w:sz w:val="24"/>
          <w:szCs w:val="24"/>
        </w:rPr>
        <w:t xml:space="preserve"> </w:t>
      </w:r>
      <w:r w:rsidR="005B3BE5" w:rsidRPr="00DD0B56">
        <w:rPr>
          <w:sz w:val="24"/>
          <w:szCs w:val="24"/>
        </w:rPr>
        <w:t>–</w:t>
      </w:r>
      <w:r w:rsidR="005B3BE5">
        <w:rPr>
          <w:b/>
          <w:sz w:val="24"/>
          <w:szCs w:val="24"/>
        </w:rPr>
        <w:t xml:space="preserve"> </w:t>
      </w:r>
      <w:r w:rsidR="000E1C97">
        <w:rPr>
          <w:sz w:val="24"/>
          <w:szCs w:val="24"/>
        </w:rPr>
        <w:t>The National Venture Capital Association (NVCA)</w:t>
      </w:r>
      <w:r w:rsidR="00CF5E50">
        <w:rPr>
          <w:sz w:val="24"/>
          <w:szCs w:val="24"/>
        </w:rPr>
        <w:t xml:space="preserve">, </w:t>
      </w:r>
      <w:r w:rsidR="000E1C97">
        <w:rPr>
          <w:sz w:val="24"/>
          <w:szCs w:val="24"/>
        </w:rPr>
        <w:t xml:space="preserve">entrepreneurs and startup companies </w:t>
      </w:r>
      <w:r w:rsidR="00CF5E50">
        <w:rPr>
          <w:sz w:val="24"/>
          <w:szCs w:val="24"/>
        </w:rPr>
        <w:t xml:space="preserve">today filed a motion for a preliminary injunction </w:t>
      </w:r>
      <w:r w:rsidR="00841274">
        <w:rPr>
          <w:sz w:val="24"/>
          <w:szCs w:val="24"/>
        </w:rPr>
        <w:t xml:space="preserve">in federal court in Washington, D.C. </w:t>
      </w:r>
      <w:r w:rsidR="00CF5E50">
        <w:rPr>
          <w:sz w:val="24"/>
          <w:szCs w:val="24"/>
        </w:rPr>
        <w:t>to compel the Department of Homeland Security</w:t>
      </w:r>
      <w:r w:rsidR="00B82CA1">
        <w:rPr>
          <w:sz w:val="24"/>
          <w:szCs w:val="24"/>
        </w:rPr>
        <w:t xml:space="preserve"> (DHS)</w:t>
      </w:r>
      <w:r w:rsidR="00CF5E50">
        <w:rPr>
          <w:sz w:val="24"/>
          <w:szCs w:val="24"/>
        </w:rPr>
        <w:t xml:space="preserve"> to implement the International Entrepreneur Rule (IER) pending final judgment of the</w:t>
      </w:r>
      <w:r w:rsidR="000D705F">
        <w:rPr>
          <w:sz w:val="24"/>
          <w:szCs w:val="24"/>
        </w:rPr>
        <w:t xml:space="preserve"> </w:t>
      </w:r>
      <w:hyperlink r:id="rId9" w:history="1">
        <w:r w:rsidR="000D705F" w:rsidRPr="000D705F">
          <w:rPr>
            <w:rStyle w:val="Hyperlink"/>
            <w:sz w:val="24"/>
            <w:szCs w:val="24"/>
          </w:rPr>
          <w:t>suit brought by NVCA and the other plaintiffs on September 19</w:t>
        </w:r>
      </w:hyperlink>
      <w:r w:rsidR="000E1C97">
        <w:rPr>
          <w:sz w:val="24"/>
          <w:szCs w:val="24"/>
        </w:rPr>
        <w:t>.</w:t>
      </w:r>
      <w:r w:rsidR="00C72771">
        <w:rPr>
          <w:sz w:val="24"/>
          <w:szCs w:val="24"/>
        </w:rPr>
        <w:t xml:space="preserve">  Represented by the American Immigration Council and</w:t>
      </w:r>
      <w:r w:rsidR="00321B49">
        <w:rPr>
          <w:sz w:val="24"/>
          <w:szCs w:val="24"/>
        </w:rPr>
        <w:t xml:space="preserve"> Mayer Brown LLP,</w:t>
      </w:r>
      <w:r w:rsidR="00C72771">
        <w:rPr>
          <w:sz w:val="24"/>
          <w:szCs w:val="24"/>
        </w:rPr>
        <w:t xml:space="preserve"> NVCA and the other plaintiffs </w:t>
      </w:r>
      <w:r w:rsidR="000D705F">
        <w:t xml:space="preserve">are </w:t>
      </w:r>
      <w:r w:rsidR="00C72771">
        <w:rPr>
          <w:sz w:val="24"/>
          <w:szCs w:val="24"/>
        </w:rPr>
        <w:t xml:space="preserve">challenging DHS’s delay </w:t>
      </w:r>
      <w:r w:rsidR="00D74ED5">
        <w:rPr>
          <w:sz w:val="24"/>
          <w:szCs w:val="24"/>
        </w:rPr>
        <w:t>in implementing</w:t>
      </w:r>
      <w:r w:rsidR="00C72771">
        <w:rPr>
          <w:sz w:val="24"/>
          <w:szCs w:val="24"/>
        </w:rPr>
        <w:t xml:space="preserve"> the I</w:t>
      </w:r>
      <w:r w:rsidR="004227BF">
        <w:rPr>
          <w:sz w:val="24"/>
          <w:szCs w:val="24"/>
        </w:rPr>
        <w:t>ER</w:t>
      </w:r>
      <w:r w:rsidR="00C72771">
        <w:rPr>
          <w:sz w:val="24"/>
          <w:szCs w:val="24"/>
        </w:rPr>
        <w:t xml:space="preserve">, arguing </w:t>
      </w:r>
      <w:r w:rsidR="00321B49">
        <w:rPr>
          <w:sz w:val="24"/>
          <w:szCs w:val="24"/>
        </w:rPr>
        <w:t>that because DHS did not solicit advance comment from the public on the delay, it violated clear requirements of the Administrative Procedure Act.</w:t>
      </w:r>
      <w:r w:rsidR="00AF5AEB">
        <w:rPr>
          <w:sz w:val="24"/>
          <w:szCs w:val="24"/>
        </w:rPr>
        <w:t xml:space="preserve">  Because NVCA and the other plaintiffs are substantially likely to prevail on </w:t>
      </w:r>
      <w:r w:rsidR="00D74ED5">
        <w:rPr>
          <w:sz w:val="24"/>
          <w:szCs w:val="24"/>
        </w:rPr>
        <w:t xml:space="preserve">the </w:t>
      </w:r>
      <w:r w:rsidR="00CD622C">
        <w:rPr>
          <w:sz w:val="24"/>
          <w:szCs w:val="24"/>
        </w:rPr>
        <w:t>merits of the lawsuit</w:t>
      </w:r>
      <w:r w:rsidR="00AF5AEB">
        <w:rPr>
          <w:sz w:val="24"/>
          <w:szCs w:val="24"/>
        </w:rPr>
        <w:t xml:space="preserve">, they are seeking the preliminary injunction so that the rule can be implemented </w:t>
      </w:r>
      <w:r w:rsidR="00D74ED5">
        <w:rPr>
          <w:sz w:val="24"/>
          <w:szCs w:val="24"/>
        </w:rPr>
        <w:t xml:space="preserve">immediately </w:t>
      </w:r>
      <w:r w:rsidR="00AF5AEB">
        <w:rPr>
          <w:sz w:val="24"/>
          <w:szCs w:val="24"/>
        </w:rPr>
        <w:t xml:space="preserve">and DHS can </w:t>
      </w:r>
      <w:r w:rsidR="004227BF">
        <w:rPr>
          <w:sz w:val="24"/>
          <w:szCs w:val="24"/>
        </w:rPr>
        <w:t xml:space="preserve">accept and </w:t>
      </w:r>
      <w:r w:rsidR="00D74ED5">
        <w:rPr>
          <w:sz w:val="24"/>
          <w:szCs w:val="24"/>
        </w:rPr>
        <w:t xml:space="preserve">adjudicate </w:t>
      </w:r>
      <w:r w:rsidR="00AF5AEB">
        <w:rPr>
          <w:sz w:val="24"/>
          <w:szCs w:val="24"/>
        </w:rPr>
        <w:t xml:space="preserve">applications </w:t>
      </w:r>
      <w:r w:rsidR="004227BF">
        <w:rPr>
          <w:sz w:val="24"/>
          <w:szCs w:val="24"/>
        </w:rPr>
        <w:t>fro</w:t>
      </w:r>
      <w:bookmarkStart w:id="0" w:name="_GoBack"/>
      <w:bookmarkEnd w:id="0"/>
      <w:r w:rsidR="004227BF">
        <w:rPr>
          <w:sz w:val="24"/>
          <w:szCs w:val="24"/>
        </w:rPr>
        <w:t>m entrepreneurs while the case proceeds.</w:t>
      </w:r>
      <w:r w:rsidR="00AF5AEB">
        <w:rPr>
          <w:sz w:val="24"/>
          <w:szCs w:val="24"/>
        </w:rPr>
        <w:t xml:space="preserve">  </w:t>
      </w:r>
      <w:r w:rsidR="00321B49">
        <w:rPr>
          <w:sz w:val="24"/>
          <w:szCs w:val="24"/>
        </w:rPr>
        <w:t xml:space="preserve"> </w:t>
      </w:r>
      <w:r w:rsidR="00C72771">
        <w:rPr>
          <w:sz w:val="24"/>
          <w:szCs w:val="24"/>
        </w:rPr>
        <w:t xml:space="preserve">  </w:t>
      </w:r>
      <w:r w:rsidR="000E1C97">
        <w:rPr>
          <w:sz w:val="24"/>
          <w:szCs w:val="24"/>
        </w:rPr>
        <w:t xml:space="preserve">  </w:t>
      </w:r>
    </w:p>
    <w:p w14:paraId="5458328D" w14:textId="77777777" w:rsidR="005C153E" w:rsidRDefault="005C153E" w:rsidP="00037497">
      <w:pPr>
        <w:pStyle w:val="NoSpacing"/>
        <w:rPr>
          <w:sz w:val="24"/>
          <w:szCs w:val="24"/>
        </w:rPr>
      </w:pPr>
    </w:p>
    <w:p w14:paraId="569822E3" w14:textId="0B7FC9E1" w:rsidR="00914B74" w:rsidRDefault="00EB360B" w:rsidP="00914B74">
      <w:pPr>
        <w:pStyle w:val="NoSpacing"/>
        <w:rPr>
          <w:rFonts w:cstheme="minorHAnsi"/>
          <w:sz w:val="24"/>
        </w:rPr>
      </w:pPr>
      <w:r>
        <w:rPr>
          <w:rFonts w:cstheme="minorHAnsi"/>
          <w:sz w:val="24"/>
        </w:rPr>
        <w:t>“</w:t>
      </w:r>
      <w:r w:rsidR="00B82CA1">
        <w:rPr>
          <w:rFonts w:cstheme="minorHAnsi"/>
          <w:sz w:val="24"/>
        </w:rPr>
        <w:t>Making it easier for talented entrepreneurs to come to the U.S. so that they can grow the next generation of American companies is a no-brainer.  By all measures, their contributions would be a net positive for our country and our economy</w:t>
      </w:r>
      <w:r>
        <w:rPr>
          <w:rFonts w:cstheme="minorHAnsi"/>
          <w:sz w:val="24"/>
        </w:rPr>
        <w:t>,</w:t>
      </w:r>
      <w:r w:rsidR="00B82CA1">
        <w:rPr>
          <w:rFonts w:cstheme="minorHAnsi"/>
          <w:sz w:val="24"/>
        </w:rPr>
        <w:t xml:space="preserve"> which </w:t>
      </w:r>
      <w:r w:rsidR="004E6F47">
        <w:rPr>
          <w:rFonts w:cstheme="minorHAnsi"/>
          <w:sz w:val="24"/>
        </w:rPr>
        <w:t xml:space="preserve">is why it’s </w:t>
      </w:r>
      <w:r w:rsidR="00B82CA1">
        <w:rPr>
          <w:rFonts w:cstheme="minorHAnsi"/>
          <w:sz w:val="24"/>
        </w:rPr>
        <w:t>confusing that the rule was delayed in the first place</w:t>
      </w:r>
      <w:r>
        <w:rPr>
          <w:rFonts w:cstheme="minorHAnsi"/>
          <w:sz w:val="24"/>
        </w:rPr>
        <w:t>” said Bobby Franklin, President and CEO of NVCA.</w:t>
      </w:r>
      <w:r w:rsidR="00586BD7">
        <w:rPr>
          <w:rFonts w:cstheme="minorHAnsi"/>
          <w:sz w:val="24"/>
        </w:rPr>
        <w:t xml:space="preserve">  “</w:t>
      </w:r>
      <w:r w:rsidR="004E6F47">
        <w:rPr>
          <w:rFonts w:cstheme="minorHAnsi"/>
          <w:sz w:val="24"/>
        </w:rPr>
        <w:t xml:space="preserve">We are already seeing evidence of other countries actively recruiting talented foreign-born entrepreneurs, making it all the more important that we seek this preliminary injunction so that </w:t>
      </w:r>
      <w:r w:rsidR="00F92C7A">
        <w:rPr>
          <w:rFonts w:cstheme="minorHAnsi"/>
          <w:sz w:val="24"/>
        </w:rPr>
        <w:t>Americans can</w:t>
      </w:r>
      <w:r w:rsidR="004E6F47">
        <w:rPr>
          <w:rFonts w:cstheme="minorHAnsi"/>
          <w:sz w:val="24"/>
        </w:rPr>
        <w:t xml:space="preserve"> immediately </w:t>
      </w:r>
      <w:r w:rsidR="00F92C7A">
        <w:rPr>
          <w:rFonts w:cstheme="minorHAnsi"/>
          <w:sz w:val="24"/>
        </w:rPr>
        <w:t>realize the benefits of new startups in the U.S</w:t>
      </w:r>
      <w:r w:rsidR="004E6F47">
        <w:rPr>
          <w:rFonts w:cstheme="minorHAnsi"/>
          <w:sz w:val="24"/>
        </w:rPr>
        <w:t>.”</w:t>
      </w:r>
    </w:p>
    <w:p w14:paraId="257F4C3D" w14:textId="77777777" w:rsidR="00914B74" w:rsidRPr="00914B74" w:rsidRDefault="00914B74" w:rsidP="00914B74">
      <w:pPr>
        <w:pStyle w:val="NoSpacing"/>
        <w:rPr>
          <w:rFonts w:cstheme="minorHAnsi"/>
          <w:sz w:val="24"/>
        </w:rPr>
      </w:pPr>
    </w:p>
    <w:p w14:paraId="2F2D5AE5" w14:textId="6BA7128A" w:rsidR="004E6F47" w:rsidRPr="00914B74" w:rsidRDefault="004E6F47" w:rsidP="004E6F47">
      <w:pPr>
        <w:pStyle w:val="NoSpacing"/>
        <w:rPr>
          <w:rFonts w:cstheme="minorHAnsi"/>
          <w:sz w:val="24"/>
        </w:rPr>
      </w:pPr>
      <w:r>
        <w:rPr>
          <w:sz w:val="24"/>
          <w:szCs w:val="24"/>
        </w:rPr>
        <w:t xml:space="preserve">Finalized by the Obama Administration, the rule would have allowed talented foreign-born entrepreneurs to travel to or stay in the United States to grow their companies for two and a half years with the possible extension of another two and a half years.  </w:t>
      </w:r>
      <w:r w:rsidRPr="00914B74">
        <w:rPr>
          <w:rFonts w:cstheme="minorHAnsi"/>
          <w:sz w:val="24"/>
        </w:rPr>
        <w:t>Less than a week before the IER was to go into effect</w:t>
      </w:r>
      <w:r>
        <w:rPr>
          <w:rFonts w:cstheme="minorHAnsi"/>
          <w:sz w:val="24"/>
        </w:rPr>
        <w:t xml:space="preserve"> on July 17</w:t>
      </w:r>
      <w:r w:rsidRPr="00914B74">
        <w:rPr>
          <w:rFonts w:cstheme="minorHAnsi"/>
          <w:sz w:val="24"/>
        </w:rPr>
        <w:t xml:space="preserve">, </w:t>
      </w:r>
      <w:r>
        <w:rPr>
          <w:sz w:val="24"/>
          <w:szCs w:val="24"/>
        </w:rPr>
        <w:t xml:space="preserve">the Department of Homeland Security (DHS) </w:t>
      </w:r>
      <w:r>
        <w:rPr>
          <w:sz w:val="24"/>
          <w:szCs w:val="24"/>
        </w:rPr>
        <w:lastRenderedPageBreak/>
        <w:t xml:space="preserve">announced that the rule would be delayed and that DHS </w:t>
      </w:r>
      <w:r w:rsidR="00D74ED5">
        <w:rPr>
          <w:sz w:val="24"/>
          <w:szCs w:val="24"/>
        </w:rPr>
        <w:t xml:space="preserve">was “highly likely </w:t>
      </w:r>
      <w:r>
        <w:rPr>
          <w:sz w:val="24"/>
          <w:szCs w:val="24"/>
        </w:rPr>
        <w:t xml:space="preserve">to rescind the final rule.  </w:t>
      </w:r>
      <w:r>
        <w:rPr>
          <w:rFonts w:cstheme="minorHAnsi"/>
          <w:sz w:val="24"/>
        </w:rPr>
        <w:t>As a result of the</w:t>
      </w:r>
      <w:r w:rsidRPr="00914B74">
        <w:rPr>
          <w:rFonts w:cstheme="minorHAnsi"/>
          <w:sz w:val="24"/>
        </w:rPr>
        <w:t xml:space="preserve"> suspension of the IER, </w:t>
      </w:r>
      <w:r w:rsidR="004227BF">
        <w:rPr>
          <w:rFonts w:cstheme="minorHAnsi"/>
          <w:sz w:val="24"/>
        </w:rPr>
        <w:t xml:space="preserve">foreign </w:t>
      </w:r>
      <w:r>
        <w:rPr>
          <w:rFonts w:cstheme="minorHAnsi"/>
          <w:sz w:val="24"/>
        </w:rPr>
        <w:t>entrepreneurs that intended to use the rule</w:t>
      </w:r>
      <w:r w:rsidR="004227BF">
        <w:rPr>
          <w:rFonts w:cstheme="minorHAnsi"/>
          <w:sz w:val="24"/>
        </w:rPr>
        <w:t>, their companies, and would-be and existing investors</w:t>
      </w:r>
      <w:r w:rsidR="00D74ED5">
        <w:rPr>
          <w:rFonts w:cstheme="minorHAnsi"/>
          <w:sz w:val="24"/>
        </w:rPr>
        <w:t xml:space="preserve"> </w:t>
      </w:r>
      <w:r w:rsidRPr="00914B74">
        <w:rPr>
          <w:rFonts w:cstheme="minorHAnsi"/>
          <w:sz w:val="24"/>
        </w:rPr>
        <w:t xml:space="preserve">have been and will be </w:t>
      </w:r>
      <w:r>
        <w:rPr>
          <w:rFonts w:cstheme="minorHAnsi"/>
          <w:sz w:val="24"/>
        </w:rPr>
        <w:t xml:space="preserve">harmed.  The U.S. economy will miss </w:t>
      </w:r>
      <w:r w:rsidR="00F92C7A">
        <w:rPr>
          <w:rFonts w:cstheme="minorHAnsi"/>
          <w:sz w:val="24"/>
        </w:rPr>
        <w:t xml:space="preserve">out on </w:t>
      </w:r>
      <w:r>
        <w:rPr>
          <w:rFonts w:cstheme="minorHAnsi"/>
          <w:sz w:val="24"/>
        </w:rPr>
        <w:t>new businesses and jobs that would have been created but that unfortunately will now be created overseas.</w:t>
      </w:r>
      <w:r w:rsidRPr="00914B74">
        <w:rPr>
          <w:rFonts w:cstheme="minorHAnsi"/>
          <w:sz w:val="24"/>
        </w:rPr>
        <w:t xml:space="preserve"> </w:t>
      </w:r>
      <w:r>
        <w:rPr>
          <w:rFonts w:cstheme="minorHAnsi"/>
          <w:sz w:val="24"/>
        </w:rPr>
        <w:t xml:space="preserve"> </w:t>
      </w:r>
    </w:p>
    <w:p w14:paraId="50A55F08" w14:textId="77777777" w:rsidR="00914B74" w:rsidRDefault="00914B74" w:rsidP="00914B74">
      <w:pPr>
        <w:pStyle w:val="NoSpacing"/>
        <w:rPr>
          <w:rFonts w:eastAsia="Times New Roman" w:cstheme="minorHAnsi"/>
          <w:sz w:val="24"/>
        </w:rPr>
      </w:pPr>
    </w:p>
    <w:p w14:paraId="0C0FF070" w14:textId="037F1CEA" w:rsidR="000D705F" w:rsidRPr="009471F3" w:rsidRDefault="000D705F" w:rsidP="000D705F">
      <w:pPr>
        <w:rPr>
          <w:sz w:val="24"/>
          <w:szCs w:val="24"/>
        </w:rPr>
      </w:pPr>
      <w:r w:rsidRPr="009471F3">
        <w:rPr>
          <w:sz w:val="24"/>
          <w:szCs w:val="24"/>
        </w:rPr>
        <w:t xml:space="preserve">“The government’s unlawful postponement of the International Entrepreneur Rule is </w:t>
      </w:r>
      <w:r w:rsidR="00D74ED5">
        <w:rPr>
          <w:sz w:val="24"/>
          <w:szCs w:val="24"/>
        </w:rPr>
        <w:t xml:space="preserve">depriving </w:t>
      </w:r>
      <w:r w:rsidRPr="009471F3">
        <w:rPr>
          <w:sz w:val="24"/>
          <w:szCs w:val="24"/>
        </w:rPr>
        <w:t xml:space="preserve">foreign entrepreneurs </w:t>
      </w:r>
      <w:r w:rsidR="00D74ED5">
        <w:rPr>
          <w:sz w:val="24"/>
          <w:szCs w:val="24"/>
        </w:rPr>
        <w:t xml:space="preserve">of the only available avenue </w:t>
      </w:r>
      <w:r w:rsidRPr="009471F3">
        <w:rPr>
          <w:sz w:val="24"/>
          <w:szCs w:val="24"/>
        </w:rPr>
        <w:t>to grow their businesses in the United States,” said Melissa Crow, Litigation Director at the American Immigration Council. “Today’s filing is intended to jumpstart the implementation process.”</w:t>
      </w:r>
    </w:p>
    <w:p w14:paraId="7534105C" w14:textId="4654D910" w:rsidR="004E6F47" w:rsidRPr="00AF5AEB" w:rsidRDefault="004E6F47" w:rsidP="004E6F47">
      <w:pPr>
        <w:pStyle w:val="NoSpacing"/>
        <w:rPr>
          <w:sz w:val="24"/>
        </w:rPr>
      </w:pPr>
      <w:r w:rsidRPr="00AF5AEB">
        <w:rPr>
          <w:sz w:val="24"/>
        </w:rPr>
        <w:t>“Immediate implementation of the International Entrepreneur Rule is necessary so that our clients—founders, start-up companies, and their investors—can continue their important work of growing new, innovativ</w:t>
      </w:r>
      <w:r>
        <w:rPr>
          <w:sz w:val="24"/>
        </w:rPr>
        <w:t xml:space="preserve">e business in the United States,” </w:t>
      </w:r>
      <w:r w:rsidRPr="00AF5AEB">
        <w:rPr>
          <w:sz w:val="24"/>
        </w:rPr>
        <w:t xml:space="preserve">said Paul Hughes, a </w:t>
      </w:r>
      <w:r>
        <w:rPr>
          <w:sz w:val="24"/>
        </w:rPr>
        <w:t>P</w:t>
      </w:r>
      <w:r w:rsidRPr="00AF5AEB">
        <w:rPr>
          <w:sz w:val="24"/>
        </w:rPr>
        <w:t>artner at Mayer Brown</w:t>
      </w:r>
      <w:r>
        <w:rPr>
          <w:sz w:val="24"/>
        </w:rPr>
        <w:t>.</w:t>
      </w:r>
      <w:r w:rsidRPr="00AF5AEB">
        <w:rPr>
          <w:sz w:val="24"/>
        </w:rPr>
        <w:t xml:space="preserve"> </w:t>
      </w:r>
      <w:r>
        <w:rPr>
          <w:sz w:val="24"/>
        </w:rPr>
        <w:t xml:space="preserve"> “</w:t>
      </w:r>
      <w:r w:rsidRPr="00AF5AEB">
        <w:rPr>
          <w:sz w:val="24"/>
        </w:rPr>
        <w:t>These enterprises hire American workers, grow the U.S. economy, and ensure American technological</w:t>
      </w:r>
      <w:r>
        <w:rPr>
          <w:sz w:val="24"/>
        </w:rPr>
        <w:t xml:space="preserve"> leadership for decades to come.”</w:t>
      </w:r>
      <w:r w:rsidRPr="00AF5AEB">
        <w:rPr>
          <w:sz w:val="24"/>
        </w:rPr>
        <w:t xml:space="preserve"> </w:t>
      </w:r>
    </w:p>
    <w:p w14:paraId="7C9181F8" w14:textId="77777777" w:rsidR="004E6F47" w:rsidRDefault="004E6F47" w:rsidP="00914B74">
      <w:pPr>
        <w:pStyle w:val="NoSpacing"/>
        <w:rPr>
          <w:rFonts w:eastAsia="Times New Roman" w:cstheme="minorHAnsi"/>
          <w:sz w:val="24"/>
        </w:rPr>
      </w:pPr>
    </w:p>
    <w:p w14:paraId="35062DE6" w14:textId="2FD19564" w:rsidR="004E6F47" w:rsidRPr="004E6F47" w:rsidRDefault="004E6F47" w:rsidP="00914B74">
      <w:pPr>
        <w:pStyle w:val="NoSpacing"/>
        <w:rPr>
          <w:rFonts w:eastAsia="Times New Roman" w:cstheme="minorHAnsi"/>
          <w:b/>
          <w:sz w:val="24"/>
        </w:rPr>
      </w:pPr>
      <w:r w:rsidRPr="004E6F47">
        <w:rPr>
          <w:rFonts w:eastAsia="Times New Roman" w:cstheme="minorHAnsi"/>
          <w:b/>
          <w:sz w:val="24"/>
        </w:rPr>
        <w:t>Background</w:t>
      </w:r>
    </w:p>
    <w:p w14:paraId="458CF48D" w14:textId="77777777" w:rsidR="004E6F47" w:rsidRDefault="004E6F47" w:rsidP="00914B74">
      <w:pPr>
        <w:pStyle w:val="NoSpacing"/>
        <w:rPr>
          <w:rFonts w:eastAsia="Times New Roman" w:cstheme="minorHAnsi"/>
          <w:sz w:val="24"/>
        </w:rPr>
      </w:pPr>
    </w:p>
    <w:p w14:paraId="5D3B06E3" w14:textId="77777777" w:rsidR="004E6F47" w:rsidRDefault="004E6F47" w:rsidP="004E6F47">
      <w:pPr>
        <w:pStyle w:val="NoSpacing"/>
        <w:rPr>
          <w:rFonts w:cstheme="minorHAnsi"/>
          <w:sz w:val="24"/>
        </w:rPr>
      </w:pPr>
      <w:r w:rsidRPr="00914B74">
        <w:rPr>
          <w:rFonts w:cstheme="minorHAnsi"/>
          <w:sz w:val="24"/>
        </w:rPr>
        <w:t xml:space="preserve">The U.S. economy has long thrived on the contributions and innovations of immigrant entrepreneurs.  </w:t>
      </w:r>
      <w:r>
        <w:rPr>
          <w:rFonts w:cstheme="minorHAnsi"/>
          <w:sz w:val="24"/>
        </w:rPr>
        <w:t xml:space="preserve">From Google and Intel to Zipcar and Tesla Motors, some of the most iconic American companies that were once venture-backed have at least one immigrant founder.  A 2013 NVCA study determined that a full one-third of U.S. venture-backed companies that went public between 2006 and 2012 had at least one immigrant founder.  Furthermore, a 2016 study by the National Foundation for American Policy found that immigrants have started more than half (44 of 87) of America’s startup companies valued at $1 billion or more.  </w:t>
      </w:r>
    </w:p>
    <w:p w14:paraId="406E2981" w14:textId="77777777" w:rsidR="004E6F47" w:rsidRDefault="004E6F47" w:rsidP="00914B74">
      <w:pPr>
        <w:pStyle w:val="NoSpacing"/>
        <w:rPr>
          <w:rFonts w:eastAsia="Times New Roman" w:cstheme="minorHAnsi"/>
          <w:sz w:val="24"/>
        </w:rPr>
      </w:pPr>
    </w:p>
    <w:p w14:paraId="4EC1E267" w14:textId="39BD6EF4" w:rsidR="00721582" w:rsidRDefault="00721582" w:rsidP="00721582">
      <w:pPr>
        <w:pStyle w:val="NoSpacing"/>
        <w:rPr>
          <w:rFonts w:cstheme="minorHAnsi"/>
          <w:sz w:val="24"/>
        </w:rPr>
      </w:pPr>
      <w:r>
        <w:rPr>
          <w:rFonts w:cstheme="minorHAnsi"/>
          <w:sz w:val="24"/>
        </w:rPr>
        <w:t>Despite their significant contributions to our economy,</w:t>
      </w:r>
      <w:r w:rsidRPr="00914B74">
        <w:rPr>
          <w:rFonts w:cstheme="minorHAnsi"/>
          <w:sz w:val="24"/>
        </w:rPr>
        <w:t xml:space="preserve"> </w:t>
      </w:r>
      <w:r w:rsidR="009471F3">
        <w:rPr>
          <w:rFonts w:cstheme="minorHAnsi"/>
          <w:sz w:val="24"/>
        </w:rPr>
        <w:t xml:space="preserve">foreign </w:t>
      </w:r>
      <w:r w:rsidR="009471F3" w:rsidRPr="00914B74">
        <w:rPr>
          <w:rFonts w:cstheme="minorHAnsi"/>
          <w:sz w:val="24"/>
        </w:rPr>
        <w:t>entrepreneurs</w:t>
      </w:r>
      <w:r w:rsidRPr="00914B74">
        <w:rPr>
          <w:rFonts w:cstheme="minorHAnsi"/>
          <w:sz w:val="24"/>
        </w:rPr>
        <w:t xml:space="preserve"> often encounter significant barriers to obtaining permission to travel to and work in the </w:t>
      </w:r>
      <w:r>
        <w:rPr>
          <w:rFonts w:cstheme="minorHAnsi"/>
          <w:sz w:val="24"/>
        </w:rPr>
        <w:t>U.S.</w:t>
      </w:r>
      <w:r w:rsidRPr="00914B74">
        <w:rPr>
          <w:rFonts w:cstheme="minorHAnsi"/>
          <w:sz w:val="24"/>
        </w:rPr>
        <w:t xml:space="preserve">  </w:t>
      </w:r>
      <w:r>
        <w:rPr>
          <w:rFonts w:cstheme="minorHAnsi"/>
          <w:sz w:val="24"/>
        </w:rPr>
        <w:t xml:space="preserve">This is not the case in other countries who are </w:t>
      </w:r>
      <w:r w:rsidR="00670DE8">
        <w:rPr>
          <w:rFonts w:cstheme="minorHAnsi"/>
          <w:sz w:val="24"/>
        </w:rPr>
        <w:t>adapting their immigration policies to grow their ecosystems</w:t>
      </w:r>
      <w:r>
        <w:rPr>
          <w:rFonts w:cstheme="minorHAnsi"/>
          <w:sz w:val="24"/>
        </w:rPr>
        <w:t xml:space="preserve">.  Canada, France, Singapore and the United Kingdom </w:t>
      </w:r>
      <w:r w:rsidR="00270C82">
        <w:rPr>
          <w:rFonts w:cstheme="minorHAnsi"/>
          <w:sz w:val="24"/>
        </w:rPr>
        <w:t xml:space="preserve">are a few examples of countries that </w:t>
      </w:r>
      <w:r>
        <w:rPr>
          <w:rFonts w:cstheme="minorHAnsi"/>
          <w:sz w:val="24"/>
        </w:rPr>
        <w:t xml:space="preserve">have created dedicated visa programs to attract entrepreneurial job creators.  This shift in policy is having a direct impact on venture investment activity globally with the U.S. </w:t>
      </w:r>
      <w:r w:rsidR="00670DE8">
        <w:rPr>
          <w:rFonts w:cstheme="minorHAnsi"/>
          <w:sz w:val="24"/>
        </w:rPr>
        <w:t>losing</w:t>
      </w:r>
      <w:r>
        <w:rPr>
          <w:rFonts w:cstheme="minorHAnsi"/>
          <w:sz w:val="24"/>
        </w:rPr>
        <w:t xml:space="preserve"> its share of global venture capital investment.</w:t>
      </w:r>
      <w:r w:rsidR="00670DE8">
        <w:rPr>
          <w:rFonts w:cstheme="minorHAnsi"/>
          <w:sz w:val="24"/>
        </w:rPr>
        <w:t xml:space="preserve">  Two decades ago, U.S. startups received more than 90 percent of global venture capital investment.  That number fell to 81 percent a decade ago and fell further to 54 percent last year.</w:t>
      </w:r>
      <w:r>
        <w:rPr>
          <w:rFonts w:cstheme="minorHAnsi"/>
          <w:sz w:val="24"/>
        </w:rPr>
        <w:t xml:space="preserve">   </w:t>
      </w:r>
    </w:p>
    <w:p w14:paraId="338013FB" w14:textId="77777777" w:rsidR="00087C15" w:rsidRDefault="00087C15" w:rsidP="00087C15">
      <w:pPr>
        <w:pStyle w:val="NoSpacing"/>
        <w:rPr>
          <w:rFonts w:eastAsia="Times New Roman" w:cstheme="minorHAnsi"/>
          <w:sz w:val="24"/>
        </w:rPr>
      </w:pPr>
    </w:p>
    <w:p w14:paraId="538B5076" w14:textId="4868AE01" w:rsidR="00087C15" w:rsidRDefault="006228FA" w:rsidP="00087C15">
      <w:pPr>
        <w:pStyle w:val="NoSpacing"/>
        <w:rPr>
          <w:rFonts w:eastAsia="Times New Roman" w:cstheme="minorHAnsi"/>
          <w:sz w:val="24"/>
        </w:rPr>
      </w:pPr>
      <w:hyperlink r:id="rId10" w:history="1">
        <w:r w:rsidR="00087C15" w:rsidRPr="006228FA">
          <w:rPr>
            <w:rStyle w:val="Hyperlink"/>
            <w:rFonts w:eastAsia="Times New Roman" w:cstheme="minorHAnsi"/>
            <w:sz w:val="24"/>
          </w:rPr>
          <w:t xml:space="preserve">VIEW THE </w:t>
        </w:r>
        <w:r w:rsidR="00B82CA1" w:rsidRPr="006228FA">
          <w:rPr>
            <w:rStyle w:val="Hyperlink"/>
            <w:rFonts w:eastAsia="Times New Roman" w:cstheme="minorHAnsi"/>
            <w:sz w:val="24"/>
          </w:rPr>
          <w:t>MOTION FOR A PRELIMINARY INJUNCTION</w:t>
        </w:r>
      </w:hyperlink>
    </w:p>
    <w:p w14:paraId="229A9543" w14:textId="77777777" w:rsidR="00F763D3" w:rsidRDefault="00F763D3" w:rsidP="00A76E7E">
      <w:pPr>
        <w:pStyle w:val="NoSpacing"/>
        <w:rPr>
          <w:sz w:val="24"/>
          <w:szCs w:val="24"/>
        </w:rPr>
      </w:pPr>
    </w:p>
    <w:p w14:paraId="1F5CEF61" w14:textId="77777777" w:rsidR="0044554C" w:rsidRDefault="0044554C" w:rsidP="0044554C">
      <w:pPr>
        <w:pStyle w:val="NoSpacing"/>
        <w:jc w:val="center"/>
        <w:rPr>
          <w:sz w:val="24"/>
          <w:szCs w:val="24"/>
        </w:rPr>
      </w:pPr>
      <w:r>
        <w:rPr>
          <w:sz w:val="24"/>
          <w:szCs w:val="24"/>
        </w:rPr>
        <w:t>###</w:t>
      </w:r>
    </w:p>
    <w:p w14:paraId="4B580D04" w14:textId="77777777" w:rsidR="0044554C" w:rsidRDefault="0044554C" w:rsidP="005B3BE5">
      <w:pPr>
        <w:pStyle w:val="NoSpacing"/>
        <w:rPr>
          <w:sz w:val="24"/>
          <w:szCs w:val="24"/>
        </w:rPr>
      </w:pPr>
    </w:p>
    <w:p w14:paraId="0BF835D0" w14:textId="77777777" w:rsidR="00582073" w:rsidRDefault="00582073" w:rsidP="00582073">
      <w:pPr>
        <w:pStyle w:val="NoSpacing"/>
        <w:rPr>
          <w:sz w:val="24"/>
          <w:szCs w:val="24"/>
        </w:rPr>
      </w:pPr>
      <w:r>
        <w:rPr>
          <w:sz w:val="24"/>
          <w:szCs w:val="24"/>
        </w:rPr>
        <w:t xml:space="preserve">Venture capitalists are committed to funding America’s most innovative entrepreneurs, working closely with them to transform breakthrough ideas into emerging growth companies that drive U.S. job creation and economic growth.  As the voice of the U.S. venture capital </w:t>
      </w:r>
      <w:r>
        <w:rPr>
          <w:sz w:val="24"/>
          <w:szCs w:val="24"/>
        </w:rPr>
        <w:lastRenderedPageBreak/>
        <w:t xml:space="preserve">community, the National Venture Capital Association (NVCA) empowers its members and the entrepreneurs they fund by advocating for policies that encourage innovation and reward long-term investment.  As the venture community’s preeminent trade association, the NVCA serves as the definitive resource for venture capital data and unites </w:t>
      </w:r>
      <w:r w:rsidR="00307FF0">
        <w:rPr>
          <w:sz w:val="24"/>
          <w:szCs w:val="24"/>
        </w:rPr>
        <w:t xml:space="preserve">its </w:t>
      </w:r>
      <w:r>
        <w:rPr>
          <w:sz w:val="24"/>
          <w:szCs w:val="24"/>
        </w:rPr>
        <w:t xml:space="preserve">member firms through a full range of professional services.  For more information about the NVCA, please visit </w:t>
      </w:r>
      <w:hyperlink r:id="rId11" w:history="1">
        <w:r>
          <w:rPr>
            <w:rStyle w:val="Hyperlink"/>
            <w:color w:val="000072"/>
            <w:sz w:val="24"/>
            <w:szCs w:val="24"/>
          </w:rPr>
          <w:t>www.nvca.org</w:t>
        </w:r>
      </w:hyperlink>
      <w:r>
        <w:rPr>
          <w:sz w:val="24"/>
          <w:szCs w:val="24"/>
        </w:rPr>
        <w:t>.</w:t>
      </w:r>
    </w:p>
    <w:p w14:paraId="4C351A7E" w14:textId="77777777" w:rsidR="00DD0B56" w:rsidRPr="005B3BE5" w:rsidRDefault="00DD0B56" w:rsidP="005B3BE5">
      <w:pPr>
        <w:pStyle w:val="NoSpacing"/>
        <w:rPr>
          <w:sz w:val="24"/>
          <w:szCs w:val="24"/>
        </w:rPr>
      </w:pPr>
    </w:p>
    <w:sectPr w:rsidR="00DD0B56" w:rsidRPr="005B3BE5" w:rsidSect="005B3BE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E5"/>
    <w:rsid w:val="000343A6"/>
    <w:rsid w:val="00037497"/>
    <w:rsid w:val="00087C15"/>
    <w:rsid w:val="00091A1D"/>
    <w:rsid w:val="000969B6"/>
    <w:rsid w:val="000C65C2"/>
    <w:rsid w:val="000D705F"/>
    <w:rsid w:val="000E1C97"/>
    <w:rsid w:val="00112A33"/>
    <w:rsid w:val="00120BA7"/>
    <w:rsid w:val="00156AF2"/>
    <w:rsid w:val="001D2F0C"/>
    <w:rsid w:val="001D4C01"/>
    <w:rsid w:val="001F2A6E"/>
    <w:rsid w:val="00221754"/>
    <w:rsid w:val="00234DD3"/>
    <w:rsid w:val="00260F97"/>
    <w:rsid w:val="00262BEF"/>
    <w:rsid w:val="002647F6"/>
    <w:rsid w:val="00270C82"/>
    <w:rsid w:val="00305041"/>
    <w:rsid w:val="00307FF0"/>
    <w:rsid w:val="00321B49"/>
    <w:rsid w:val="003C0543"/>
    <w:rsid w:val="003F5A55"/>
    <w:rsid w:val="0041436E"/>
    <w:rsid w:val="004227BF"/>
    <w:rsid w:val="00435079"/>
    <w:rsid w:val="0044554C"/>
    <w:rsid w:val="004D2F2D"/>
    <w:rsid w:val="004E6F47"/>
    <w:rsid w:val="00524681"/>
    <w:rsid w:val="00542230"/>
    <w:rsid w:val="00582073"/>
    <w:rsid w:val="00586BD7"/>
    <w:rsid w:val="005A3C97"/>
    <w:rsid w:val="005B3BE5"/>
    <w:rsid w:val="005B63A1"/>
    <w:rsid w:val="005C153E"/>
    <w:rsid w:val="005F2501"/>
    <w:rsid w:val="00610AD6"/>
    <w:rsid w:val="00612686"/>
    <w:rsid w:val="00614DB0"/>
    <w:rsid w:val="00621CB2"/>
    <w:rsid w:val="006228FA"/>
    <w:rsid w:val="00627776"/>
    <w:rsid w:val="0066112C"/>
    <w:rsid w:val="00670DE8"/>
    <w:rsid w:val="006908C1"/>
    <w:rsid w:val="0069133A"/>
    <w:rsid w:val="006C27A1"/>
    <w:rsid w:val="00707F1E"/>
    <w:rsid w:val="00721582"/>
    <w:rsid w:val="00742998"/>
    <w:rsid w:val="00756E3A"/>
    <w:rsid w:val="00841274"/>
    <w:rsid w:val="008C3130"/>
    <w:rsid w:val="008C6E60"/>
    <w:rsid w:val="00914B74"/>
    <w:rsid w:val="009471F3"/>
    <w:rsid w:val="00953A7B"/>
    <w:rsid w:val="0097389C"/>
    <w:rsid w:val="00990069"/>
    <w:rsid w:val="009F424A"/>
    <w:rsid w:val="00A05487"/>
    <w:rsid w:val="00A36436"/>
    <w:rsid w:val="00A76E7E"/>
    <w:rsid w:val="00AD76E4"/>
    <w:rsid w:val="00AF5AEB"/>
    <w:rsid w:val="00B82CA1"/>
    <w:rsid w:val="00B962EE"/>
    <w:rsid w:val="00BF2863"/>
    <w:rsid w:val="00C61F3F"/>
    <w:rsid w:val="00C72771"/>
    <w:rsid w:val="00CB7178"/>
    <w:rsid w:val="00CD622C"/>
    <w:rsid w:val="00CF5E50"/>
    <w:rsid w:val="00D01DF5"/>
    <w:rsid w:val="00D0462A"/>
    <w:rsid w:val="00D255F3"/>
    <w:rsid w:val="00D44A59"/>
    <w:rsid w:val="00D536BC"/>
    <w:rsid w:val="00D71933"/>
    <w:rsid w:val="00D74ED5"/>
    <w:rsid w:val="00DD0B56"/>
    <w:rsid w:val="00EB360B"/>
    <w:rsid w:val="00EB7D67"/>
    <w:rsid w:val="00F16C5B"/>
    <w:rsid w:val="00F23484"/>
    <w:rsid w:val="00F53F2F"/>
    <w:rsid w:val="00F763D3"/>
    <w:rsid w:val="00F91F24"/>
    <w:rsid w:val="00F92C7A"/>
    <w:rsid w:val="00FB129D"/>
    <w:rsid w:val="00FD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E7EA"/>
  <w15:docId w15:val="{0CD2E7C7-69D1-4F2C-8318-33DA5600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3BE5"/>
    <w:pPr>
      <w:spacing w:after="0" w:line="240" w:lineRule="auto"/>
    </w:pPr>
  </w:style>
  <w:style w:type="character" w:styleId="Hyperlink">
    <w:name w:val="Hyperlink"/>
    <w:basedOn w:val="DefaultParagraphFont"/>
    <w:uiPriority w:val="99"/>
    <w:unhideWhenUsed/>
    <w:rsid w:val="00DD0B56"/>
    <w:rPr>
      <w:color w:val="0000FF"/>
      <w:u w:val="single"/>
    </w:rPr>
  </w:style>
  <w:style w:type="paragraph" w:styleId="BalloonText">
    <w:name w:val="Balloon Text"/>
    <w:basedOn w:val="Normal"/>
    <w:link w:val="BalloonTextChar"/>
    <w:uiPriority w:val="99"/>
    <w:semiHidden/>
    <w:unhideWhenUsed/>
    <w:rsid w:val="0009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1D"/>
    <w:rPr>
      <w:rFonts w:ascii="Segoe UI" w:hAnsi="Segoe UI" w:cs="Segoe UI"/>
      <w:sz w:val="18"/>
      <w:szCs w:val="18"/>
    </w:rPr>
  </w:style>
  <w:style w:type="character" w:styleId="CommentReference">
    <w:name w:val="annotation reference"/>
    <w:basedOn w:val="DefaultParagraphFont"/>
    <w:uiPriority w:val="99"/>
    <w:semiHidden/>
    <w:unhideWhenUsed/>
    <w:rsid w:val="00A36436"/>
    <w:rPr>
      <w:sz w:val="16"/>
      <w:szCs w:val="16"/>
    </w:rPr>
  </w:style>
  <w:style w:type="paragraph" w:styleId="CommentText">
    <w:name w:val="annotation text"/>
    <w:basedOn w:val="Normal"/>
    <w:link w:val="CommentTextChar"/>
    <w:uiPriority w:val="99"/>
    <w:semiHidden/>
    <w:unhideWhenUsed/>
    <w:rsid w:val="00A36436"/>
    <w:pPr>
      <w:spacing w:line="240" w:lineRule="auto"/>
    </w:pPr>
    <w:rPr>
      <w:sz w:val="20"/>
      <w:szCs w:val="20"/>
    </w:rPr>
  </w:style>
  <w:style w:type="character" w:customStyle="1" w:styleId="CommentTextChar">
    <w:name w:val="Comment Text Char"/>
    <w:basedOn w:val="DefaultParagraphFont"/>
    <w:link w:val="CommentText"/>
    <w:uiPriority w:val="99"/>
    <w:semiHidden/>
    <w:rsid w:val="00A36436"/>
    <w:rPr>
      <w:sz w:val="20"/>
      <w:szCs w:val="20"/>
    </w:rPr>
  </w:style>
  <w:style w:type="paragraph" w:styleId="CommentSubject">
    <w:name w:val="annotation subject"/>
    <w:basedOn w:val="CommentText"/>
    <w:next w:val="CommentText"/>
    <w:link w:val="CommentSubjectChar"/>
    <w:uiPriority w:val="99"/>
    <w:semiHidden/>
    <w:unhideWhenUsed/>
    <w:rsid w:val="00A36436"/>
    <w:rPr>
      <w:b/>
      <w:bCs/>
    </w:rPr>
  </w:style>
  <w:style w:type="character" w:customStyle="1" w:styleId="CommentSubjectChar">
    <w:name w:val="Comment Subject Char"/>
    <w:basedOn w:val="CommentTextChar"/>
    <w:link w:val="CommentSubject"/>
    <w:uiPriority w:val="99"/>
    <w:semiHidden/>
    <w:rsid w:val="00A36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83034">
      <w:bodyDiv w:val="1"/>
      <w:marLeft w:val="0"/>
      <w:marRight w:val="0"/>
      <w:marTop w:val="0"/>
      <w:marBottom w:val="0"/>
      <w:divBdr>
        <w:top w:val="none" w:sz="0" w:space="0" w:color="auto"/>
        <w:left w:val="none" w:sz="0" w:space="0" w:color="auto"/>
        <w:bottom w:val="none" w:sz="0" w:space="0" w:color="auto"/>
        <w:right w:val="none" w:sz="0" w:space="0" w:color="auto"/>
      </w:divBdr>
    </w:div>
    <w:div w:id="1411074390">
      <w:bodyDiv w:val="1"/>
      <w:marLeft w:val="0"/>
      <w:marRight w:val="0"/>
      <w:marTop w:val="0"/>
      <w:marBottom w:val="0"/>
      <w:divBdr>
        <w:top w:val="none" w:sz="0" w:space="0" w:color="auto"/>
        <w:left w:val="none" w:sz="0" w:space="0" w:color="auto"/>
        <w:bottom w:val="none" w:sz="0" w:space="0" w:color="auto"/>
        <w:right w:val="none" w:sz="0" w:space="0" w:color="auto"/>
      </w:divBdr>
    </w:div>
    <w:div w:id="15606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kowitz@mayerbrow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ruz@immcounci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veghte@nvca.org" TargetMode="External"/><Relationship Id="rId11" Type="http://schemas.openxmlformats.org/officeDocument/2006/relationships/hyperlink" Target="http://www.nvca.org/" TargetMode="External"/><Relationship Id="rId5" Type="http://schemas.openxmlformats.org/officeDocument/2006/relationships/image" Target="media/image1.jpeg"/><Relationship Id="rId10" Type="http://schemas.openxmlformats.org/officeDocument/2006/relationships/hyperlink" Target="http://www.nvca.org/?ddownload=39167" TargetMode="External"/><Relationship Id="rId4" Type="http://schemas.openxmlformats.org/officeDocument/2006/relationships/webSettings" Target="webSettings.xml"/><Relationship Id="rId9" Type="http://schemas.openxmlformats.org/officeDocument/2006/relationships/hyperlink" Target="https://nvca.org/pressreleases/nvca-entrepreneurs-startups-file-lawsuit-challenging-delay-international-entrepreneur-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B447-0F20-4584-8079-AC5302C8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Veghte</dc:creator>
  <cp:lastModifiedBy>Ben Veghte</cp:lastModifiedBy>
  <cp:revision>4</cp:revision>
  <cp:lastPrinted>2017-09-14T15:58:00Z</cp:lastPrinted>
  <dcterms:created xsi:type="dcterms:W3CDTF">2017-09-29T20:20:00Z</dcterms:created>
  <dcterms:modified xsi:type="dcterms:W3CDTF">2017-09-29T21:42:00Z</dcterms:modified>
</cp:coreProperties>
</file>