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9C79" w14:textId="448AD49B" w:rsidR="001867BC" w:rsidRDefault="002019FF" w:rsidP="002019FF">
      <w:pPr>
        <w:jc w:val="center"/>
        <w:rPr>
          <w:rFonts w:ascii="Times New Roman" w:hAnsi="Times New Roman" w:cs="Times New Roman"/>
          <w:b/>
          <w:bCs/>
          <w:u w:val="single"/>
        </w:rPr>
      </w:pPr>
      <w:r w:rsidRPr="00E00270">
        <w:rPr>
          <w:rFonts w:ascii="Times New Roman" w:hAnsi="Times New Roman" w:cs="Times New Roman"/>
          <w:b/>
          <w:bCs/>
          <w:u w:val="single"/>
        </w:rPr>
        <w:t>USICA Division B Summary</w:t>
      </w:r>
      <w:r w:rsidR="00A23EB0">
        <w:rPr>
          <w:rFonts w:ascii="Times New Roman" w:hAnsi="Times New Roman" w:cs="Times New Roman"/>
          <w:b/>
          <w:bCs/>
          <w:u w:val="single"/>
        </w:rPr>
        <w:t xml:space="preserve"> for NSF, DOC, NIST, and NASA</w:t>
      </w:r>
    </w:p>
    <w:p w14:paraId="18AEC912" w14:textId="04646E2A" w:rsidR="00A23EB0" w:rsidRDefault="00A23EB0" w:rsidP="002019FF">
      <w:pPr>
        <w:jc w:val="center"/>
        <w:rPr>
          <w:rFonts w:ascii="Times New Roman" w:hAnsi="Times New Roman" w:cs="Times New Roman"/>
          <w:b/>
          <w:u w:val="single"/>
        </w:rPr>
      </w:pPr>
    </w:p>
    <w:tbl>
      <w:tblPr>
        <w:tblStyle w:val="TableGrid"/>
        <w:tblW w:w="0" w:type="auto"/>
        <w:jc w:val="center"/>
        <w:tblLook w:val="04A0" w:firstRow="1" w:lastRow="0" w:firstColumn="1" w:lastColumn="0" w:noHBand="0" w:noVBand="1"/>
      </w:tblPr>
      <w:tblGrid>
        <w:gridCol w:w="4675"/>
        <w:gridCol w:w="2430"/>
        <w:gridCol w:w="2245"/>
      </w:tblGrid>
      <w:tr w:rsidR="00A23EB0" w:rsidRPr="00DA768A" w14:paraId="539FC4C8" w14:textId="77777777" w:rsidTr="00A23EB0">
        <w:trPr>
          <w:jc w:val="center"/>
        </w:trPr>
        <w:tc>
          <w:tcPr>
            <w:tcW w:w="4675" w:type="dxa"/>
          </w:tcPr>
          <w:p w14:paraId="079D160F" w14:textId="77777777" w:rsidR="00A23EB0" w:rsidRDefault="00A23EB0" w:rsidP="00C97185">
            <w:pPr>
              <w:rPr>
                <w:b/>
              </w:rPr>
            </w:pPr>
          </w:p>
        </w:tc>
        <w:tc>
          <w:tcPr>
            <w:tcW w:w="2430" w:type="dxa"/>
          </w:tcPr>
          <w:p w14:paraId="3063EFA7" w14:textId="77777777" w:rsidR="00A23EB0" w:rsidRDefault="00A23EB0" w:rsidP="00C97185">
            <w:pPr>
              <w:jc w:val="center"/>
              <w:rPr>
                <w:b/>
              </w:rPr>
            </w:pPr>
            <w:r w:rsidRPr="00DA768A">
              <w:rPr>
                <w:b/>
              </w:rPr>
              <w:t xml:space="preserve">Five-Year </w:t>
            </w:r>
          </w:p>
          <w:p w14:paraId="04EDA7F9" w14:textId="77777777" w:rsidR="00A23EB0" w:rsidRPr="00DA768A" w:rsidRDefault="00A23EB0" w:rsidP="00C97185">
            <w:pPr>
              <w:jc w:val="center"/>
              <w:rPr>
                <w:b/>
              </w:rPr>
            </w:pPr>
            <w:r w:rsidRPr="00DA768A">
              <w:rPr>
                <w:b/>
              </w:rPr>
              <w:t>Authorization</w:t>
            </w:r>
          </w:p>
        </w:tc>
        <w:tc>
          <w:tcPr>
            <w:tcW w:w="2245" w:type="dxa"/>
          </w:tcPr>
          <w:p w14:paraId="2C51A7D1" w14:textId="77777777" w:rsidR="00A23EB0" w:rsidRPr="00DA768A" w:rsidRDefault="00A23EB0" w:rsidP="00C97185">
            <w:pPr>
              <w:jc w:val="center"/>
              <w:rPr>
                <w:b/>
              </w:rPr>
            </w:pPr>
            <w:r w:rsidRPr="00DA768A">
              <w:rPr>
                <w:b/>
              </w:rPr>
              <w:t>Increase over Baseline</w:t>
            </w:r>
          </w:p>
        </w:tc>
      </w:tr>
      <w:tr w:rsidR="00A23EB0" w:rsidRPr="00DA768A" w14:paraId="18F19828" w14:textId="77777777" w:rsidTr="00A23EB0">
        <w:trPr>
          <w:jc w:val="center"/>
        </w:trPr>
        <w:tc>
          <w:tcPr>
            <w:tcW w:w="4675" w:type="dxa"/>
            <w:shd w:val="clear" w:color="auto" w:fill="D9E2F3" w:themeFill="accent1" w:themeFillTint="33"/>
          </w:tcPr>
          <w:p w14:paraId="334D0DEA" w14:textId="63C45FF8" w:rsidR="00A23EB0" w:rsidRPr="00DA768A" w:rsidRDefault="00A23EB0" w:rsidP="00C97185">
            <w:pPr>
              <w:rPr>
                <w:b/>
              </w:rPr>
            </w:pPr>
            <w:r w:rsidRPr="00DA768A">
              <w:rPr>
                <w:b/>
              </w:rPr>
              <w:t>National Science Foundation</w:t>
            </w:r>
            <w:r>
              <w:rPr>
                <w:b/>
              </w:rPr>
              <w:t xml:space="preserve"> (NSF)</w:t>
            </w:r>
          </w:p>
        </w:tc>
        <w:tc>
          <w:tcPr>
            <w:tcW w:w="2430" w:type="dxa"/>
            <w:shd w:val="clear" w:color="auto" w:fill="D9E2F3" w:themeFill="accent1" w:themeFillTint="33"/>
          </w:tcPr>
          <w:p w14:paraId="2E1B9B02" w14:textId="77777777" w:rsidR="00A23EB0" w:rsidRPr="00DA768A" w:rsidRDefault="00A23EB0" w:rsidP="00C97185">
            <w:pPr>
              <w:jc w:val="center"/>
              <w:rPr>
                <w:b/>
              </w:rPr>
            </w:pPr>
            <w:r w:rsidRPr="00DA768A">
              <w:rPr>
                <w:b/>
              </w:rPr>
              <w:t>$81 billion</w:t>
            </w:r>
          </w:p>
        </w:tc>
        <w:tc>
          <w:tcPr>
            <w:tcW w:w="2245" w:type="dxa"/>
            <w:shd w:val="clear" w:color="auto" w:fill="D9E2F3" w:themeFill="accent1" w:themeFillTint="33"/>
          </w:tcPr>
          <w:p w14:paraId="74165CC3" w14:textId="77777777" w:rsidR="00A23EB0" w:rsidRPr="00DA768A" w:rsidRDefault="00A23EB0" w:rsidP="00C97185">
            <w:pPr>
              <w:jc w:val="center"/>
              <w:rPr>
                <w:b/>
              </w:rPr>
            </w:pPr>
            <w:r w:rsidRPr="00DA768A">
              <w:rPr>
                <w:b/>
              </w:rPr>
              <w:t>$36 billion</w:t>
            </w:r>
          </w:p>
        </w:tc>
      </w:tr>
      <w:tr w:rsidR="00A23EB0" w:rsidRPr="008520B2" w14:paraId="751F1669" w14:textId="77777777" w:rsidTr="00A23EB0">
        <w:trPr>
          <w:jc w:val="center"/>
        </w:trPr>
        <w:tc>
          <w:tcPr>
            <w:tcW w:w="4675" w:type="dxa"/>
          </w:tcPr>
          <w:p w14:paraId="0766FEFE" w14:textId="77777777" w:rsidR="00A23EB0" w:rsidRDefault="00A23EB0" w:rsidP="00A23EB0">
            <w:pPr>
              <w:pStyle w:val="ListParagraph"/>
              <w:numPr>
                <w:ilvl w:val="0"/>
                <w:numId w:val="8"/>
              </w:numPr>
            </w:pPr>
            <w:r>
              <w:t>NSF Tech Directorate</w:t>
            </w:r>
          </w:p>
        </w:tc>
        <w:tc>
          <w:tcPr>
            <w:tcW w:w="2430" w:type="dxa"/>
          </w:tcPr>
          <w:p w14:paraId="1550FC31" w14:textId="77777777" w:rsidR="00A23EB0" w:rsidRDefault="00A23EB0" w:rsidP="00C97185">
            <w:pPr>
              <w:jc w:val="center"/>
            </w:pPr>
            <w:r>
              <w:t>$20 billion</w:t>
            </w:r>
          </w:p>
        </w:tc>
        <w:tc>
          <w:tcPr>
            <w:tcW w:w="2245" w:type="dxa"/>
          </w:tcPr>
          <w:p w14:paraId="5EE793D4" w14:textId="77777777" w:rsidR="00A23EB0" w:rsidRPr="008520B2" w:rsidRDefault="00A23EB0" w:rsidP="00C97185">
            <w:pPr>
              <w:jc w:val="center"/>
            </w:pPr>
            <w:r w:rsidRPr="008520B2">
              <w:t>$20 billion</w:t>
            </w:r>
          </w:p>
        </w:tc>
      </w:tr>
      <w:tr w:rsidR="00A23EB0" w:rsidRPr="008520B2" w14:paraId="120389EF" w14:textId="77777777" w:rsidTr="00A23EB0">
        <w:trPr>
          <w:jc w:val="center"/>
        </w:trPr>
        <w:tc>
          <w:tcPr>
            <w:tcW w:w="4675" w:type="dxa"/>
          </w:tcPr>
          <w:p w14:paraId="44ABB7A6" w14:textId="77777777" w:rsidR="00A23EB0" w:rsidRDefault="00A23EB0" w:rsidP="00A23EB0">
            <w:pPr>
              <w:pStyle w:val="ListParagraph"/>
              <w:numPr>
                <w:ilvl w:val="0"/>
                <w:numId w:val="8"/>
              </w:numPr>
            </w:pPr>
            <w:r>
              <w:t>NSF Core Activities</w:t>
            </w:r>
          </w:p>
        </w:tc>
        <w:tc>
          <w:tcPr>
            <w:tcW w:w="2430" w:type="dxa"/>
          </w:tcPr>
          <w:p w14:paraId="0AB13EBD" w14:textId="77777777" w:rsidR="00A23EB0" w:rsidRDefault="00A23EB0" w:rsidP="00C97185">
            <w:pPr>
              <w:jc w:val="center"/>
            </w:pPr>
            <w:r>
              <w:t>$61 billion</w:t>
            </w:r>
          </w:p>
        </w:tc>
        <w:tc>
          <w:tcPr>
            <w:tcW w:w="2245" w:type="dxa"/>
          </w:tcPr>
          <w:p w14:paraId="4CC08D8F" w14:textId="77777777" w:rsidR="00A23EB0" w:rsidRPr="008520B2" w:rsidRDefault="00A23EB0" w:rsidP="00C97185">
            <w:pPr>
              <w:jc w:val="center"/>
            </w:pPr>
            <w:r w:rsidRPr="008520B2">
              <w:t>$16 billion</w:t>
            </w:r>
          </w:p>
        </w:tc>
      </w:tr>
      <w:tr w:rsidR="00A23EB0" w:rsidRPr="00DA768A" w14:paraId="54E85CA1" w14:textId="77777777" w:rsidTr="00A23EB0">
        <w:trPr>
          <w:jc w:val="center"/>
        </w:trPr>
        <w:tc>
          <w:tcPr>
            <w:tcW w:w="4675" w:type="dxa"/>
            <w:shd w:val="clear" w:color="auto" w:fill="D9E2F3" w:themeFill="accent1" w:themeFillTint="33"/>
          </w:tcPr>
          <w:p w14:paraId="2CCF4747" w14:textId="6DE9ED2F" w:rsidR="00A23EB0" w:rsidRPr="00DA768A" w:rsidRDefault="00A23EB0" w:rsidP="00C97185">
            <w:pPr>
              <w:rPr>
                <w:b/>
              </w:rPr>
            </w:pPr>
            <w:r w:rsidRPr="00DA768A">
              <w:rPr>
                <w:b/>
              </w:rPr>
              <w:t>Department of Commerce</w:t>
            </w:r>
            <w:r>
              <w:rPr>
                <w:b/>
              </w:rPr>
              <w:t xml:space="preserve"> (DOC)</w:t>
            </w:r>
          </w:p>
        </w:tc>
        <w:tc>
          <w:tcPr>
            <w:tcW w:w="2430" w:type="dxa"/>
            <w:shd w:val="clear" w:color="auto" w:fill="D9E2F3" w:themeFill="accent1" w:themeFillTint="33"/>
          </w:tcPr>
          <w:p w14:paraId="26EE4423" w14:textId="77777777" w:rsidR="00A23EB0" w:rsidRPr="00DA768A" w:rsidRDefault="00A23EB0" w:rsidP="00C97185">
            <w:pPr>
              <w:jc w:val="center"/>
              <w:rPr>
                <w:b/>
              </w:rPr>
            </w:pPr>
            <w:r w:rsidRPr="00DA768A">
              <w:rPr>
                <w:b/>
              </w:rPr>
              <w:t>$11 billion</w:t>
            </w:r>
          </w:p>
        </w:tc>
        <w:tc>
          <w:tcPr>
            <w:tcW w:w="2245" w:type="dxa"/>
            <w:shd w:val="clear" w:color="auto" w:fill="D9E2F3" w:themeFill="accent1" w:themeFillTint="33"/>
          </w:tcPr>
          <w:p w14:paraId="1DB8C849" w14:textId="77777777" w:rsidR="00A23EB0" w:rsidRPr="00DA768A" w:rsidRDefault="00A23EB0" w:rsidP="00C97185">
            <w:pPr>
              <w:jc w:val="center"/>
              <w:rPr>
                <w:b/>
              </w:rPr>
            </w:pPr>
            <w:r w:rsidRPr="00DA768A">
              <w:rPr>
                <w:b/>
              </w:rPr>
              <w:t>$11 billion</w:t>
            </w:r>
          </w:p>
        </w:tc>
      </w:tr>
      <w:tr w:rsidR="00A23EB0" w14:paraId="0F6B96AC" w14:textId="77777777" w:rsidTr="00A23EB0">
        <w:trPr>
          <w:jc w:val="center"/>
        </w:trPr>
        <w:tc>
          <w:tcPr>
            <w:tcW w:w="4675" w:type="dxa"/>
          </w:tcPr>
          <w:p w14:paraId="71366A98" w14:textId="77777777" w:rsidR="00A23EB0" w:rsidRPr="00DA768A" w:rsidRDefault="00A23EB0" w:rsidP="00A23EB0">
            <w:pPr>
              <w:pStyle w:val="ListParagraph"/>
              <w:numPr>
                <w:ilvl w:val="0"/>
                <w:numId w:val="8"/>
              </w:numPr>
            </w:pPr>
            <w:r w:rsidRPr="00DA768A">
              <w:t>Regional Technology Hubs</w:t>
            </w:r>
          </w:p>
        </w:tc>
        <w:tc>
          <w:tcPr>
            <w:tcW w:w="2430" w:type="dxa"/>
          </w:tcPr>
          <w:p w14:paraId="4FA44ED1" w14:textId="77777777" w:rsidR="00A23EB0" w:rsidRDefault="00A23EB0" w:rsidP="00C97185">
            <w:pPr>
              <w:jc w:val="center"/>
            </w:pPr>
            <w:r>
              <w:t>$10 billion</w:t>
            </w:r>
          </w:p>
        </w:tc>
        <w:tc>
          <w:tcPr>
            <w:tcW w:w="2245" w:type="dxa"/>
          </w:tcPr>
          <w:p w14:paraId="6D707CAB" w14:textId="77777777" w:rsidR="00A23EB0" w:rsidRDefault="00A23EB0" w:rsidP="00C97185">
            <w:pPr>
              <w:jc w:val="center"/>
            </w:pPr>
            <w:r>
              <w:t>$10 billion</w:t>
            </w:r>
          </w:p>
        </w:tc>
      </w:tr>
      <w:tr w:rsidR="00A23EB0" w14:paraId="1076E23B" w14:textId="77777777" w:rsidTr="00A23EB0">
        <w:trPr>
          <w:jc w:val="center"/>
        </w:trPr>
        <w:tc>
          <w:tcPr>
            <w:tcW w:w="4675" w:type="dxa"/>
          </w:tcPr>
          <w:p w14:paraId="2D80035A" w14:textId="77777777" w:rsidR="00A23EB0" w:rsidRPr="00DA768A" w:rsidRDefault="00A23EB0" w:rsidP="00A23EB0">
            <w:pPr>
              <w:pStyle w:val="ListParagraph"/>
              <w:numPr>
                <w:ilvl w:val="0"/>
                <w:numId w:val="8"/>
              </w:numPr>
            </w:pPr>
            <w:r w:rsidRPr="00DA768A">
              <w:t>RECOMPETE Pilot</w:t>
            </w:r>
          </w:p>
        </w:tc>
        <w:tc>
          <w:tcPr>
            <w:tcW w:w="2430" w:type="dxa"/>
          </w:tcPr>
          <w:p w14:paraId="230D5662" w14:textId="77777777" w:rsidR="00A23EB0" w:rsidRDefault="00A23EB0" w:rsidP="00C97185">
            <w:pPr>
              <w:jc w:val="center"/>
            </w:pPr>
            <w:r>
              <w:t>$1 billion</w:t>
            </w:r>
          </w:p>
        </w:tc>
        <w:tc>
          <w:tcPr>
            <w:tcW w:w="2245" w:type="dxa"/>
          </w:tcPr>
          <w:p w14:paraId="51B7BA67" w14:textId="77777777" w:rsidR="00A23EB0" w:rsidRDefault="00A23EB0" w:rsidP="00C97185">
            <w:pPr>
              <w:jc w:val="center"/>
            </w:pPr>
            <w:r>
              <w:t>$1 billion</w:t>
            </w:r>
          </w:p>
        </w:tc>
      </w:tr>
      <w:tr w:rsidR="00A23EB0" w:rsidRPr="00DA768A" w14:paraId="05431AFA" w14:textId="77777777" w:rsidTr="00A23EB0">
        <w:trPr>
          <w:jc w:val="center"/>
        </w:trPr>
        <w:tc>
          <w:tcPr>
            <w:tcW w:w="4675" w:type="dxa"/>
            <w:shd w:val="clear" w:color="auto" w:fill="D9E2F3" w:themeFill="accent1" w:themeFillTint="33"/>
          </w:tcPr>
          <w:p w14:paraId="3BD1989F" w14:textId="485F4616" w:rsidR="00A23EB0" w:rsidRPr="00DA768A" w:rsidRDefault="00A23EB0" w:rsidP="00C97185">
            <w:pPr>
              <w:rPr>
                <w:b/>
              </w:rPr>
            </w:pPr>
            <w:r w:rsidRPr="00DA768A">
              <w:rPr>
                <w:b/>
              </w:rPr>
              <w:t>National Institute of Standards and Technology</w:t>
            </w:r>
            <w:r>
              <w:rPr>
                <w:b/>
              </w:rPr>
              <w:t xml:space="preserve"> (NIST)</w:t>
            </w:r>
          </w:p>
        </w:tc>
        <w:tc>
          <w:tcPr>
            <w:tcW w:w="2430" w:type="dxa"/>
            <w:shd w:val="clear" w:color="auto" w:fill="D9E2F3" w:themeFill="accent1" w:themeFillTint="33"/>
          </w:tcPr>
          <w:p w14:paraId="72D8E586" w14:textId="77777777" w:rsidR="00A23EB0" w:rsidRPr="00DA768A" w:rsidRDefault="00A23EB0" w:rsidP="00C97185">
            <w:pPr>
              <w:jc w:val="center"/>
              <w:rPr>
                <w:b/>
              </w:rPr>
            </w:pPr>
            <w:r w:rsidRPr="00DA768A">
              <w:rPr>
                <w:b/>
              </w:rPr>
              <w:t>$10 billion</w:t>
            </w:r>
          </w:p>
        </w:tc>
        <w:tc>
          <w:tcPr>
            <w:tcW w:w="2245" w:type="dxa"/>
            <w:shd w:val="clear" w:color="auto" w:fill="D9E2F3" w:themeFill="accent1" w:themeFillTint="33"/>
          </w:tcPr>
          <w:p w14:paraId="05EA36C0" w14:textId="77777777" w:rsidR="00A23EB0" w:rsidRPr="00DA768A" w:rsidRDefault="00A23EB0" w:rsidP="00C97185">
            <w:pPr>
              <w:jc w:val="center"/>
              <w:rPr>
                <w:b/>
              </w:rPr>
            </w:pPr>
            <w:r>
              <w:rPr>
                <w:b/>
              </w:rPr>
              <w:t>$5 billion</w:t>
            </w:r>
          </w:p>
        </w:tc>
      </w:tr>
      <w:tr w:rsidR="00A23EB0" w14:paraId="2A1F8B72" w14:textId="77777777" w:rsidTr="00A23EB0">
        <w:trPr>
          <w:jc w:val="center"/>
        </w:trPr>
        <w:tc>
          <w:tcPr>
            <w:tcW w:w="4675" w:type="dxa"/>
          </w:tcPr>
          <w:p w14:paraId="7A6E9746" w14:textId="77777777" w:rsidR="00A23EB0" w:rsidRDefault="00A23EB0" w:rsidP="00A23EB0">
            <w:pPr>
              <w:pStyle w:val="ListParagraph"/>
              <w:numPr>
                <w:ilvl w:val="0"/>
                <w:numId w:val="8"/>
              </w:numPr>
            </w:pPr>
            <w:r>
              <w:t xml:space="preserve">NIST Research </w:t>
            </w:r>
          </w:p>
        </w:tc>
        <w:tc>
          <w:tcPr>
            <w:tcW w:w="2430" w:type="dxa"/>
          </w:tcPr>
          <w:p w14:paraId="7FAE49F1" w14:textId="77777777" w:rsidR="00A23EB0" w:rsidRDefault="00A23EB0" w:rsidP="00C97185">
            <w:pPr>
              <w:jc w:val="center"/>
            </w:pPr>
            <w:r>
              <w:t>$6.9 billion</w:t>
            </w:r>
          </w:p>
        </w:tc>
        <w:tc>
          <w:tcPr>
            <w:tcW w:w="2245" w:type="dxa"/>
          </w:tcPr>
          <w:p w14:paraId="5C57A9F2" w14:textId="77777777" w:rsidR="00A23EB0" w:rsidRDefault="00A23EB0" w:rsidP="00C97185">
            <w:pPr>
              <w:jc w:val="center"/>
            </w:pPr>
            <w:r>
              <w:t>$2.8 billion</w:t>
            </w:r>
          </w:p>
        </w:tc>
      </w:tr>
      <w:tr w:rsidR="00A23EB0" w14:paraId="032B4C12" w14:textId="77777777" w:rsidTr="00A23EB0">
        <w:trPr>
          <w:jc w:val="center"/>
        </w:trPr>
        <w:tc>
          <w:tcPr>
            <w:tcW w:w="4675" w:type="dxa"/>
          </w:tcPr>
          <w:p w14:paraId="173568C9" w14:textId="77777777" w:rsidR="00A23EB0" w:rsidRPr="00DA768A" w:rsidRDefault="00A23EB0" w:rsidP="00A23EB0">
            <w:pPr>
              <w:pStyle w:val="ListParagraph"/>
              <w:numPr>
                <w:ilvl w:val="0"/>
                <w:numId w:val="8"/>
              </w:numPr>
            </w:pPr>
            <w:r>
              <w:t>Manufacturing USA</w:t>
            </w:r>
          </w:p>
        </w:tc>
        <w:tc>
          <w:tcPr>
            <w:tcW w:w="2430" w:type="dxa"/>
          </w:tcPr>
          <w:p w14:paraId="7701AEB9" w14:textId="77777777" w:rsidR="00A23EB0" w:rsidRDefault="00A23EB0" w:rsidP="00C97185">
            <w:pPr>
              <w:jc w:val="center"/>
            </w:pPr>
            <w:r>
              <w:t>$829 million</w:t>
            </w:r>
          </w:p>
        </w:tc>
        <w:tc>
          <w:tcPr>
            <w:tcW w:w="2245" w:type="dxa"/>
          </w:tcPr>
          <w:p w14:paraId="1698E8E5" w14:textId="77777777" w:rsidR="00A23EB0" w:rsidRDefault="00A23EB0" w:rsidP="00C97185">
            <w:pPr>
              <w:jc w:val="center"/>
            </w:pPr>
            <w:r>
              <w:t>$744 million</w:t>
            </w:r>
          </w:p>
        </w:tc>
      </w:tr>
      <w:tr w:rsidR="00A23EB0" w14:paraId="63D270A5" w14:textId="77777777" w:rsidTr="00A23EB0">
        <w:trPr>
          <w:jc w:val="center"/>
        </w:trPr>
        <w:tc>
          <w:tcPr>
            <w:tcW w:w="4675" w:type="dxa"/>
          </w:tcPr>
          <w:p w14:paraId="2F120ED4" w14:textId="77777777" w:rsidR="00A23EB0" w:rsidRPr="00DA768A" w:rsidRDefault="00A23EB0" w:rsidP="00A23EB0">
            <w:pPr>
              <w:pStyle w:val="ListParagraph"/>
              <w:numPr>
                <w:ilvl w:val="0"/>
                <w:numId w:val="8"/>
              </w:numPr>
            </w:pPr>
            <w:r>
              <w:t>Manufacturing Extension Partnership</w:t>
            </w:r>
          </w:p>
        </w:tc>
        <w:tc>
          <w:tcPr>
            <w:tcW w:w="2430" w:type="dxa"/>
          </w:tcPr>
          <w:p w14:paraId="62CFAF03" w14:textId="77777777" w:rsidR="00A23EB0" w:rsidRDefault="00A23EB0" w:rsidP="00C97185">
            <w:pPr>
              <w:jc w:val="center"/>
            </w:pPr>
            <w:r>
              <w:t>$2.3 billion</w:t>
            </w:r>
          </w:p>
        </w:tc>
        <w:tc>
          <w:tcPr>
            <w:tcW w:w="2245" w:type="dxa"/>
          </w:tcPr>
          <w:p w14:paraId="5479E852" w14:textId="77777777" w:rsidR="00A23EB0" w:rsidRDefault="00A23EB0" w:rsidP="00C97185">
            <w:pPr>
              <w:jc w:val="center"/>
            </w:pPr>
            <w:r>
              <w:t>$1.5 billion</w:t>
            </w:r>
          </w:p>
        </w:tc>
      </w:tr>
      <w:tr w:rsidR="00A23EB0" w14:paraId="3803F276" w14:textId="77777777" w:rsidTr="00A23EB0">
        <w:trPr>
          <w:jc w:val="center"/>
        </w:trPr>
        <w:tc>
          <w:tcPr>
            <w:tcW w:w="4675" w:type="dxa"/>
            <w:shd w:val="clear" w:color="auto" w:fill="D9E2F3" w:themeFill="accent1" w:themeFillTint="33"/>
          </w:tcPr>
          <w:p w14:paraId="612451DC" w14:textId="39060912" w:rsidR="00A23EB0" w:rsidRPr="00A23EB0" w:rsidRDefault="00A23EB0" w:rsidP="00A23EB0">
            <w:pPr>
              <w:rPr>
                <w:b/>
              </w:rPr>
            </w:pPr>
            <w:r w:rsidRPr="00A23EB0">
              <w:rPr>
                <w:b/>
              </w:rPr>
              <w:t>Total</w:t>
            </w:r>
          </w:p>
        </w:tc>
        <w:tc>
          <w:tcPr>
            <w:tcW w:w="2430" w:type="dxa"/>
            <w:shd w:val="clear" w:color="auto" w:fill="D9E2F3" w:themeFill="accent1" w:themeFillTint="33"/>
          </w:tcPr>
          <w:p w14:paraId="496557C9" w14:textId="76A73B69" w:rsidR="00A23EB0" w:rsidRPr="00A23EB0" w:rsidRDefault="00A23EB0" w:rsidP="00C97185">
            <w:pPr>
              <w:jc w:val="center"/>
              <w:rPr>
                <w:b/>
              </w:rPr>
            </w:pPr>
            <w:r>
              <w:rPr>
                <w:b/>
              </w:rPr>
              <w:t>$102 billion</w:t>
            </w:r>
          </w:p>
        </w:tc>
        <w:tc>
          <w:tcPr>
            <w:tcW w:w="2245" w:type="dxa"/>
            <w:shd w:val="clear" w:color="auto" w:fill="D9E2F3" w:themeFill="accent1" w:themeFillTint="33"/>
          </w:tcPr>
          <w:p w14:paraId="4FE5A551" w14:textId="357018EC" w:rsidR="00A23EB0" w:rsidRPr="00A23EB0" w:rsidRDefault="00A23EB0" w:rsidP="00C97185">
            <w:pPr>
              <w:jc w:val="center"/>
              <w:rPr>
                <w:b/>
              </w:rPr>
            </w:pPr>
            <w:r>
              <w:rPr>
                <w:b/>
              </w:rPr>
              <w:t>$52 billion</w:t>
            </w:r>
          </w:p>
        </w:tc>
      </w:tr>
    </w:tbl>
    <w:p w14:paraId="1BE304B2" w14:textId="6F37E66B" w:rsidR="00A23EB0" w:rsidRDefault="00A23EB0" w:rsidP="002019FF">
      <w:pPr>
        <w:jc w:val="center"/>
        <w:rPr>
          <w:rFonts w:ascii="Times New Roman" w:hAnsi="Times New Roman" w:cs="Times New Roman"/>
          <w:b/>
          <w:u w:val="single"/>
        </w:rPr>
      </w:pPr>
    </w:p>
    <w:p w14:paraId="1E67272F" w14:textId="132AA105" w:rsidR="6DA8883B" w:rsidRPr="00E00270" w:rsidRDefault="6DA8883B" w:rsidP="6DA8883B">
      <w:pPr>
        <w:pStyle w:val="ListParagraph"/>
        <w:numPr>
          <w:ilvl w:val="0"/>
          <w:numId w:val="7"/>
        </w:numPr>
      </w:pPr>
      <w:r w:rsidRPr="00E00270">
        <w:rPr>
          <w:rFonts w:ascii="Times New Roman" w:hAnsi="Times New Roman" w:cs="Times New Roman"/>
        </w:rPr>
        <w:t xml:space="preserve"> </w:t>
      </w:r>
      <w:r w:rsidRPr="00E00270">
        <w:rPr>
          <w:rFonts w:ascii="Times New Roman" w:hAnsi="Times New Roman" w:cs="Times New Roman"/>
          <w:b/>
          <w:bCs/>
        </w:rPr>
        <w:t xml:space="preserve">National Science Foundation Authorization </w:t>
      </w:r>
      <w:r w:rsidRPr="00E00270">
        <w:rPr>
          <w:rFonts w:ascii="Times New Roman" w:hAnsi="Times New Roman" w:cs="Times New Roman"/>
        </w:rPr>
        <w:t xml:space="preserve">($81 billion </w:t>
      </w:r>
      <w:r w:rsidR="00E00270" w:rsidRPr="00E00270">
        <w:rPr>
          <w:rFonts w:ascii="Times New Roman" w:hAnsi="Times New Roman" w:cs="Times New Roman"/>
        </w:rPr>
        <w:t xml:space="preserve">total </w:t>
      </w:r>
      <w:r w:rsidRPr="00E00270">
        <w:rPr>
          <w:rFonts w:ascii="Times New Roman" w:hAnsi="Times New Roman" w:cs="Times New Roman"/>
        </w:rPr>
        <w:t xml:space="preserve">over 5 years; </w:t>
      </w:r>
      <w:r w:rsidR="00E00270" w:rsidRPr="00E00270">
        <w:rPr>
          <w:rFonts w:ascii="Times New Roman" w:hAnsi="Times New Roman" w:cs="Times New Roman"/>
        </w:rPr>
        <w:t>+</w:t>
      </w:r>
      <w:r w:rsidRPr="00E00270">
        <w:rPr>
          <w:rFonts w:ascii="Times New Roman" w:hAnsi="Times New Roman" w:cs="Times New Roman"/>
        </w:rPr>
        <w:t>$36 billion over baseline)</w:t>
      </w:r>
    </w:p>
    <w:p w14:paraId="53F74DC0" w14:textId="634AF602" w:rsidR="6DA8883B" w:rsidRPr="00E00270" w:rsidRDefault="6DA8883B" w:rsidP="6DA8883B">
      <w:pPr>
        <w:pStyle w:val="ListParagraph"/>
        <w:numPr>
          <w:ilvl w:val="1"/>
          <w:numId w:val="7"/>
        </w:numPr>
        <w:rPr>
          <w:rFonts w:eastAsiaTheme="minorEastAsia"/>
        </w:rPr>
      </w:pPr>
      <w:r w:rsidRPr="00E00270">
        <w:rPr>
          <w:rFonts w:ascii="Times New Roman" w:hAnsi="Times New Roman" w:cs="Times New Roman"/>
          <w:b/>
          <w:bCs/>
        </w:rPr>
        <w:t>Invest in Strategic Translational Science.</w:t>
      </w:r>
      <w:r w:rsidRPr="00E00270">
        <w:rPr>
          <w:rFonts w:ascii="Times New Roman" w:hAnsi="Times New Roman" w:cs="Times New Roman"/>
        </w:rPr>
        <w:t xml:space="preserve"> Authorizes $20 billion for the first-of-its-kind National Science Foundation (“NSF”) Directorate for Technology, Innovation, and Partnerships (“TIP”), which will accelerate domestic development of national and economic-security critical technologies such as artificial intelligence, quantum computing, advanced manufacturing, 6G communications, energy, and m</w:t>
      </w:r>
      <w:r w:rsidRPr="00E00270">
        <w:rPr>
          <w:rFonts w:ascii="Times New Roman" w:eastAsia="Times New Roman" w:hAnsi="Times New Roman" w:cs="Times New Roman"/>
        </w:rPr>
        <w:t>aterial science. ($20 billion</w:t>
      </w:r>
      <w:r w:rsidR="00E00270">
        <w:rPr>
          <w:rFonts w:ascii="Times New Roman" w:eastAsia="Times New Roman" w:hAnsi="Times New Roman" w:cs="Times New Roman"/>
        </w:rPr>
        <w:t xml:space="preserve"> total</w:t>
      </w:r>
      <w:r w:rsidRPr="00E00270">
        <w:rPr>
          <w:rFonts w:ascii="Times New Roman" w:eastAsia="Times New Roman" w:hAnsi="Times New Roman" w:cs="Times New Roman"/>
        </w:rPr>
        <w:t>)</w:t>
      </w:r>
    </w:p>
    <w:p w14:paraId="0C17F717" w14:textId="12595C99" w:rsidR="6DA8883B" w:rsidRPr="00E00270" w:rsidRDefault="6DA8883B" w:rsidP="6DA8883B">
      <w:pPr>
        <w:pStyle w:val="ListParagraph"/>
        <w:numPr>
          <w:ilvl w:val="1"/>
          <w:numId w:val="7"/>
        </w:numPr>
        <w:rPr>
          <w:rFonts w:eastAsiaTheme="minorEastAsia"/>
          <w:b/>
          <w:bCs/>
        </w:rPr>
      </w:pPr>
      <w:r w:rsidRPr="00E00270">
        <w:rPr>
          <w:rFonts w:ascii="Times New Roman" w:eastAsia="Times New Roman" w:hAnsi="Times New Roman" w:cs="Times New Roman"/>
          <w:b/>
          <w:bCs/>
        </w:rPr>
        <w:t xml:space="preserve">Grow Basic Research. </w:t>
      </w:r>
      <w:r w:rsidRPr="00E00270">
        <w:rPr>
          <w:rFonts w:ascii="Times New Roman" w:eastAsia="Times New Roman" w:hAnsi="Times New Roman" w:cs="Times New Roman"/>
          <w:color w:val="0D0D0D" w:themeColor="text1" w:themeTint="F2"/>
        </w:rPr>
        <w:t xml:space="preserve">Supports </w:t>
      </w:r>
      <w:r w:rsidR="003D651D">
        <w:rPr>
          <w:rFonts w:ascii="Times New Roman" w:eastAsia="Times New Roman" w:hAnsi="Times New Roman" w:cs="Times New Roman"/>
          <w:color w:val="0D0D0D" w:themeColor="text1" w:themeTint="F2"/>
        </w:rPr>
        <w:t xml:space="preserve">early-stage research that will create revolutionary new ideas, including in areas such as </w:t>
      </w:r>
      <w:r w:rsidRPr="00E00270">
        <w:rPr>
          <w:rFonts w:ascii="Times New Roman" w:eastAsia="Times New Roman" w:hAnsi="Times New Roman" w:cs="Times New Roman"/>
          <w:color w:val="0D0D0D" w:themeColor="text1" w:themeTint="F2"/>
        </w:rPr>
        <w:t>the food-energy-water system, sustainable chemistry, risk and resilience, clean water systems, technology and behavioral health, critical minerals, precision agriculture, and the impact of satellite constellations on NSF-funded science.</w:t>
      </w:r>
      <w:r w:rsidRPr="00E00270">
        <w:rPr>
          <w:rFonts w:ascii="Times New Roman" w:eastAsia="Times New Roman" w:hAnsi="Times New Roman" w:cs="Times New Roman"/>
        </w:rPr>
        <w:t xml:space="preserve"> </w:t>
      </w:r>
    </w:p>
    <w:p w14:paraId="3A0FBE5F" w14:textId="70D24A56" w:rsidR="6DA8883B" w:rsidRPr="00E00270" w:rsidRDefault="6DA8883B" w:rsidP="6DA8883B">
      <w:pPr>
        <w:pStyle w:val="ListParagraph"/>
        <w:numPr>
          <w:ilvl w:val="1"/>
          <w:numId w:val="7"/>
        </w:numPr>
        <w:rPr>
          <w:rFonts w:eastAsiaTheme="minorEastAsia"/>
          <w:b/>
          <w:bCs/>
          <w:color w:val="0D0D0D" w:themeColor="text1" w:themeTint="F2"/>
        </w:rPr>
      </w:pPr>
      <w:r w:rsidRPr="00E00270">
        <w:rPr>
          <w:rFonts w:ascii="Times New Roman" w:eastAsia="Times New Roman" w:hAnsi="Times New Roman" w:cs="Times New Roman"/>
          <w:b/>
          <w:bCs/>
        </w:rPr>
        <w:t xml:space="preserve">Build the STEM Workforce. </w:t>
      </w:r>
      <w:r w:rsidRPr="00E00270">
        <w:rPr>
          <w:rFonts w:ascii="Times New Roman" w:eastAsia="Times New Roman" w:hAnsi="Times New Roman" w:cs="Times New Roman"/>
        </w:rPr>
        <w:t xml:space="preserve">Authorizes funding for STEM education, including scholarships, fellowships, and traineeships to create workers in critical fields, </w:t>
      </w:r>
      <w:r w:rsidRPr="00E00270">
        <w:rPr>
          <w:rFonts w:ascii="Times New Roman" w:eastAsia="Times New Roman" w:hAnsi="Times New Roman" w:cs="Times New Roman"/>
          <w:color w:val="0D0D0D" w:themeColor="text1" w:themeTint="F2"/>
        </w:rPr>
        <w:t xml:space="preserve">including to establishing an artificial intelligence scholarship-for-service program, a national network for microelectronics education, and cybersecurity workforce development programs.  </w:t>
      </w:r>
      <w:r w:rsidRPr="00E00270">
        <w:rPr>
          <w:rFonts w:ascii="Times New Roman" w:eastAsia="Times New Roman" w:hAnsi="Times New Roman" w:cs="Times New Roman"/>
        </w:rPr>
        <w:t>($13 billion</w:t>
      </w:r>
      <w:r w:rsidR="00E00270">
        <w:rPr>
          <w:rFonts w:ascii="Times New Roman" w:eastAsia="Times New Roman" w:hAnsi="Times New Roman" w:cs="Times New Roman"/>
        </w:rPr>
        <w:t xml:space="preserve"> total</w:t>
      </w:r>
      <w:r w:rsidRPr="00E00270">
        <w:rPr>
          <w:rFonts w:ascii="Times New Roman" w:eastAsia="Times New Roman" w:hAnsi="Times New Roman" w:cs="Times New Roman"/>
        </w:rPr>
        <w:t>)</w:t>
      </w:r>
    </w:p>
    <w:p w14:paraId="44C6D2E8" w14:textId="1E996B3F" w:rsidR="00E00270" w:rsidRPr="00E00270" w:rsidRDefault="6DA8883B" w:rsidP="6DA8883B">
      <w:pPr>
        <w:pStyle w:val="ListParagraph"/>
        <w:numPr>
          <w:ilvl w:val="1"/>
          <w:numId w:val="7"/>
        </w:numPr>
        <w:rPr>
          <w:rFonts w:eastAsiaTheme="minorEastAsia"/>
          <w:b/>
          <w:bCs/>
          <w:color w:val="0D0D0D" w:themeColor="text1" w:themeTint="F2"/>
        </w:rPr>
      </w:pPr>
      <w:r w:rsidRPr="00E00270">
        <w:rPr>
          <w:rFonts w:ascii="Times New Roman" w:eastAsia="Times New Roman" w:hAnsi="Times New Roman" w:cs="Times New Roman"/>
          <w:b/>
          <w:bCs/>
        </w:rPr>
        <w:t>Building Broad-based Research Opportunities</w:t>
      </w:r>
      <w:r w:rsidRPr="00E00270">
        <w:rPr>
          <w:rFonts w:ascii="Times New Roman" w:eastAsia="Times New Roman" w:hAnsi="Times New Roman" w:cs="Times New Roman"/>
        </w:rPr>
        <w:t xml:space="preserve">. </w:t>
      </w:r>
      <w:r w:rsidR="00E00270">
        <w:rPr>
          <w:rFonts w:ascii="Times New Roman" w:eastAsia="Times New Roman" w:hAnsi="Times New Roman" w:cs="Times New Roman"/>
        </w:rPr>
        <w:t xml:space="preserve">Grows funding for NSF research activities </w:t>
      </w:r>
      <w:r w:rsidR="003D651D">
        <w:rPr>
          <w:rFonts w:ascii="Times New Roman" w:eastAsia="Times New Roman" w:hAnsi="Times New Roman" w:cs="Times New Roman"/>
        </w:rPr>
        <w:t xml:space="preserve">for universities </w:t>
      </w:r>
      <w:r w:rsidR="00E00270">
        <w:rPr>
          <w:rFonts w:ascii="Times New Roman" w:eastAsia="Times New Roman" w:hAnsi="Times New Roman" w:cs="Times New Roman"/>
        </w:rPr>
        <w:t xml:space="preserve">across the country, including investment in </w:t>
      </w:r>
      <w:r w:rsidRPr="00E00270">
        <w:rPr>
          <w:rFonts w:ascii="Times New Roman" w:eastAsia="Times New Roman" w:hAnsi="Times New Roman" w:cs="Times New Roman"/>
        </w:rPr>
        <w:t>minority serving institutions</w:t>
      </w:r>
      <w:r w:rsidR="003D651D">
        <w:rPr>
          <w:rFonts w:ascii="Times New Roman" w:eastAsia="Times New Roman" w:hAnsi="Times New Roman" w:cs="Times New Roman"/>
        </w:rPr>
        <w:t xml:space="preserve"> and </w:t>
      </w:r>
      <w:r w:rsidRPr="00E00270">
        <w:rPr>
          <w:rFonts w:ascii="Times New Roman" w:eastAsia="Times New Roman" w:hAnsi="Times New Roman" w:cs="Times New Roman"/>
        </w:rPr>
        <w:t xml:space="preserve">emerging research institutions, and </w:t>
      </w:r>
      <w:r w:rsidR="00E00270">
        <w:rPr>
          <w:rFonts w:ascii="Times New Roman" w:eastAsia="Times New Roman" w:hAnsi="Times New Roman" w:cs="Times New Roman"/>
        </w:rPr>
        <w:t xml:space="preserve">by placing </w:t>
      </w:r>
      <w:r w:rsidR="003D651D">
        <w:rPr>
          <w:rFonts w:ascii="Times New Roman" w:eastAsia="Times New Roman" w:hAnsi="Times New Roman" w:cs="Times New Roman"/>
        </w:rPr>
        <w:t>EPSCoR jurisdictions on a path to receive 20% of funding in key accounts by FY2029</w:t>
      </w:r>
      <w:r w:rsidR="003D651D" w:rsidRPr="003D651D">
        <w:rPr>
          <w:rFonts w:eastAsiaTheme="minorEastAsia"/>
          <w:bCs/>
          <w:color w:val="0D0D0D" w:themeColor="text1" w:themeTint="F2"/>
        </w:rPr>
        <w:t xml:space="preserve">. </w:t>
      </w:r>
    </w:p>
    <w:p w14:paraId="5FC4EAAA" w14:textId="338D1C0F" w:rsidR="6DA8883B" w:rsidRPr="00E00270" w:rsidRDefault="6DA8883B" w:rsidP="008A613C">
      <w:pPr>
        <w:pStyle w:val="ListParagraph"/>
        <w:numPr>
          <w:ilvl w:val="1"/>
          <w:numId w:val="7"/>
        </w:numPr>
        <w:rPr>
          <w:rFonts w:eastAsiaTheme="minorEastAsia"/>
        </w:rPr>
      </w:pPr>
      <w:r w:rsidRPr="00E00270">
        <w:rPr>
          <w:rFonts w:ascii="Times New Roman" w:hAnsi="Times New Roman" w:cs="Times New Roman"/>
          <w:b/>
          <w:bCs/>
        </w:rPr>
        <w:t xml:space="preserve">Expand Rural STEM Education. </w:t>
      </w:r>
      <w:r w:rsidRPr="00E00270">
        <w:rPr>
          <w:rFonts w:ascii="Times New Roman" w:hAnsi="Times New Roman" w:cs="Times New Roman"/>
        </w:rPr>
        <w:t>P</w:t>
      </w:r>
      <w:r w:rsidRPr="00E00270">
        <w:rPr>
          <w:rFonts w:ascii="Times New Roman" w:eastAsia="Times New Roman" w:hAnsi="Times New Roman" w:cs="Times New Roman"/>
        </w:rPr>
        <w:t>rovides for research and development to increase access to STEM education opportunities in rural schools and to provide teachers with the resources they need to teach more effectively.</w:t>
      </w:r>
    </w:p>
    <w:p w14:paraId="477A44FD" w14:textId="77777777" w:rsidR="008A613C" w:rsidRPr="00E00270" w:rsidRDefault="008A613C" w:rsidP="008A613C">
      <w:pPr>
        <w:pStyle w:val="ListParagraph"/>
        <w:ind w:left="1440"/>
        <w:rPr>
          <w:rFonts w:eastAsiaTheme="minorEastAsia"/>
        </w:rPr>
      </w:pPr>
    </w:p>
    <w:p w14:paraId="0FF6A9D6" w14:textId="15C0D494" w:rsidR="002019FF" w:rsidRPr="00E00270" w:rsidRDefault="004247F9" w:rsidP="004247F9">
      <w:pPr>
        <w:pStyle w:val="ListParagraph"/>
        <w:numPr>
          <w:ilvl w:val="0"/>
          <w:numId w:val="7"/>
        </w:numPr>
        <w:rPr>
          <w:rFonts w:ascii="Times New Roman" w:hAnsi="Times New Roman" w:cs="Times New Roman"/>
        </w:rPr>
      </w:pPr>
      <w:r w:rsidRPr="00E00270">
        <w:rPr>
          <w:rFonts w:ascii="Times New Roman" w:hAnsi="Times New Roman" w:cs="Times New Roman"/>
          <w:b/>
          <w:bCs/>
        </w:rPr>
        <w:t xml:space="preserve">Department of Commerce Technology Hubs </w:t>
      </w:r>
      <w:r w:rsidRPr="00E00270">
        <w:rPr>
          <w:rFonts w:ascii="Times New Roman" w:hAnsi="Times New Roman" w:cs="Times New Roman"/>
        </w:rPr>
        <w:t xml:space="preserve">($11 billion </w:t>
      </w:r>
      <w:r w:rsidR="003D651D">
        <w:rPr>
          <w:rFonts w:ascii="Times New Roman" w:hAnsi="Times New Roman" w:cs="Times New Roman"/>
        </w:rPr>
        <w:t xml:space="preserve">total </w:t>
      </w:r>
      <w:r w:rsidRPr="00E00270">
        <w:rPr>
          <w:rFonts w:ascii="Times New Roman" w:hAnsi="Times New Roman" w:cs="Times New Roman"/>
        </w:rPr>
        <w:t xml:space="preserve">over 5 years; </w:t>
      </w:r>
      <w:r w:rsidR="003D651D">
        <w:rPr>
          <w:rFonts w:ascii="Times New Roman" w:hAnsi="Times New Roman" w:cs="Times New Roman"/>
        </w:rPr>
        <w:t>+</w:t>
      </w:r>
      <w:r w:rsidRPr="00E00270">
        <w:rPr>
          <w:rFonts w:ascii="Times New Roman" w:hAnsi="Times New Roman" w:cs="Times New Roman"/>
        </w:rPr>
        <w:t>$11 billion over baseline)</w:t>
      </w:r>
    </w:p>
    <w:p w14:paraId="441D8DE5" w14:textId="6900243C" w:rsidR="6DA8883B" w:rsidRPr="00E00270" w:rsidRDefault="6DA8883B" w:rsidP="6DA8883B">
      <w:pPr>
        <w:pStyle w:val="ListParagraph"/>
        <w:numPr>
          <w:ilvl w:val="1"/>
          <w:numId w:val="7"/>
        </w:numPr>
        <w:rPr>
          <w:rFonts w:eastAsiaTheme="minorEastAsia"/>
        </w:rPr>
      </w:pPr>
      <w:r w:rsidRPr="00E00270">
        <w:rPr>
          <w:rFonts w:ascii="Times New Roman" w:hAnsi="Times New Roman" w:cs="Times New Roman"/>
          <w:b/>
          <w:bCs/>
        </w:rPr>
        <w:t xml:space="preserve">Build Regional Innovation. </w:t>
      </w:r>
      <w:r w:rsidRPr="00E00270">
        <w:rPr>
          <w:rFonts w:ascii="Times New Roman" w:hAnsi="Times New Roman" w:cs="Times New Roman"/>
        </w:rPr>
        <w:t>Directs the Department to create 20 geographically-distributed “regional technology hubs”. These hubs will focus on technology development, job creation, and expanding U.S. innovation capacity. ($10 billion</w:t>
      </w:r>
      <w:r w:rsidR="003D651D">
        <w:rPr>
          <w:rFonts w:ascii="Times New Roman" w:hAnsi="Times New Roman" w:cs="Times New Roman"/>
        </w:rPr>
        <w:t xml:space="preserve"> total</w:t>
      </w:r>
      <w:r w:rsidRPr="00E00270">
        <w:rPr>
          <w:rFonts w:ascii="Times New Roman" w:hAnsi="Times New Roman" w:cs="Times New Roman"/>
        </w:rPr>
        <w:t>)</w:t>
      </w:r>
    </w:p>
    <w:p w14:paraId="3800C373" w14:textId="0965033C" w:rsidR="6DA8883B" w:rsidRPr="00E00270" w:rsidRDefault="6DA8883B" w:rsidP="008A613C">
      <w:pPr>
        <w:pStyle w:val="ListParagraph"/>
        <w:numPr>
          <w:ilvl w:val="1"/>
          <w:numId w:val="7"/>
        </w:numPr>
        <w:rPr>
          <w:rFonts w:eastAsiaTheme="minorEastAsia"/>
        </w:rPr>
      </w:pPr>
      <w:r w:rsidRPr="00E00270">
        <w:rPr>
          <w:rFonts w:ascii="Times New Roman" w:hAnsi="Times New Roman" w:cs="Times New Roman"/>
          <w:b/>
          <w:bCs/>
        </w:rPr>
        <w:t>Revitalize Communities.</w:t>
      </w:r>
      <w:r w:rsidRPr="00E00270">
        <w:rPr>
          <w:rFonts w:ascii="Times New Roman" w:hAnsi="Times New Roman" w:cs="Times New Roman"/>
        </w:rPr>
        <w:t xml:space="preserve"> Establishes the “Recompete Pilot Program,” to support persistently distressed communities with economic development activities ($</w:t>
      </w:r>
      <w:r w:rsidR="003D651D">
        <w:rPr>
          <w:rFonts w:ascii="Times New Roman" w:hAnsi="Times New Roman" w:cs="Times New Roman"/>
        </w:rPr>
        <w:t>1 b</w:t>
      </w:r>
      <w:r w:rsidRPr="00E00270">
        <w:rPr>
          <w:rFonts w:ascii="Times New Roman" w:hAnsi="Times New Roman" w:cs="Times New Roman"/>
        </w:rPr>
        <w:t>illion</w:t>
      </w:r>
      <w:r w:rsidR="003D651D">
        <w:rPr>
          <w:rFonts w:ascii="Times New Roman" w:hAnsi="Times New Roman" w:cs="Times New Roman"/>
        </w:rPr>
        <w:t xml:space="preserve"> total</w:t>
      </w:r>
      <w:r w:rsidRPr="00E00270">
        <w:rPr>
          <w:rFonts w:ascii="Times New Roman" w:hAnsi="Times New Roman" w:cs="Times New Roman"/>
        </w:rPr>
        <w:t xml:space="preserve">) </w:t>
      </w:r>
    </w:p>
    <w:p w14:paraId="6CAD6EA7" w14:textId="229B4EB8" w:rsidR="00A23EB0" w:rsidRDefault="00A23EB0">
      <w:pPr>
        <w:rPr>
          <w:rFonts w:eastAsiaTheme="minorEastAsia"/>
        </w:rPr>
      </w:pPr>
      <w:r>
        <w:rPr>
          <w:rFonts w:eastAsiaTheme="minorEastAsia"/>
        </w:rPr>
        <w:br w:type="page"/>
      </w:r>
    </w:p>
    <w:p w14:paraId="6ABBF48A" w14:textId="5092407D" w:rsidR="002019FF" w:rsidRPr="00E00270" w:rsidRDefault="002019FF" w:rsidP="6DA8883B">
      <w:pPr>
        <w:pStyle w:val="ListParagraph"/>
        <w:numPr>
          <w:ilvl w:val="0"/>
          <w:numId w:val="6"/>
        </w:numPr>
        <w:rPr>
          <w:rFonts w:eastAsiaTheme="minorEastAsia"/>
        </w:rPr>
      </w:pPr>
      <w:r w:rsidRPr="00E00270">
        <w:rPr>
          <w:rFonts w:ascii="Times New Roman" w:hAnsi="Times New Roman" w:cs="Times New Roman"/>
          <w:b/>
          <w:bCs/>
        </w:rPr>
        <w:lastRenderedPageBreak/>
        <w:t>N</w:t>
      </w:r>
      <w:r w:rsidR="004247F9" w:rsidRPr="00E00270">
        <w:rPr>
          <w:rFonts w:ascii="Times New Roman" w:hAnsi="Times New Roman" w:cs="Times New Roman"/>
          <w:b/>
          <w:bCs/>
        </w:rPr>
        <w:t>ational Institute of Standards and Technology Authorization (</w:t>
      </w:r>
      <w:r w:rsidR="004247F9" w:rsidRPr="00E00270">
        <w:rPr>
          <w:rFonts w:ascii="Times New Roman" w:hAnsi="Times New Roman" w:cs="Times New Roman"/>
        </w:rPr>
        <w:t>$9 billion</w:t>
      </w:r>
      <w:r w:rsidR="003D651D">
        <w:rPr>
          <w:rFonts w:ascii="Times New Roman" w:hAnsi="Times New Roman" w:cs="Times New Roman"/>
        </w:rPr>
        <w:t xml:space="preserve"> total</w:t>
      </w:r>
      <w:r w:rsidR="004247F9" w:rsidRPr="00E00270">
        <w:rPr>
          <w:rFonts w:ascii="Times New Roman" w:hAnsi="Times New Roman" w:cs="Times New Roman"/>
        </w:rPr>
        <w:t xml:space="preserve">, </w:t>
      </w:r>
      <w:r w:rsidR="003D651D">
        <w:rPr>
          <w:rFonts w:ascii="Times New Roman" w:hAnsi="Times New Roman" w:cs="Times New Roman"/>
        </w:rPr>
        <w:t>+</w:t>
      </w:r>
      <w:r w:rsidR="004247F9" w:rsidRPr="00E00270">
        <w:rPr>
          <w:rFonts w:ascii="Times New Roman" w:hAnsi="Times New Roman" w:cs="Times New Roman"/>
        </w:rPr>
        <w:t xml:space="preserve">$4 billion over baseline) </w:t>
      </w:r>
    </w:p>
    <w:p w14:paraId="0BD1EA3E" w14:textId="42657F17" w:rsidR="6DA8883B" w:rsidRPr="00E00270" w:rsidRDefault="6DA8883B" w:rsidP="6DA8883B">
      <w:pPr>
        <w:pStyle w:val="ListParagraph"/>
        <w:numPr>
          <w:ilvl w:val="1"/>
          <w:numId w:val="6"/>
        </w:numPr>
      </w:pPr>
      <w:r w:rsidRPr="00E00270">
        <w:rPr>
          <w:rFonts w:ascii="Times New Roman" w:eastAsia="Times New Roman" w:hAnsi="Times New Roman" w:cs="Times New Roman"/>
          <w:b/>
          <w:bCs/>
        </w:rPr>
        <w:t>Support Critical Technology Research and Standards.</w:t>
      </w:r>
      <w:r w:rsidRPr="00E00270">
        <w:rPr>
          <w:rFonts w:ascii="Times New Roman" w:eastAsia="Times New Roman" w:hAnsi="Times New Roman" w:cs="Times New Roman"/>
        </w:rPr>
        <w:t xml:space="preserve">  Advances research and standards development for industries of the future, including quantum information science, artificial intelligence, cybersecurity, advanced communications technologies, and semiconductors.</w:t>
      </w:r>
    </w:p>
    <w:p w14:paraId="2F8578E2" w14:textId="3E9ECAEC" w:rsidR="6DA8883B" w:rsidRPr="00E00270" w:rsidRDefault="6DA8883B" w:rsidP="6DA8883B">
      <w:pPr>
        <w:pStyle w:val="ListParagraph"/>
        <w:numPr>
          <w:ilvl w:val="1"/>
          <w:numId w:val="6"/>
        </w:numPr>
        <w:rPr>
          <w:rFonts w:eastAsiaTheme="minorEastAsia"/>
        </w:rPr>
      </w:pPr>
      <w:r w:rsidRPr="00E00270">
        <w:rPr>
          <w:rFonts w:ascii="Times New Roman" w:eastAsia="Times New Roman" w:hAnsi="Times New Roman" w:cs="Times New Roman"/>
          <w:b/>
          <w:bCs/>
        </w:rPr>
        <w:t xml:space="preserve">Strengthen Small Manufacturers. </w:t>
      </w:r>
      <w:r w:rsidRPr="00E00270">
        <w:rPr>
          <w:rFonts w:ascii="Times New Roman" w:eastAsia="Times New Roman" w:hAnsi="Times New Roman" w:cs="Times New Roman"/>
        </w:rPr>
        <w:t xml:space="preserve">Triples funding for Manufacturing Extension Partnership, to support small- and medium-sized manufacturers with cybersecurity, workforce training, and supply chain resiliency </w:t>
      </w:r>
      <w:r w:rsidRPr="00E00270">
        <w:rPr>
          <w:rFonts w:ascii="Times New Roman" w:hAnsi="Times New Roman" w:cs="Times New Roman"/>
        </w:rPr>
        <w:t>($2 billion</w:t>
      </w:r>
      <w:r w:rsidR="003D651D">
        <w:rPr>
          <w:rFonts w:ascii="Times New Roman" w:hAnsi="Times New Roman" w:cs="Times New Roman"/>
        </w:rPr>
        <w:t xml:space="preserve"> total</w:t>
      </w:r>
      <w:r w:rsidRPr="00E00270">
        <w:rPr>
          <w:rFonts w:ascii="Times New Roman" w:hAnsi="Times New Roman" w:cs="Times New Roman"/>
        </w:rPr>
        <w:t>)</w:t>
      </w:r>
    </w:p>
    <w:p w14:paraId="4D5A9FF6" w14:textId="0BA6B4D5" w:rsidR="6DA8883B" w:rsidRPr="00E00270" w:rsidRDefault="6DA8883B" w:rsidP="6DA8883B">
      <w:pPr>
        <w:pStyle w:val="ListParagraph"/>
        <w:numPr>
          <w:ilvl w:val="1"/>
          <w:numId w:val="6"/>
        </w:numPr>
        <w:rPr>
          <w:rFonts w:eastAsiaTheme="minorEastAsia"/>
        </w:rPr>
      </w:pPr>
      <w:r w:rsidRPr="00E00270">
        <w:rPr>
          <w:rFonts w:ascii="Times New Roman" w:hAnsi="Times New Roman" w:cs="Times New Roman"/>
          <w:b/>
          <w:bCs/>
        </w:rPr>
        <w:t xml:space="preserve">Combat Supply Chain Disruption. </w:t>
      </w:r>
      <w:r w:rsidRPr="00E00270">
        <w:rPr>
          <w:rFonts w:ascii="Times New Roman" w:hAnsi="Times New Roman" w:cs="Times New Roman"/>
        </w:rPr>
        <w:t>Leverages the Manufacturing Extension Partnership to creates a National Supply Chain Database, to assist the businesses with supplier scouting and minimizing supply chain disruptions ($131 million</w:t>
      </w:r>
      <w:r w:rsidR="003D651D">
        <w:rPr>
          <w:rFonts w:ascii="Times New Roman" w:hAnsi="Times New Roman" w:cs="Times New Roman"/>
        </w:rPr>
        <w:t xml:space="preserve"> total</w:t>
      </w:r>
      <w:r w:rsidRPr="00E00270">
        <w:rPr>
          <w:rFonts w:ascii="Times New Roman" w:hAnsi="Times New Roman" w:cs="Times New Roman"/>
        </w:rPr>
        <w:t xml:space="preserve">) </w:t>
      </w:r>
    </w:p>
    <w:p w14:paraId="28BFFBA0" w14:textId="1C6A61A9" w:rsidR="6DA8883B" w:rsidRPr="00E00270" w:rsidRDefault="6DA8883B" w:rsidP="6DA8883B">
      <w:pPr>
        <w:pStyle w:val="ListParagraph"/>
        <w:numPr>
          <w:ilvl w:val="1"/>
          <w:numId w:val="6"/>
        </w:numPr>
      </w:pPr>
      <w:r w:rsidRPr="00E00270">
        <w:rPr>
          <w:rFonts w:ascii="Times New Roman" w:hAnsi="Times New Roman" w:cs="Times New Roman"/>
          <w:b/>
          <w:bCs/>
        </w:rPr>
        <w:t xml:space="preserve">Grow Manufacturing USA. </w:t>
      </w:r>
      <w:r w:rsidRPr="00E00270">
        <w:rPr>
          <w:rFonts w:ascii="Times New Roman" w:hAnsi="Times New Roman" w:cs="Times New Roman"/>
        </w:rPr>
        <w:t>Supports the creation of new competitively-awarded manufacturing research institutes with expanded capacity for education and workforce development ($829 million</w:t>
      </w:r>
      <w:r w:rsidR="003D651D">
        <w:rPr>
          <w:rFonts w:ascii="Times New Roman" w:hAnsi="Times New Roman" w:cs="Times New Roman"/>
        </w:rPr>
        <w:t xml:space="preserve"> total</w:t>
      </w:r>
      <w:r w:rsidRPr="00E00270">
        <w:rPr>
          <w:rFonts w:ascii="Times New Roman" w:hAnsi="Times New Roman" w:cs="Times New Roman"/>
        </w:rPr>
        <w:t>)</w:t>
      </w:r>
    </w:p>
    <w:p w14:paraId="67F6CFBD" w14:textId="4A4EFB9C" w:rsidR="003D651D" w:rsidRPr="00A23EB0" w:rsidRDefault="6DA8883B" w:rsidP="00A23EB0">
      <w:pPr>
        <w:pStyle w:val="ListParagraph"/>
        <w:numPr>
          <w:ilvl w:val="1"/>
          <w:numId w:val="6"/>
        </w:numPr>
        <w:rPr>
          <w:rFonts w:ascii="Times New Roman" w:eastAsia="Times New Roman" w:hAnsi="Times New Roman" w:cs="Times New Roman"/>
        </w:rPr>
      </w:pPr>
      <w:r w:rsidRPr="00A23EB0">
        <w:rPr>
          <w:rFonts w:ascii="Times New Roman" w:eastAsia="Times New Roman" w:hAnsi="Times New Roman" w:cs="Times New Roman"/>
          <w:b/>
          <w:bCs/>
        </w:rPr>
        <w:t>Promote Competitiveness in International Standards</w:t>
      </w:r>
      <w:r w:rsidRPr="00A23EB0">
        <w:rPr>
          <w:rFonts w:ascii="Times New Roman" w:eastAsia="Times New Roman" w:hAnsi="Times New Roman" w:cs="Times New Roman"/>
        </w:rPr>
        <w:t>. Expands interagency coordination and information exchange activities to support private sector engagement and ensure effective Federal engagement in the development and use of international standards.</w:t>
      </w:r>
    </w:p>
    <w:p w14:paraId="52465269" w14:textId="77777777" w:rsidR="6DA8883B" w:rsidRPr="003D651D" w:rsidRDefault="6DA8883B" w:rsidP="003D651D">
      <w:pPr>
        <w:pStyle w:val="ListParagraph"/>
        <w:ind w:left="1440"/>
      </w:pPr>
    </w:p>
    <w:p w14:paraId="2FD93A07" w14:textId="5079BCFB" w:rsidR="003D651D" w:rsidRPr="00E00270" w:rsidRDefault="003D651D" w:rsidP="003D651D">
      <w:pPr>
        <w:pStyle w:val="ListParagraph"/>
        <w:numPr>
          <w:ilvl w:val="0"/>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rPr>
        <w:t>National Aeronautics and Space Administration Authorization</w:t>
      </w:r>
      <w:r w:rsidRPr="00E00270">
        <w:rPr>
          <w:rFonts w:ascii="Times New Roman" w:eastAsia="Times New Roman" w:hAnsi="Times New Roman" w:cs="Times New Roman"/>
        </w:rPr>
        <w:t xml:space="preserve"> </w:t>
      </w:r>
      <w:r w:rsidR="00A23EB0">
        <w:rPr>
          <w:rFonts w:ascii="Times New Roman" w:eastAsia="Times New Roman" w:hAnsi="Times New Roman" w:cs="Times New Roman"/>
        </w:rPr>
        <w:t>(no authorization funding levels)</w:t>
      </w:r>
    </w:p>
    <w:p w14:paraId="3B93F11D" w14:textId="073FDA2B" w:rsidR="003D651D" w:rsidRPr="00E00270" w:rsidRDefault="003D651D" w:rsidP="003D651D">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rPr>
        <w:t xml:space="preserve">Authorize the Artemis Moon Program. </w:t>
      </w:r>
      <w:r w:rsidRPr="00E00270">
        <w:rPr>
          <w:rFonts w:ascii="Times New Roman" w:eastAsia="Times New Roman" w:hAnsi="Times New Roman" w:cs="Times New Roman"/>
        </w:rPr>
        <w:t xml:space="preserve">Authorizes the Moon-to-Mars Exploration Campaign, </w:t>
      </w:r>
      <w:r>
        <w:rPr>
          <w:rFonts w:ascii="Times New Roman" w:eastAsia="Times New Roman" w:hAnsi="Times New Roman" w:cs="Times New Roman"/>
        </w:rPr>
        <w:t xml:space="preserve">including the Artemis program to </w:t>
      </w:r>
      <w:r w:rsidRPr="00E00270">
        <w:rPr>
          <w:rFonts w:ascii="Times New Roman" w:eastAsia="Times New Roman" w:hAnsi="Times New Roman" w:cs="Times New Roman"/>
        </w:rPr>
        <w:t xml:space="preserve">return America to the Moon, including the first woman and person of color. </w:t>
      </w:r>
    </w:p>
    <w:p w14:paraId="3595C5D2" w14:textId="362A0510" w:rsidR="003D651D" w:rsidRPr="00E00270" w:rsidRDefault="003D651D" w:rsidP="003D651D">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rPr>
        <w:t xml:space="preserve">Maintain the International Space Station. </w:t>
      </w:r>
      <w:r w:rsidRPr="00E00270">
        <w:rPr>
          <w:rFonts w:ascii="Times New Roman" w:eastAsia="Times New Roman" w:hAnsi="Times New Roman" w:cs="Times New Roman"/>
        </w:rPr>
        <w:t>Extends authorization for the International Space Station through 2030 and establishes priorities for research</w:t>
      </w:r>
      <w:r>
        <w:rPr>
          <w:rFonts w:ascii="Times New Roman" w:eastAsia="Times New Roman" w:hAnsi="Times New Roman" w:cs="Times New Roman"/>
        </w:rPr>
        <w:t>, as required to bring Americans to Mars.</w:t>
      </w:r>
    </w:p>
    <w:p w14:paraId="265AC563" w14:textId="444539A9" w:rsidR="003D651D" w:rsidRDefault="003D651D" w:rsidP="003D651D">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rPr>
        <w:t>Extend NASA Enhanced Use Lease Authority.</w:t>
      </w:r>
      <w:r w:rsidRPr="00E00270">
        <w:rPr>
          <w:rFonts w:ascii="Times New Roman" w:eastAsia="Times New Roman" w:hAnsi="Times New Roman" w:cs="Times New Roman"/>
        </w:rPr>
        <w:t xml:space="preserve"> </w:t>
      </w:r>
      <w:r>
        <w:rPr>
          <w:rFonts w:ascii="Times New Roman" w:eastAsia="Times New Roman" w:hAnsi="Times New Roman" w:cs="Times New Roman"/>
        </w:rPr>
        <w:t xml:space="preserve">Enables NASA to </w:t>
      </w:r>
      <w:r w:rsidRPr="003D651D">
        <w:rPr>
          <w:rFonts w:ascii="Times New Roman" w:eastAsia="Times New Roman" w:hAnsi="Times New Roman" w:cs="Times New Roman"/>
        </w:rPr>
        <w:t>lease underutilized properties</w:t>
      </w:r>
      <w:r>
        <w:rPr>
          <w:rFonts w:ascii="Times New Roman" w:eastAsia="Times New Roman" w:hAnsi="Times New Roman" w:cs="Times New Roman"/>
        </w:rPr>
        <w:t xml:space="preserve"> through 2032, and to use </w:t>
      </w:r>
      <w:r w:rsidRPr="003D651D">
        <w:rPr>
          <w:rFonts w:ascii="Times New Roman" w:eastAsia="Times New Roman" w:hAnsi="Times New Roman" w:cs="Times New Roman"/>
        </w:rPr>
        <w:t>lease revenues to address facility maintenance</w:t>
      </w:r>
      <w:r>
        <w:rPr>
          <w:rFonts w:ascii="Times New Roman" w:eastAsia="Times New Roman" w:hAnsi="Times New Roman" w:cs="Times New Roman"/>
        </w:rPr>
        <w:t xml:space="preserve"> </w:t>
      </w:r>
      <w:r w:rsidRPr="003D651D">
        <w:rPr>
          <w:rFonts w:ascii="Times New Roman" w:eastAsia="Times New Roman" w:hAnsi="Times New Roman" w:cs="Times New Roman"/>
        </w:rPr>
        <w:t xml:space="preserve">while reducing </w:t>
      </w:r>
      <w:r>
        <w:rPr>
          <w:rFonts w:ascii="Times New Roman" w:eastAsia="Times New Roman" w:hAnsi="Times New Roman" w:cs="Times New Roman"/>
        </w:rPr>
        <w:t xml:space="preserve">taxpayer </w:t>
      </w:r>
      <w:r w:rsidRPr="003D651D">
        <w:rPr>
          <w:rFonts w:ascii="Times New Roman" w:eastAsia="Times New Roman" w:hAnsi="Times New Roman" w:cs="Times New Roman"/>
        </w:rPr>
        <w:t>costs.</w:t>
      </w:r>
    </w:p>
    <w:p w14:paraId="2AF941D9" w14:textId="5F4A5828" w:rsidR="003D651D" w:rsidRPr="00E00270" w:rsidRDefault="003D651D" w:rsidP="003D651D">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rPr>
        <w:t>Support NASA Science Priorities.</w:t>
      </w:r>
      <w:r w:rsidRPr="00E00270">
        <w:rPr>
          <w:rFonts w:ascii="Times New Roman" w:eastAsia="Times New Roman" w:hAnsi="Times New Roman" w:cs="Times New Roman"/>
        </w:rPr>
        <w:t xml:space="preserve"> Expresses support for a balanced science portfolio, including Earth science observation</w:t>
      </w:r>
      <w:r>
        <w:rPr>
          <w:rFonts w:ascii="Times New Roman" w:eastAsia="Times New Roman" w:hAnsi="Times New Roman" w:cs="Times New Roman"/>
        </w:rPr>
        <w:t xml:space="preserve">s and the </w:t>
      </w:r>
      <w:r w:rsidRPr="00E00270">
        <w:rPr>
          <w:rFonts w:ascii="Times New Roman" w:eastAsia="Times New Roman" w:hAnsi="Times New Roman" w:cs="Times New Roman"/>
        </w:rPr>
        <w:t>search for life beyond Earth. Supports continued development of the Nancy Grace Roman Space Telescope and requires quarterly progress reports to Congress.</w:t>
      </w:r>
    </w:p>
    <w:p w14:paraId="375FE9EA" w14:textId="11BA1CE5" w:rsidR="003D651D" w:rsidRPr="00E00270" w:rsidRDefault="003D651D" w:rsidP="003D651D">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rPr>
        <w:t>Advance U.S. Aeronautics Leadership</w:t>
      </w:r>
      <w:r w:rsidRPr="00E00270">
        <w:rPr>
          <w:rFonts w:ascii="Times New Roman" w:eastAsia="Times New Roman" w:hAnsi="Times New Roman" w:cs="Times New Roman"/>
        </w:rPr>
        <w:t>. Requires NASA to continue research efforts in aeronautics, including with the use of experimental aircraft, to advance supersonic flight, aircraft efficiency, and advanced materials</w:t>
      </w:r>
      <w:r>
        <w:rPr>
          <w:rFonts w:ascii="Times New Roman" w:eastAsia="Times New Roman" w:hAnsi="Times New Roman" w:cs="Times New Roman"/>
        </w:rPr>
        <w:t xml:space="preserve"> manufacturing</w:t>
      </w:r>
      <w:r w:rsidRPr="00E00270">
        <w:rPr>
          <w:rFonts w:ascii="Times New Roman" w:eastAsia="Times New Roman" w:hAnsi="Times New Roman" w:cs="Times New Roman"/>
        </w:rPr>
        <w:t xml:space="preserve">. </w:t>
      </w:r>
    </w:p>
    <w:p w14:paraId="3497D33B" w14:textId="3AF081F6" w:rsidR="003D651D" w:rsidRPr="00E00270" w:rsidRDefault="003D651D" w:rsidP="003D651D">
      <w:pPr>
        <w:pStyle w:val="ListParagraph"/>
        <w:numPr>
          <w:ilvl w:val="1"/>
          <w:numId w:val="6"/>
        </w:numPr>
        <w:spacing w:line="257" w:lineRule="auto"/>
        <w:rPr>
          <w:rFonts w:ascii="Times New Roman" w:eastAsia="Times New Roman" w:hAnsi="Times New Roman" w:cs="Times New Roman"/>
        </w:rPr>
      </w:pPr>
      <w:r w:rsidRPr="003D651D">
        <w:rPr>
          <w:rFonts w:ascii="Times New Roman" w:eastAsia="Times New Roman" w:hAnsi="Times New Roman" w:cs="Times New Roman"/>
          <w:b/>
        </w:rPr>
        <w:t xml:space="preserve">Enhance NASA Technology, Infrastructure, and Workforce. </w:t>
      </w:r>
      <w:r w:rsidRPr="003D651D">
        <w:rPr>
          <w:rFonts w:ascii="Times New Roman" w:eastAsia="Times New Roman" w:hAnsi="Times New Roman" w:cs="Times New Roman"/>
        </w:rPr>
        <w:t>Directs NASA to invest in testing infrastructure and capabilities, supports space nuclear power and propulsion research and technology maturation activities</w:t>
      </w:r>
      <w:r w:rsidRPr="003D651D">
        <w:rPr>
          <w:rFonts w:ascii="Times New Roman" w:eastAsia="Times New Roman" w:hAnsi="Times New Roman" w:cs="Times New Roman"/>
        </w:rPr>
        <w:t xml:space="preserve"> (</w:t>
      </w:r>
      <w:r w:rsidRPr="003D651D">
        <w:rPr>
          <w:rFonts w:ascii="Times New Roman" w:eastAsia="Times New Roman" w:hAnsi="Times New Roman" w:cs="Times New Roman"/>
        </w:rPr>
        <w:t>with an in-space demonstration of a nuclear propulsion systems</w:t>
      </w:r>
      <w:r w:rsidRPr="003D651D">
        <w:rPr>
          <w:rFonts w:ascii="Times New Roman" w:eastAsia="Times New Roman" w:hAnsi="Times New Roman" w:cs="Times New Roman"/>
        </w:rPr>
        <w:t xml:space="preserve">) </w:t>
      </w:r>
      <w:r w:rsidRPr="003D651D">
        <w:rPr>
          <w:rFonts w:ascii="Times New Roman" w:eastAsia="Times New Roman" w:hAnsi="Times New Roman" w:cs="Times New Roman"/>
        </w:rPr>
        <w:t>and requires a study and planning on the industrial base and NASA workforce.</w:t>
      </w:r>
      <w:r w:rsidRPr="003D651D">
        <w:rPr>
          <w:rFonts w:ascii="Times New Roman" w:eastAsia="Times New Roman" w:hAnsi="Times New Roman" w:cs="Times New Roman"/>
        </w:rPr>
        <w:t xml:space="preserve"> </w:t>
      </w:r>
      <w:r w:rsidRPr="00E00270">
        <w:rPr>
          <w:rFonts w:ascii="Times New Roman" w:eastAsia="Times New Roman" w:hAnsi="Times New Roman" w:cs="Times New Roman"/>
        </w:rPr>
        <w:t>Codifies the Office of STEM Engagement to promote STEM literacy and workforce</w:t>
      </w:r>
      <w:r>
        <w:rPr>
          <w:rFonts w:ascii="Times New Roman" w:eastAsia="Times New Roman" w:hAnsi="Times New Roman" w:cs="Times New Roman"/>
        </w:rPr>
        <w:t xml:space="preserve"> development</w:t>
      </w:r>
      <w:r w:rsidRPr="00E00270">
        <w:rPr>
          <w:rFonts w:ascii="Times New Roman" w:eastAsia="Times New Roman" w:hAnsi="Times New Roman" w:cs="Times New Roman"/>
        </w:rPr>
        <w:t>.</w:t>
      </w:r>
    </w:p>
    <w:p w14:paraId="37231AD6" w14:textId="49D8E8BE" w:rsidR="003D651D" w:rsidRPr="003D651D" w:rsidRDefault="003D651D" w:rsidP="003D651D">
      <w:pPr>
        <w:pStyle w:val="ListParagraph"/>
        <w:numPr>
          <w:ilvl w:val="1"/>
          <w:numId w:val="6"/>
        </w:numPr>
        <w:spacing w:line="257" w:lineRule="auto"/>
        <w:rPr>
          <w:rFonts w:ascii="Times New Roman" w:eastAsia="Times New Roman" w:hAnsi="Times New Roman" w:cs="Times New Roman"/>
        </w:rPr>
      </w:pPr>
      <w:r>
        <w:rPr>
          <w:rFonts w:ascii="Times New Roman" w:eastAsia="Times New Roman" w:hAnsi="Times New Roman" w:cs="Times New Roman"/>
          <w:b/>
        </w:rPr>
        <w:t>Ensure</w:t>
      </w:r>
      <w:r w:rsidRPr="003D651D">
        <w:rPr>
          <w:rFonts w:ascii="Times New Roman" w:eastAsia="Times New Roman" w:hAnsi="Times New Roman" w:cs="Times New Roman"/>
          <w:b/>
        </w:rPr>
        <w:t xml:space="preserve"> Planetary Defense. </w:t>
      </w:r>
      <w:r w:rsidRPr="003D651D">
        <w:rPr>
          <w:rFonts w:ascii="Times New Roman" w:eastAsia="Times New Roman" w:hAnsi="Times New Roman" w:cs="Times New Roman"/>
        </w:rPr>
        <w:t>Codifies the Planetary Defense Coordination Office and requires NASA to continue efforts to protect Earth from asteroids and comets, including a dedicated Near-Earth Object Surveyor telescope.</w:t>
      </w:r>
    </w:p>
    <w:p w14:paraId="5FFF3DE9" w14:textId="53177E31" w:rsidR="00A23EB0" w:rsidRDefault="00A23EB0">
      <w:r>
        <w:br w:type="page"/>
      </w:r>
    </w:p>
    <w:p w14:paraId="4750F491" w14:textId="77777777" w:rsidR="003D651D" w:rsidRPr="00E00270" w:rsidRDefault="003D651D" w:rsidP="003D651D"/>
    <w:p w14:paraId="46F1D1AB" w14:textId="2165B025" w:rsidR="6DA8883B" w:rsidRPr="00E00270" w:rsidRDefault="6DA8883B" w:rsidP="6DA8883B">
      <w:pPr>
        <w:pStyle w:val="ListParagraph"/>
        <w:numPr>
          <w:ilvl w:val="0"/>
          <w:numId w:val="6"/>
        </w:numPr>
        <w:rPr>
          <w:rFonts w:eastAsiaTheme="minorEastAsia"/>
        </w:rPr>
      </w:pPr>
      <w:r w:rsidRPr="00E00270">
        <w:rPr>
          <w:rFonts w:ascii="Times New Roman" w:hAnsi="Times New Roman" w:cs="Times New Roman"/>
          <w:b/>
          <w:bCs/>
        </w:rPr>
        <w:t>Research Security to Protect Federal Investments in the U.S. R&amp;D Enterprise</w:t>
      </w:r>
    </w:p>
    <w:p w14:paraId="499B2906" w14:textId="7C5B3216" w:rsidR="6DA8883B" w:rsidRPr="00E00270" w:rsidRDefault="6DA8883B" w:rsidP="6DA8883B">
      <w:pPr>
        <w:pStyle w:val="ListParagraph"/>
        <w:numPr>
          <w:ilvl w:val="1"/>
          <w:numId w:val="6"/>
        </w:numPr>
        <w:rPr>
          <w:rFonts w:ascii="Times New Roman" w:eastAsia="Times New Roman" w:hAnsi="Times New Roman" w:cs="Times New Roman"/>
          <w:b/>
          <w:bCs/>
        </w:rPr>
      </w:pPr>
      <w:r w:rsidRPr="00E00270">
        <w:rPr>
          <w:rFonts w:ascii="Times New Roman" w:eastAsia="Times New Roman" w:hAnsi="Times New Roman" w:cs="Times New Roman"/>
          <w:b/>
          <w:bCs/>
        </w:rPr>
        <w:t>Empower NSF Research Security</w:t>
      </w:r>
      <w:r w:rsidRPr="00E00270">
        <w:rPr>
          <w:rFonts w:ascii="Times New Roman" w:eastAsia="Times New Roman" w:hAnsi="Times New Roman" w:cs="Times New Roman"/>
        </w:rPr>
        <w:t xml:space="preserve">. Requires the NSF to maintain a Research Security and Policy Office to identify potential security risks, conduct outreach and education to the research community, establish procedures and policies on research security for the Foundation, and conduct risk assessments of applications and disclosures. </w:t>
      </w:r>
    </w:p>
    <w:p w14:paraId="148ADC77" w14:textId="04767E88" w:rsidR="6DA8883B" w:rsidRPr="00E00270" w:rsidRDefault="6DA8883B" w:rsidP="6DA8883B">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bCs/>
        </w:rPr>
        <w:t xml:space="preserve">Train Researchers on Best Practices. </w:t>
      </w:r>
      <w:r w:rsidRPr="00E00270">
        <w:rPr>
          <w:rFonts w:ascii="Times New Roman" w:eastAsia="Times New Roman" w:hAnsi="Times New Roman" w:cs="Times New Roman"/>
        </w:rPr>
        <w:t xml:space="preserve">Creates an online resource for institutions and researchers to receive NSF guidance and information on security risks and best practices and requires covered individuals seeking funding from Federal research agencies to complete annual training on research security.  Creates a Research Security and Integrity Information Sharing Organization that would serve as a clearinghouse for institutions and researchers to identify improper and illegal efforts to compromise research security.  </w:t>
      </w:r>
    </w:p>
    <w:p w14:paraId="6061EF60" w14:textId="5E214D44" w:rsidR="6DA8883B" w:rsidRPr="00E00270" w:rsidRDefault="6DA8883B" w:rsidP="6DA8883B">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bCs/>
        </w:rPr>
        <w:t xml:space="preserve">Prohibit Foreign Recruitment Programs. </w:t>
      </w:r>
      <w:r w:rsidRPr="00E00270">
        <w:rPr>
          <w:rFonts w:ascii="Times New Roman" w:eastAsia="Times New Roman" w:hAnsi="Times New Roman" w:cs="Times New Roman"/>
        </w:rPr>
        <w:t>Requires the Office of Science and Technology Policy to promulgate guidance to all Federal research agencies that would:</w:t>
      </w:r>
    </w:p>
    <w:p w14:paraId="15DE4BE4" w14:textId="7963B355" w:rsidR="6DA8883B" w:rsidRPr="00E00270" w:rsidRDefault="6DA8883B" w:rsidP="6DA8883B">
      <w:pPr>
        <w:pStyle w:val="ListParagraph"/>
        <w:numPr>
          <w:ilvl w:val="2"/>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rPr>
        <w:t>Prohibit Federal research agency personnel from participating in foreign talent recruitment programs</w:t>
      </w:r>
    </w:p>
    <w:p w14:paraId="26B10BBE" w14:textId="674E016C" w:rsidR="6DA8883B" w:rsidRPr="00E00270" w:rsidRDefault="6DA8883B" w:rsidP="6DA8883B">
      <w:pPr>
        <w:pStyle w:val="ListParagraph"/>
        <w:numPr>
          <w:ilvl w:val="2"/>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rPr>
        <w:t>Required covered individuals on applications (e.g., Principal Investigators) to disclose participation in foreign talent recruitment programs</w:t>
      </w:r>
    </w:p>
    <w:p w14:paraId="71274CA7" w14:textId="53009BFA" w:rsidR="6DA8883B" w:rsidRPr="00E00270" w:rsidRDefault="6DA8883B" w:rsidP="6DA8883B">
      <w:pPr>
        <w:pStyle w:val="ListParagraph"/>
        <w:numPr>
          <w:ilvl w:val="2"/>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rPr>
        <w:t>Prohibit awards in cases where covered individuals are participating in malign foreign talent recruitment programs</w:t>
      </w:r>
    </w:p>
    <w:p w14:paraId="39589730" w14:textId="55233D3A" w:rsidR="6DA8883B" w:rsidRPr="00E00270" w:rsidRDefault="6DA8883B" w:rsidP="6DA8883B">
      <w:pPr>
        <w:pStyle w:val="ListParagraph"/>
        <w:numPr>
          <w:ilvl w:val="1"/>
          <w:numId w:val="6"/>
        </w:numPr>
        <w:spacing w:line="257" w:lineRule="auto"/>
        <w:rPr>
          <w:rFonts w:ascii="Times New Roman" w:eastAsia="Times New Roman" w:hAnsi="Times New Roman" w:cs="Times New Roman"/>
        </w:rPr>
      </w:pPr>
      <w:r w:rsidRPr="00E00270">
        <w:rPr>
          <w:rFonts w:ascii="Times New Roman" w:eastAsia="Times New Roman" w:hAnsi="Times New Roman" w:cs="Times New Roman"/>
          <w:b/>
          <w:bCs/>
        </w:rPr>
        <w:t xml:space="preserve">Ensure Transparency. </w:t>
      </w:r>
      <w:r w:rsidRPr="00E00270">
        <w:rPr>
          <w:rFonts w:ascii="Times New Roman" w:eastAsia="Times New Roman" w:hAnsi="Times New Roman" w:cs="Times New Roman"/>
        </w:rPr>
        <w:t>Requires annual disclosures for NSF award recipients regarding foreign financial arrangements.  Institutions receiving NSF funds would have to disclose financial support for foreign countries of concern (China, Russia, North Korea, Iran) and allows NSF to reduce, suspend, or terminate funding under certain circumstances. Provides Federal research agencies with authority to request contracts and documents related to foreign appointments and employment with foreign entities for applicants</w:t>
      </w:r>
      <w:r w:rsidR="003D651D">
        <w:rPr>
          <w:rFonts w:ascii="Times New Roman" w:eastAsia="Times New Roman" w:hAnsi="Times New Roman" w:cs="Times New Roman"/>
        </w:rPr>
        <w:t>.</w:t>
      </w:r>
    </w:p>
    <w:p w14:paraId="35D82CFF" w14:textId="77777777" w:rsidR="00173817" w:rsidRPr="00E00270" w:rsidRDefault="00173817" w:rsidP="00173817">
      <w:pPr>
        <w:pStyle w:val="ListParagraph"/>
        <w:spacing w:line="257" w:lineRule="auto"/>
        <w:rPr>
          <w:rFonts w:ascii="Times New Roman" w:eastAsia="Times New Roman" w:hAnsi="Times New Roman" w:cs="Times New Roman"/>
        </w:rPr>
      </w:pPr>
    </w:p>
    <w:p w14:paraId="2AAA6C42" w14:textId="6C413443" w:rsidR="6DA8883B" w:rsidRPr="00E00270" w:rsidRDefault="6DA8883B" w:rsidP="6DA8883B">
      <w:pPr>
        <w:spacing w:line="257" w:lineRule="auto"/>
        <w:ind w:left="720"/>
        <w:rPr>
          <w:rFonts w:ascii="Times New Roman" w:eastAsia="Times New Roman" w:hAnsi="Times New Roman" w:cs="Times New Roman"/>
        </w:rPr>
      </w:pPr>
      <w:bookmarkStart w:id="0" w:name="_GoBack"/>
      <w:bookmarkEnd w:id="0"/>
    </w:p>
    <w:sectPr w:rsidR="6DA8883B" w:rsidRPr="00E00270" w:rsidSect="002019F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E5E7" w14:textId="77777777" w:rsidR="00A23EB0" w:rsidRDefault="00A23EB0" w:rsidP="00A23EB0">
      <w:pPr>
        <w:spacing w:after="0" w:line="240" w:lineRule="auto"/>
      </w:pPr>
      <w:r>
        <w:separator/>
      </w:r>
    </w:p>
  </w:endnote>
  <w:endnote w:type="continuationSeparator" w:id="0">
    <w:p w14:paraId="5ECFAB43" w14:textId="77777777" w:rsidR="00A23EB0" w:rsidRDefault="00A23EB0" w:rsidP="00A2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101267"/>
      <w:docPartObj>
        <w:docPartGallery w:val="Page Numbers (Bottom of Page)"/>
        <w:docPartUnique/>
      </w:docPartObj>
    </w:sdtPr>
    <w:sdtEndPr>
      <w:rPr>
        <w:noProof/>
      </w:rPr>
    </w:sdtEndPr>
    <w:sdtContent>
      <w:p w14:paraId="469E8FCA" w14:textId="12C14E03" w:rsidR="00A23EB0" w:rsidRDefault="00A23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6C67B9" w14:textId="77777777" w:rsidR="00A23EB0" w:rsidRDefault="00A2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DEA62" w14:textId="77777777" w:rsidR="00A23EB0" w:rsidRDefault="00A23EB0" w:rsidP="00A23EB0">
      <w:pPr>
        <w:spacing w:after="0" w:line="240" w:lineRule="auto"/>
      </w:pPr>
      <w:r>
        <w:separator/>
      </w:r>
    </w:p>
  </w:footnote>
  <w:footnote w:type="continuationSeparator" w:id="0">
    <w:p w14:paraId="159726EE" w14:textId="77777777" w:rsidR="00A23EB0" w:rsidRDefault="00A23EB0" w:rsidP="00A23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F3B"/>
    <w:multiLevelType w:val="hybridMultilevel"/>
    <w:tmpl w:val="C36E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C22C1"/>
    <w:multiLevelType w:val="hybridMultilevel"/>
    <w:tmpl w:val="0CB61F94"/>
    <w:lvl w:ilvl="0" w:tplc="C7F0E1F8">
      <w:start w:val="1"/>
      <w:numFmt w:val="bullet"/>
      <w:lvlText w:val="·"/>
      <w:lvlJc w:val="left"/>
      <w:pPr>
        <w:ind w:left="720" w:hanging="360"/>
      </w:pPr>
      <w:rPr>
        <w:rFonts w:ascii="Symbol" w:hAnsi="Symbol" w:hint="default"/>
      </w:rPr>
    </w:lvl>
    <w:lvl w:ilvl="1" w:tplc="8E248074">
      <w:start w:val="1"/>
      <w:numFmt w:val="bullet"/>
      <w:lvlText w:val="o"/>
      <w:lvlJc w:val="left"/>
      <w:pPr>
        <w:ind w:left="1440" w:hanging="360"/>
      </w:pPr>
      <w:rPr>
        <w:rFonts w:ascii="&quot;Courier New&quot;" w:hAnsi="&quot;Courier New&quot;" w:hint="default"/>
      </w:rPr>
    </w:lvl>
    <w:lvl w:ilvl="2" w:tplc="776E2A36">
      <w:start w:val="1"/>
      <w:numFmt w:val="bullet"/>
      <w:lvlText w:val=""/>
      <w:lvlJc w:val="left"/>
      <w:pPr>
        <w:ind w:left="2160" w:hanging="360"/>
      </w:pPr>
      <w:rPr>
        <w:rFonts w:ascii="Wingdings" w:hAnsi="Wingdings" w:hint="default"/>
      </w:rPr>
    </w:lvl>
    <w:lvl w:ilvl="3" w:tplc="A970D0A2">
      <w:start w:val="1"/>
      <w:numFmt w:val="bullet"/>
      <w:lvlText w:val=""/>
      <w:lvlJc w:val="left"/>
      <w:pPr>
        <w:ind w:left="2880" w:hanging="360"/>
      </w:pPr>
      <w:rPr>
        <w:rFonts w:ascii="Symbol" w:hAnsi="Symbol" w:hint="default"/>
      </w:rPr>
    </w:lvl>
    <w:lvl w:ilvl="4" w:tplc="84D67CFE">
      <w:start w:val="1"/>
      <w:numFmt w:val="bullet"/>
      <w:lvlText w:val="o"/>
      <w:lvlJc w:val="left"/>
      <w:pPr>
        <w:ind w:left="3600" w:hanging="360"/>
      </w:pPr>
      <w:rPr>
        <w:rFonts w:ascii="Courier New" w:hAnsi="Courier New" w:hint="default"/>
      </w:rPr>
    </w:lvl>
    <w:lvl w:ilvl="5" w:tplc="956E3536">
      <w:start w:val="1"/>
      <w:numFmt w:val="bullet"/>
      <w:lvlText w:val=""/>
      <w:lvlJc w:val="left"/>
      <w:pPr>
        <w:ind w:left="4320" w:hanging="360"/>
      </w:pPr>
      <w:rPr>
        <w:rFonts w:ascii="Wingdings" w:hAnsi="Wingdings" w:hint="default"/>
      </w:rPr>
    </w:lvl>
    <w:lvl w:ilvl="6" w:tplc="E03268B6">
      <w:start w:val="1"/>
      <w:numFmt w:val="bullet"/>
      <w:lvlText w:val=""/>
      <w:lvlJc w:val="left"/>
      <w:pPr>
        <w:ind w:left="5040" w:hanging="360"/>
      </w:pPr>
      <w:rPr>
        <w:rFonts w:ascii="Symbol" w:hAnsi="Symbol" w:hint="default"/>
      </w:rPr>
    </w:lvl>
    <w:lvl w:ilvl="7" w:tplc="8BCA6B3C">
      <w:start w:val="1"/>
      <w:numFmt w:val="bullet"/>
      <w:lvlText w:val="o"/>
      <w:lvlJc w:val="left"/>
      <w:pPr>
        <w:ind w:left="5760" w:hanging="360"/>
      </w:pPr>
      <w:rPr>
        <w:rFonts w:ascii="Courier New" w:hAnsi="Courier New" w:hint="default"/>
      </w:rPr>
    </w:lvl>
    <w:lvl w:ilvl="8" w:tplc="37FAFB7C">
      <w:start w:val="1"/>
      <w:numFmt w:val="bullet"/>
      <w:lvlText w:val=""/>
      <w:lvlJc w:val="left"/>
      <w:pPr>
        <w:ind w:left="6480" w:hanging="360"/>
      </w:pPr>
      <w:rPr>
        <w:rFonts w:ascii="Wingdings" w:hAnsi="Wingdings" w:hint="default"/>
      </w:rPr>
    </w:lvl>
  </w:abstractNum>
  <w:abstractNum w:abstractNumId="2" w15:restartNumberingAfterBreak="0">
    <w:nsid w:val="298A5435"/>
    <w:multiLevelType w:val="hybridMultilevel"/>
    <w:tmpl w:val="9F02A06C"/>
    <w:lvl w:ilvl="0" w:tplc="FDE6F73C">
      <w:start w:val="1"/>
      <w:numFmt w:val="decimal"/>
      <w:lvlText w:val="%1."/>
      <w:lvlJc w:val="left"/>
      <w:pPr>
        <w:ind w:left="720" w:hanging="360"/>
      </w:pPr>
    </w:lvl>
    <w:lvl w:ilvl="1" w:tplc="626419FC">
      <w:start w:val="1"/>
      <w:numFmt w:val="lowerLetter"/>
      <w:lvlText w:val="%2."/>
      <w:lvlJc w:val="left"/>
      <w:pPr>
        <w:ind w:left="1440" w:hanging="360"/>
      </w:pPr>
    </w:lvl>
    <w:lvl w:ilvl="2" w:tplc="46A0F64C">
      <w:start w:val="1"/>
      <w:numFmt w:val="lowerRoman"/>
      <w:lvlText w:val="%3."/>
      <w:lvlJc w:val="right"/>
      <w:pPr>
        <w:ind w:left="2160" w:hanging="180"/>
      </w:pPr>
    </w:lvl>
    <w:lvl w:ilvl="3" w:tplc="579EBCA6">
      <w:start w:val="1"/>
      <w:numFmt w:val="decimal"/>
      <w:lvlText w:val="%4."/>
      <w:lvlJc w:val="left"/>
      <w:pPr>
        <w:ind w:left="2880" w:hanging="360"/>
      </w:pPr>
    </w:lvl>
    <w:lvl w:ilvl="4" w:tplc="B0CAE2E8">
      <w:start w:val="1"/>
      <w:numFmt w:val="lowerLetter"/>
      <w:lvlText w:val="%5."/>
      <w:lvlJc w:val="left"/>
      <w:pPr>
        <w:ind w:left="3600" w:hanging="360"/>
      </w:pPr>
    </w:lvl>
    <w:lvl w:ilvl="5" w:tplc="9238EEAC">
      <w:start w:val="1"/>
      <w:numFmt w:val="lowerRoman"/>
      <w:lvlText w:val="%6."/>
      <w:lvlJc w:val="right"/>
      <w:pPr>
        <w:ind w:left="4320" w:hanging="180"/>
      </w:pPr>
    </w:lvl>
    <w:lvl w:ilvl="6" w:tplc="F5E039DA">
      <w:start w:val="1"/>
      <w:numFmt w:val="decimal"/>
      <w:lvlText w:val="%7."/>
      <w:lvlJc w:val="left"/>
      <w:pPr>
        <w:ind w:left="5040" w:hanging="360"/>
      </w:pPr>
    </w:lvl>
    <w:lvl w:ilvl="7" w:tplc="D67AB16E">
      <w:start w:val="1"/>
      <w:numFmt w:val="lowerLetter"/>
      <w:lvlText w:val="%8."/>
      <w:lvlJc w:val="left"/>
      <w:pPr>
        <w:ind w:left="5760" w:hanging="360"/>
      </w:pPr>
    </w:lvl>
    <w:lvl w:ilvl="8" w:tplc="6CB26E92">
      <w:start w:val="1"/>
      <w:numFmt w:val="lowerRoman"/>
      <w:lvlText w:val="%9."/>
      <w:lvlJc w:val="right"/>
      <w:pPr>
        <w:ind w:left="6480" w:hanging="180"/>
      </w:pPr>
    </w:lvl>
  </w:abstractNum>
  <w:abstractNum w:abstractNumId="3" w15:restartNumberingAfterBreak="0">
    <w:nsid w:val="2A1059D5"/>
    <w:multiLevelType w:val="hybridMultilevel"/>
    <w:tmpl w:val="FEA81DC2"/>
    <w:lvl w:ilvl="0" w:tplc="FF04C3BA">
      <w:start w:val="1"/>
      <w:numFmt w:val="decimal"/>
      <w:lvlText w:val="%1."/>
      <w:lvlJc w:val="left"/>
      <w:pPr>
        <w:ind w:left="720" w:hanging="360"/>
      </w:pPr>
    </w:lvl>
    <w:lvl w:ilvl="1" w:tplc="57EC672C">
      <w:start w:val="1"/>
      <w:numFmt w:val="lowerLetter"/>
      <w:lvlText w:val="%2."/>
      <w:lvlJc w:val="left"/>
      <w:pPr>
        <w:ind w:left="1440" w:hanging="360"/>
      </w:pPr>
    </w:lvl>
    <w:lvl w:ilvl="2" w:tplc="A316153C">
      <w:start w:val="1"/>
      <w:numFmt w:val="lowerRoman"/>
      <w:lvlText w:val="%3."/>
      <w:lvlJc w:val="right"/>
      <w:pPr>
        <w:ind w:left="2160" w:hanging="180"/>
      </w:pPr>
    </w:lvl>
    <w:lvl w:ilvl="3" w:tplc="FA261AA6">
      <w:start w:val="1"/>
      <w:numFmt w:val="decimal"/>
      <w:lvlText w:val="%4."/>
      <w:lvlJc w:val="left"/>
      <w:pPr>
        <w:ind w:left="2880" w:hanging="360"/>
      </w:pPr>
    </w:lvl>
    <w:lvl w:ilvl="4" w:tplc="CCBE4DA0">
      <w:start w:val="1"/>
      <w:numFmt w:val="lowerLetter"/>
      <w:lvlText w:val="%5."/>
      <w:lvlJc w:val="left"/>
      <w:pPr>
        <w:ind w:left="3600" w:hanging="360"/>
      </w:pPr>
    </w:lvl>
    <w:lvl w:ilvl="5" w:tplc="6DF8529E">
      <w:start w:val="1"/>
      <w:numFmt w:val="lowerRoman"/>
      <w:lvlText w:val="%6."/>
      <w:lvlJc w:val="right"/>
      <w:pPr>
        <w:ind w:left="4320" w:hanging="180"/>
      </w:pPr>
    </w:lvl>
    <w:lvl w:ilvl="6" w:tplc="EC482288">
      <w:start w:val="1"/>
      <w:numFmt w:val="decimal"/>
      <w:lvlText w:val="%7."/>
      <w:lvlJc w:val="left"/>
      <w:pPr>
        <w:ind w:left="5040" w:hanging="360"/>
      </w:pPr>
    </w:lvl>
    <w:lvl w:ilvl="7" w:tplc="01E899BA">
      <w:start w:val="1"/>
      <w:numFmt w:val="lowerLetter"/>
      <w:lvlText w:val="%8."/>
      <w:lvlJc w:val="left"/>
      <w:pPr>
        <w:ind w:left="5760" w:hanging="360"/>
      </w:pPr>
    </w:lvl>
    <w:lvl w:ilvl="8" w:tplc="E4AE7F8E">
      <w:start w:val="1"/>
      <w:numFmt w:val="lowerRoman"/>
      <w:lvlText w:val="%9."/>
      <w:lvlJc w:val="right"/>
      <w:pPr>
        <w:ind w:left="6480" w:hanging="180"/>
      </w:pPr>
    </w:lvl>
  </w:abstractNum>
  <w:abstractNum w:abstractNumId="4" w15:restartNumberingAfterBreak="0">
    <w:nsid w:val="54946CE7"/>
    <w:multiLevelType w:val="hybridMultilevel"/>
    <w:tmpl w:val="2C14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33DED"/>
    <w:multiLevelType w:val="hybridMultilevel"/>
    <w:tmpl w:val="DC4A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D0CEF"/>
    <w:multiLevelType w:val="hybridMultilevel"/>
    <w:tmpl w:val="480A2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B15472"/>
    <w:multiLevelType w:val="hybridMultilevel"/>
    <w:tmpl w:val="D8222ABA"/>
    <w:lvl w:ilvl="0" w:tplc="81146B20">
      <w:start w:val="1"/>
      <w:numFmt w:val="decimal"/>
      <w:lvlText w:val="%1."/>
      <w:lvlJc w:val="left"/>
      <w:pPr>
        <w:ind w:left="720" w:hanging="360"/>
      </w:pPr>
    </w:lvl>
    <w:lvl w:ilvl="1" w:tplc="479A3308">
      <w:start w:val="1"/>
      <w:numFmt w:val="lowerLetter"/>
      <w:lvlText w:val="%2."/>
      <w:lvlJc w:val="left"/>
      <w:pPr>
        <w:ind w:left="1440" w:hanging="360"/>
      </w:pPr>
    </w:lvl>
    <w:lvl w:ilvl="2" w:tplc="05A4CB18">
      <w:start w:val="1"/>
      <w:numFmt w:val="lowerRoman"/>
      <w:lvlText w:val="%3."/>
      <w:lvlJc w:val="right"/>
      <w:pPr>
        <w:ind w:left="2160" w:hanging="180"/>
      </w:pPr>
    </w:lvl>
    <w:lvl w:ilvl="3" w:tplc="ED265552">
      <w:start w:val="1"/>
      <w:numFmt w:val="decimal"/>
      <w:lvlText w:val="%4."/>
      <w:lvlJc w:val="left"/>
      <w:pPr>
        <w:ind w:left="2880" w:hanging="360"/>
      </w:pPr>
    </w:lvl>
    <w:lvl w:ilvl="4" w:tplc="AA7286A6">
      <w:start w:val="1"/>
      <w:numFmt w:val="lowerLetter"/>
      <w:lvlText w:val="%5."/>
      <w:lvlJc w:val="left"/>
      <w:pPr>
        <w:ind w:left="3600" w:hanging="360"/>
      </w:pPr>
    </w:lvl>
    <w:lvl w:ilvl="5" w:tplc="1C040BA4">
      <w:start w:val="1"/>
      <w:numFmt w:val="lowerRoman"/>
      <w:lvlText w:val="%6."/>
      <w:lvlJc w:val="right"/>
      <w:pPr>
        <w:ind w:left="4320" w:hanging="180"/>
      </w:pPr>
    </w:lvl>
    <w:lvl w:ilvl="6" w:tplc="D736CF40">
      <w:start w:val="1"/>
      <w:numFmt w:val="decimal"/>
      <w:lvlText w:val="%7."/>
      <w:lvlJc w:val="left"/>
      <w:pPr>
        <w:ind w:left="5040" w:hanging="360"/>
      </w:pPr>
    </w:lvl>
    <w:lvl w:ilvl="7" w:tplc="499E98A8">
      <w:start w:val="1"/>
      <w:numFmt w:val="lowerLetter"/>
      <w:lvlText w:val="%8."/>
      <w:lvlJc w:val="left"/>
      <w:pPr>
        <w:ind w:left="5760" w:hanging="360"/>
      </w:pPr>
    </w:lvl>
    <w:lvl w:ilvl="8" w:tplc="CCA45F94">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D0"/>
    <w:rsid w:val="00173817"/>
    <w:rsid w:val="002019FF"/>
    <w:rsid w:val="002C2C8C"/>
    <w:rsid w:val="003D651D"/>
    <w:rsid w:val="004247F9"/>
    <w:rsid w:val="005E5295"/>
    <w:rsid w:val="006A4A06"/>
    <w:rsid w:val="006C4ECA"/>
    <w:rsid w:val="008A613C"/>
    <w:rsid w:val="0094AD3A"/>
    <w:rsid w:val="00A016D0"/>
    <w:rsid w:val="00A23EB0"/>
    <w:rsid w:val="00A27F99"/>
    <w:rsid w:val="00E00270"/>
    <w:rsid w:val="00E23CBA"/>
    <w:rsid w:val="01D0E75E"/>
    <w:rsid w:val="02061A67"/>
    <w:rsid w:val="03558744"/>
    <w:rsid w:val="036CB7BF"/>
    <w:rsid w:val="04745B6A"/>
    <w:rsid w:val="05088820"/>
    <w:rsid w:val="054EF600"/>
    <w:rsid w:val="068D2806"/>
    <w:rsid w:val="0843B45B"/>
    <w:rsid w:val="08D8F35B"/>
    <w:rsid w:val="0938E2AC"/>
    <w:rsid w:val="094FF681"/>
    <w:rsid w:val="09613158"/>
    <w:rsid w:val="09DF84BC"/>
    <w:rsid w:val="0AAE4150"/>
    <w:rsid w:val="0AFFADB9"/>
    <w:rsid w:val="0B7B551D"/>
    <w:rsid w:val="0BD75FE1"/>
    <w:rsid w:val="0CA772A3"/>
    <w:rsid w:val="0CFC698A"/>
    <w:rsid w:val="0D39A6BF"/>
    <w:rsid w:val="0EEA16EA"/>
    <w:rsid w:val="0F4834DF"/>
    <w:rsid w:val="0FB011B6"/>
    <w:rsid w:val="0FDF1365"/>
    <w:rsid w:val="103BF7D2"/>
    <w:rsid w:val="122D7908"/>
    <w:rsid w:val="12E59DF0"/>
    <w:rsid w:val="12F6D8C7"/>
    <w:rsid w:val="1316B427"/>
    <w:rsid w:val="13C24D0E"/>
    <w:rsid w:val="13D1735D"/>
    <w:rsid w:val="15568AF3"/>
    <w:rsid w:val="161D3EB2"/>
    <w:rsid w:val="16264F95"/>
    <w:rsid w:val="1647A1E6"/>
    <w:rsid w:val="166F052A"/>
    <w:rsid w:val="171A1288"/>
    <w:rsid w:val="18DD829B"/>
    <w:rsid w:val="1BC5CC77"/>
    <w:rsid w:val="1BD45B4E"/>
    <w:rsid w:val="1BDC8542"/>
    <w:rsid w:val="1E582D46"/>
    <w:rsid w:val="1E63EEA2"/>
    <w:rsid w:val="1F04FFB5"/>
    <w:rsid w:val="1F22B006"/>
    <w:rsid w:val="1FA3B43F"/>
    <w:rsid w:val="1FD55BCF"/>
    <w:rsid w:val="2038F33F"/>
    <w:rsid w:val="215FF159"/>
    <w:rsid w:val="21826707"/>
    <w:rsid w:val="226BA226"/>
    <w:rsid w:val="22C89282"/>
    <w:rsid w:val="23D870D8"/>
    <w:rsid w:val="2497921B"/>
    <w:rsid w:val="24A8CCF2"/>
    <w:rsid w:val="25675CDC"/>
    <w:rsid w:val="27B32831"/>
    <w:rsid w:val="2807D0F8"/>
    <w:rsid w:val="289AA724"/>
    <w:rsid w:val="294A9685"/>
    <w:rsid w:val="2A47B25C"/>
    <w:rsid w:val="2A6ABF82"/>
    <w:rsid w:val="2A76B40B"/>
    <w:rsid w:val="2AE666E6"/>
    <w:rsid w:val="2BFA9692"/>
    <w:rsid w:val="2CCD0734"/>
    <w:rsid w:val="2D864F79"/>
    <w:rsid w:val="2D9F77D6"/>
    <w:rsid w:val="2EB346A8"/>
    <w:rsid w:val="2ECE029C"/>
    <w:rsid w:val="2FEB7F99"/>
    <w:rsid w:val="31A19BB4"/>
    <w:rsid w:val="3250AFB9"/>
    <w:rsid w:val="332B0DE1"/>
    <w:rsid w:val="333D6C15"/>
    <w:rsid w:val="33459609"/>
    <w:rsid w:val="347882DC"/>
    <w:rsid w:val="34856739"/>
    <w:rsid w:val="3591615E"/>
    <w:rsid w:val="35998B52"/>
    <w:rsid w:val="3714FA8D"/>
    <w:rsid w:val="37513010"/>
    <w:rsid w:val="3820F4B2"/>
    <w:rsid w:val="38C205C5"/>
    <w:rsid w:val="3A6DEDFC"/>
    <w:rsid w:val="3A88D0D2"/>
    <w:rsid w:val="3BF9A687"/>
    <w:rsid w:val="3C00A2E2"/>
    <w:rsid w:val="3C30301A"/>
    <w:rsid w:val="3CD1F027"/>
    <w:rsid w:val="3DAC8ABD"/>
    <w:rsid w:val="3E770DD9"/>
    <w:rsid w:val="3ED157F8"/>
    <w:rsid w:val="3F0EC608"/>
    <w:rsid w:val="3F2F32C1"/>
    <w:rsid w:val="3F485B1E"/>
    <w:rsid w:val="3FD00766"/>
    <w:rsid w:val="400990E9"/>
    <w:rsid w:val="400BE1DF"/>
    <w:rsid w:val="406D2859"/>
    <w:rsid w:val="40CB0322"/>
    <w:rsid w:val="4173B9BA"/>
    <w:rsid w:val="41A5614A"/>
    <w:rsid w:val="4268E80B"/>
    <w:rsid w:val="42E6398D"/>
    <w:rsid w:val="43E69938"/>
    <w:rsid w:val="4404B86C"/>
    <w:rsid w:val="4454F5E5"/>
    <w:rsid w:val="458F4DF6"/>
    <w:rsid w:val="459E7445"/>
    <w:rsid w:val="45D77802"/>
    <w:rsid w:val="4678D26D"/>
    <w:rsid w:val="4719D7ED"/>
    <w:rsid w:val="4775E2B1"/>
    <w:rsid w:val="4805B8ED"/>
    <w:rsid w:val="49D3A737"/>
    <w:rsid w:val="4A3CB25F"/>
    <w:rsid w:val="4AAD8373"/>
    <w:rsid w:val="4CE0266B"/>
    <w:rsid w:val="4CF16142"/>
    <w:rsid w:val="4DD3E95E"/>
    <w:rsid w:val="4E6D8914"/>
    <w:rsid w:val="4F569162"/>
    <w:rsid w:val="50FA4F49"/>
    <w:rsid w:val="52B89558"/>
    <w:rsid w:val="5431F00B"/>
    <w:rsid w:val="5822D912"/>
    <w:rsid w:val="5823BEAA"/>
    <w:rsid w:val="58F42657"/>
    <w:rsid w:val="59BF9A9E"/>
    <w:rsid w:val="59D0D575"/>
    <w:rsid w:val="59DABA3E"/>
    <w:rsid w:val="5C2BC719"/>
    <w:rsid w:val="5C2E180F"/>
    <w:rsid w:val="5C35146A"/>
    <w:rsid w:val="5D1E4F89"/>
    <w:rsid w:val="5DA72AC1"/>
    <w:rsid w:val="5EAB42F3"/>
    <w:rsid w:val="5ED6A14B"/>
    <w:rsid w:val="5F65B8D1"/>
    <w:rsid w:val="60382973"/>
    <w:rsid w:val="60471354"/>
    <w:rsid w:val="60B2D4B8"/>
    <w:rsid w:val="6108858D"/>
    <w:rsid w:val="61107313"/>
    <w:rsid w:val="61C9BB58"/>
    <w:rsid w:val="61E5CC23"/>
    <w:rsid w:val="643929F4"/>
    <w:rsid w:val="651A8477"/>
    <w:rsid w:val="658645DB"/>
    <w:rsid w:val="66A51A01"/>
    <w:rsid w:val="66AD43F5"/>
    <w:rsid w:val="66C531CF"/>
    <w:rsid w:val="67668C3A"/>
    <w:rsid w:val="6770CAB6"/>
    <w:rsid w:val="677FB497"/>
    <w:rsid w:val="684B28DE"/>
    <w:rsid w:val="68610230"/>
    <w:rsid w:val="691B84F8"/>
    <w:rsid w:val="69BC960B"/>
    <w:rsid w:val="69CBBC5A"/>
    <w:rsid w:val="6AB75559"/>
    <w:rsid w:val="6B89C5FB"/>
    <w:rsid w:val="6BF5875F"/>
    <w:rsid w:val="6C443BD9"/>
    <w:rsid w:val="6C4B3834"/>
    <w:rsid w:val="6D552394"/>
    <w:rsid w:val="6DA8883B"/>
    <w:rsid w:val="6DE00C3A"/>
    <w:rsid w:val="6EA92F8B"/>
    <w:rsid w:val="6EBA6A62"/>
    <w:rsid w:val="6F744A1F"/>
    <w:rsid w:val="6F7BDC9B"/>
    <w:rsid w:val="70553EA4"/>
    <w:rsid w:val="726C5CB6"/>
    <w:rsid w:val="72EFB2E0"/>
    <w:rsid w:val="738DDB85"/>
    <w:rsid w:val="745E379F"/>
    <w:rsid w:val="74666193"/>
    <w:rsid w:val="750B8CB2"/>
    <w:rsid w:val="76136CCB"/>
    <w:rsid w:val="76AC53EA"/>
    <w:rsid w:val="78DBF7ED"/>
    <w:rsid w:val="7911840A"/>
    <w:rsid w:val="7925E766"/>
    <w:rsid w:val="7929BB3C"/>
    <w:rsid w:val="7B96D8E2"/>
    <w:rsid w:val="7BA813B9"/>
    <w:rsid w:val="7BC25F73"/>
    <w:rsid w:val="7C717378"/>
    <w:rsid w:val="7E5F0A51"/>
    <w:rsid w:val="7ECE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45E"/>
  <w15:chartTrackingRefBased/>
  <w15:docId w15:val="{4C6C978A-A38C-4A1C-9C55-ED30C1AE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FF"/>
    <w:pPr>
      <w:ind w:left="720"/>
      <w:contextualSpacing/>
    </w:pPr>
  </w:style>
  <w:style w:type="table" w:styleId="TableGrid">
    <w:name w:val="Table Grid"/>
    <w:basedOn w:val="TableNormal"/>
    <w:uiPriority w:val="39"/>
    <w:rsid w:val="00A2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EB0"/>
  </w:style>
  <w:style w:type="paragraph" w:styleId="Footer">
    <w:name w:val="footer"/>
    <w:basedOn w:val="Normal"/>
    <w:link w:val="FooterChar"/>
    <w:uiPriority w:val="99"/>
    <w:unhideWhenUsed/>
    <w:rsid w:val="00A2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cf2265-0123-4bdd-b005-f29651438544" xsi:nil="true"/>
    <lcf76f155ced4ddcb4097134ff3c332f xmlns="f0197cb2-fa5d-407e-8d9e-ff0c4ef4ac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67B8AF75D78D489A513AB5B80AACBB" ma:contentTypeVersion="12" ma:contentTypeDescription="Create a new document." ma:contentTypeScope="" ma:versionID="e19ef2de951be0ba00c59159ca77d618">
  <xsd:schema xmlns:xsd="http://www.w3.org/2001/XMLSchema" xmlns:xs="http://www.w3.org/2001/XMLSchema" xmlns:p="http://schemas.microsoft.com/office/2006/metadata/properties" xmlns:ns2="f0197cb2-fa5d-407e-8d9e-ff0c4ef4ac2c" xmlns:ns3="60cf2265-0123-4bdd-b005-f29651438544" targetNamespace="http://schemas.microsoft.com/office/2006/metadata/properties" ma:root="true" ma:fieldsID="8dd14c4f222e15685bfdaaa88fdc247c" ns2:_="" ns3:_="">
    <xsd:import namespace="f0197cb2-fa5d-407e-8d9e-ff0c4ef4ac2c"/>
    <xsd:import namespace="60cf2265-0123-4bdd-b005-f29651438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97cb2-fa5d-407e-8d9e-ff0c4ef4a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c7ba20-d28d-4670-8008-cb20b00b1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cf2265-0123-4bdd-b005-f296514385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bdd17-43e8-4237-8f7f-d03b48255ea5}" ma:internalName="TaxCatchAll" ma:showField="CatchAllData" ma:web="60cf2265-0123-4bdd-b005-f2965143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93B65-5D53-4340-B0EC-7F0DBF2B48D5}">
  <ds:schemaRefs>
    <ds:schemaRef ds:uri="http://schemas.microsoft.com/sharepoint/v3/contenttype/forms"/>
  </ds:schemaRefs>
</ds:datastoreItem>
</file>

<file path=customXml/itemProps2.xml><?xml version="1.0" encoding="utf-8"?>
<ds:datastoreItem xmlns:ds="http://schemas.openxmlformats.org/officeDocument/2006/customXml" ds:itemID="{15BEC0FE-179D-4525-B23F-7565EF7736B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0cf2265-0123-4bdd-b005-f29651438544"/>
    <ds:schemaRef ds:uri="f0197cb2-fa5d-407e-8d9e-ff0c4ef4ac2c"/>
    <ds:schemaRef ds:uri="http://www.w3.org/XML/1998/namespace"/>
    <ds:schemaRef ds:uri="http://purl.org/dc/dcmitype/"/>
  </ds:schemaRefs>
</ds:datastoreItem>
</file>

<file path=customXml/itemProps3.xml><?xml version="1.0" encoding="utf-8"?>
<ds:datastoreItem xmlns:ds="http://schemas.openxmlformats.org/officeDocument/2006/customXml" ds:itemID="{4560234B-6088-4B44-9245-87651441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97cb2-fa5d-407e-8d9e-ff0c4ef4ac2c"/>
    <ds:schemaRef ds:uri="60cf2265-0123-4bdd-b005-f2965143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Stohlman, Emma (Commerce)</dc:creator>
  <cp:keywords/>
  <dc:description/>
  <cp:lastModifiedBy>Chambers, Richard-Duane (Commerce)</cp:lastModifiedBy>
  <cp:revision>2</cp:revision>
  <dcterms:created xsi:type="dcterms:W3CDTF">2022-07-19T02:43:00Z</dcterms:created>
  <dcterms:modified xsi:type="dcterms:W3CDTF">2022-07-19T02:43:00Z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0x0101005A67B8AF75D78D489A513AB5B80AACBB</vt:lpwstr>
  </property>
  <property fmtid="{D5CDD505-2E9C-101B-9397-08002B2CF9AE}" pid="3" name="MediaServiceImageTags">
    <vt:lpwstr/>
  </property>
</Properties>
</file>