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docProps/custom.xml" ContentType="application/vnd.openxmlformats-officedocument.custom-properties+xml"/>
  <Override PartName="/word/default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2935"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widowControl w:val="on"/>
        <w:pBdr/>
        <w:spacing w:before="240" w:after="240" w:line="240" w:lineRule="auto"/>
        <w:ind w:left="0" w:right="0"/>
        <w:jc w:val="center"/>
      </w:pPr>
      <w:r>
        <w:rPr>
          <w:rFonts w:ascii="times new roman" w:hAnsi="times new roman" w:eastAsia="times new roman" w:cs="times new roman"/>
          <w:b/>
          <w:bCs/>
          <w:color w:val="000000"/>
          <w:sz w:val="36"/>
          <w:szCs w:val="36"/>
        </w:rPr>
        <w:t xml:space="preserve">ZNALECKÝ POSUDEK</w:t>
      </w:r>
    </w:p>
    <w:p>
      <w:pPr>
        <w:widowControl w:val="on"/>
        <w:pBdr/>
        <w:spacing w:before="240" w:after="240" w:line="240" w:lineRule="auto"/>
        <w:ind w:left="0" w:right="0"/>
        <w:jc w:val="center"/>
      </w:pPr>
      <w:r>
        <w:rPr>
          <w:rFonts w:ascii="times new roman" w:hAnsi="times new roman" w:eastAsia="times new roman" w:cs="times new roman"/>
          <w:b/>
          <w:bCs/>
          <w:color w:val="000000"/>
          <w:sz w:val="24"/>
          <w:szCs w:val="24"/>
        </w:rPr>
        <w:t xml:space="preserve">o ceně nemovitých věcí</w:t>
      </w:r>
    </w:p>
    <w:p>
      <w:pPr>
        <w:widowControl w:val="on"/>
        <w:pBdr/>
        <w:spacing w:before="240" w:after="240" w:line="240" w:lineRule="auto"/>
        <w:ind w:left="0" w:right="0"/>
        <w:jc w:val="center"/>
      </w:pPr>
      <w:r>
        <w:rPr>
          <w:rFonts w:ascii="times new roman" w:hAnsi="times new roman" w:eastAsia="times new roman" w:cs="times new roman"/>
          <w:b/>
          <w:bCs/>
          <w:color w:val="000000"/>
          <w:sz w:val="27"/>
          <w:szCs w:val="27"/>
        </w:rPr>
        <w:t xml:space="preserve">č. xxx-xx/2021</w:t>
      </w:r>
    </w:p>
    <w:p>
      <w:pPr>
        <w:widowControl w:val="on"/>
        <w:pBdr/>
        <w:spacing w:before="240" w:after="240" w:line="240" w:lineRule="auto"/>
        <w:ind w:left="0" w:right="0"/>
        <w:jc w:val="left"/>
      </w:pPr>
    </w:p>
    <w:tbl>
      <w:tblPr>
        <w:tblStyle w:val="NormalTablePHPDOCX"/>
        <w:tblW w:w="9000" w:type="dxa"/>
        <w:tblCellSpacing w:w="15" w:type="dxa"/>
        <w:tblInd w:w="0" w:type="auto"/>
        <w:tblBorders/>
      </w:tblPr>
      <w:tblGrid>
        <w:gridCol/>
        <w:gridCol/>
      </w:tblGrid>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Zadavatel znaleckého posudku:</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ÚZSMV - OP Ústí nad Orlicí Smetanova 43, 562 16 Ústí nad Orlicí</w:t>
            </w:r>
          </w:p>
        </w:tc>
      </w:tr>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Číslo jednací:</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C 513010020</w:t>
            </w:r>
          </w:p>
        </w:tc>
      </w:tr>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Účel znaleckého posudku:</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Výpočet a stanovení obvyklé ceny nemovitých věcí pro účel zjištění reálné tržní ceny.</w:t>
            </w:r>
          </w:p>
        </w:tc>
      </w:tr>
    </w:tbl>
    <w:p/>
    <w:tbl>
      <w:tblPr>
        <w:tblStyle w:val="NormalTablePHPDOCX"/>
        <w:tblW w:w="9000" w:type="dxa"/>
        <w:tblCellSpacing w:w="15" w:type="dxa"/>
        <w:tblInd w:w="0" w:type="auto"/>
        <w:tblBorders/>
      </w:tblPr>
      <w:tblGrid>
        <w:gridCol/>
        <w:gridCol/>
      </w:tblGrid>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Obor, odvětví, specializace:</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Obor Ekonomika, Odvětví Ceny a odhady, Specializace nemovitosti.</w:t>
            </w:r>
          </w:p>
        </w:tc>
      </w:tr>
    </w:tbl>
    <w:p/>
    <w:tbl>
      <w:tblPr>
        <w:tblStyle w:val="NormalTablePHPDOCX"/>
        <w:tblW w:w="9000" w:type="dxa"/>
        <w:tblCellSpacing w:w="15" w:type="dxa"/>
        <w:tblInd w:w="0" w:type="auto"/>
        <w:tblBorders/>
      </w:tblPr>
      <w:tblGrid>
        <w:gridCol/>
        <w:gridCol/>
      </w:tblGrid>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Adresa předmětu ocenění:</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Výprachtice, Výprachtice, okres Ústí nad Orlicí</w:t>
            </w:r>
          </w:p>
        </w:tc>
      </w:tr>
    </w:tbl>
    <w:p/>
    <w:tbl>
      <w:tblPr>
        <w:tblStyle w:val="NormalTablePHPDOCX"/>
        <w:tblW w:w="9000" w:type="dxa"/>
        <w:tblCellSpacing w:w="15" w:type="dxa"/>
        <w:tblInd w:w="0" w:type="auto"/>
        <w:tblBorders/>
      </w:tblPr>
      <w:tblGrid>
        <w:gridCol/>
        <w:gridCol/>
      </w:tblGrid>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Prohlídka předmětu ocenění provedena dne:</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25.02.2021</w:t>
            </w:r>
          </w:p>
        </w:tc>
      </w:tr>
    </w:tbl>
    <w:p/>
    <w:tbl>
      <w:tblPr>
        <w:tblStyle w:val="NormalTablePHPDOCX"/>
        <w:tblW w:w="9000" w:type="dxa"/>
        <w:tblCellSpacing w:w="15" w:type="dxa"/>
        <w:tblInd w:w="0" w:type="auto"/>
        <w:tblBorders/>
      </w:tblPr>
      <w:tblGrid>
        <w:gridCol/>
        <w:gridCol/>
      </w:tblGrid>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Zpracováno ke dni:</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25.02.2021</w:t>
            </w:r>
          </w:p>
        </w:tc>
      </w:tr>
    </w:tbl>
    <w:p/>
    <w:tbl>
      <w:tblPr>
        <w:tblStyle w:val="NormalTablePHPDOCX"/>
        <w:tblW w:w="9000" w:type="dxa"/>
        <w:tblCellSpacing w:w="15" w:type="dxa"/>
        <w:tblInd w:w="0" w:type="auto"/>
        <w:tblBorders/>
      </w:tblPr>
      <w:tblGrid>
        <w:gridCol/>
        <w:gridCol/>
      </w:tblGrid>
      <w:tr>
        <w:trPr>
          <w:trHeight w:val="0" w:hRule="atLeast"/>
        </w:trPr>
        <w:tc>
          <w:tcPr>
            <w:tcW w:w="3750" w:type="dxa"/>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b/>
                <w:bCs/>
                <w:color w:val="000000"/>
                <w:position w:val="0"/>
                <w:sz w:val="24"/>
                <w:szCs w:val="24"/>
              </w:rPr>
              <w:t xml:space="preserve">Zhotovitel:</w:t>
            </w:r>
          </w:p>
        </w:tc>
        <w:tc>
          <w:tcPr>
            <w:tcMar>
              <w:top w:w="15" w:type="dxa"/>
              <w:bottom w:w="15" w:type="dxa"/>
            </w:tcMar>
            <w:vAlign w:val="top"/>
          </w:tcPr>
          <w:p>
            <w:pPr>
              <w:widowControl w:val="on"/>
              <w:pBdr/>
              <w:spacing w:before="0" w:after="0" w:line="240" w:lineRule="auto"/>
              <w:ind w:left="0" w:right="0"/>
              <w:jc w:val="left"/>
            </w:pPr>
            <w:r>
              <w:rPr>
                <w:rFonts w:ascii="times new roman" w:hAnsi="times new roman" w:eastAsia="times new roman" w:cs="times new roman"/>
                <w:color w:val="000000"/>
                <w:position w:val="0"/>
                <w:sz w:val="24"/>
                <w:szCs w:val="24"/>
              </w:rPr>
              <w:t xml:space="preserve">XP invest, s. r. o.-znalecký ústav v oboru Ekonomika, Ceny a odhady-nemovitosti, Jan Chroust</w:t>
            </w:r>
            <w:r>
              <w:rPr>
                <w:rFonts w:ascii="times new roman" w:hAnsi="times new roman" w:eastAsia="times new roman" w:cs="times new roman"/>
                <w:color w:val="000000"/>
                <w:position w:val="0"/>
                <w:sz w:val="24"/>
                <w:szCs w:val="24"/>
              </w:rPr>
              <w:br/>
              <w:t xml:space="preserve">Mánesova 1374/53, 12000 Praha</w:t>
            </w:r>
            <w:r>
              <w:rPr>
                <w:rFonts w:ascii="times new roman" w:hAnsi="times new roman" w:eastAsia="times new roman" w:cs="times new roman"/>
                <w:color w:val="000000"/>
                <w:position w:val="0"/>
                <w:sz w:val="24"/>
                <w:szCs w:val="24"/>
              </w:rPr>
              <w:br/>
              <w:t xml:space="preserve">Tel.: +420737858334</w:t>
            </w:r>
            <w:r>
              <w:rPr>
                <w:rFonts w:ascii="times new roman" w:hAnsi="times new roman" w:eastAsia="times new roman" w:cs="times new roman"/>
                <w:color w:val="000000"/>
                <w:position w:val="0"/>
                <w:sz w:val="24"/>
                <w:szCs w:val="24"/>
              </w:rPr>
              <w:br/>
              <w:t xml:space="preserve">Email: info@xpinvest.cz</w:t>
            </w:r>
          </w:p>
        </w:tc>
      </w:tr>
    </w:tbl>
    <w:p>
      <w:pPr>
        <w:widowControl w:val="on"/>
        <w:pBdr/>
        <w:spacing w:before="240" w:after="240" w:line="240" w:lineRule="auto"/>
        <w:ind w:left="0" w:right="0"/>
        <w:jc w:val="left"/>
      </w:pP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Znalecký posudek obsahuje </w:t>
      </w:r>
      <w:r>
        <w:rPr>
          <w:rFonts w:ascii="times new roman" w:hAnsi="times new roman" w:eastAsia="times new roman" w:cs="times new roman"/>
          <w:color w:val="FF0000"/>
          <w:sz w:val="24"/>
          <w:szCs w:val="24"/>
        </w:rPr>
        <w:t xml:space="preserve">XXX </w:t>
      </w:r>
      <w:r>
        <w:rPr>
          <w:rFonts w:ascii="times new roman" w:hAnsi="times new roman" w:eastAsia="times new roman" w:cs="times new roman"/>
          <w:color w:val="000000"/>
          <w:sz w:val="24"/>
          <w:szCs w:val="24"/>
        </w:rPr>
        <w:t xml:space="preserve">stran textu včetně titulního listu a </w:t>
      </w:r>
      <w:r>
        <w:rPr>
          <w:rFonts w:ascii="times new roman" w:hAnsi="times new roman" w:eastAsia="times new roman" w:cs="times new roman"/>
          <w:color w:val="FF0000"/>
          <w:sz w:val="24"/>
          <w:szCs w:val="24"/>
        </w:rPr>
        <w:t xml:space="preserve">XXX </w:t>
      </w:r>
      <w:r>
        <w:rPr>
          <w:rFonts w:ascii="times new roman" w:hAnsi="times new roman" w:eastAsia="times new roman" w:cs="times new roman"/>
          <w:color w:val="000000"/>
          <w:sz w:val="24"/>
          <w:szCs w:val="24"/>
        </w:rPr>
        <w:t xml:space="preserve">stran příloh. Objednateli se předává ve </w:t>
      </w:r>
      <w:r>
        <w:rPr>
          <w:rFonts w:ascii="times new roman" w:hAnsi="times new roman" w:eastAsia="times new roman" w:cs="times new roman"/>
          <w:color w:val="FF0000"/>
          <w:sz w:val="24"/>
          <w:szCs w:val="24"/>
        </w:rPr>
        <w:t xml:space="preserve">XXX </w:t>
      </w:r>
      <w:r>
        <w:rPr>
          <w:rFonts w:ascii="times new roman" w:hAnsi="times new roman" w:eastAsia="times new roman" w:cs="times new roman"/>
          <w:color w:val="000000"/>
          <w:sz w:val="24"/>
          <w:szCs w:val="24"/>
        </w:rPr>
        <w:t xml:space="preserve">vyhotoveních.</w:t>
      </w:r>
    </w:p>
    <w:p>
      <w:pPr>
        <w:widowControl w:val="on"/>
        <w:pBdr/>
        <w:spacing w:before="240" w:after="240" w:line="240" w:lineRule="auto"/>
        <w:ind w:left="0" w:right="0"/>
        <w:jc w:val="left"/>
      </w:pPr>
    </w:p>
    <w:tbl>
      <w:tblPr>
        <w:tblStyle w:val="NormalTablePHPDOCX"/>
        <w:tblW w:w="9000" w:type="dxa"/>
        <w:tblCellSpacing w:w="15" w:type="dxa"/>
        <w:tblInd w:w="0" w:type="auto"/>
        <w:tblBorders/>
      </w:tblPr>
      <w:tblGrid>
        <w:gridCol/>
        <w:gridCol/>
      </w:tblGrid>
      <w:tr>
        <w:trPr>
          <w:trHeight w:val="0" w:hRule="atLeast"/>
        </w:trPr>
        <w:tc>
          <w:tcPr>
            <w:tcW w:w="3750" w:type="dxa"/>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b/>
                <w:bCs/>
                <w:color w:val="000000"/>
                <w:position w:val="-3"/>
                <w:sz w:val="24"/>
                <w:szCs w:val="24"/>
              </w:rPr>
              <w:t xml:space="preserve">Místo a datum vyhotovení:</w:t>
            </w:r>
          </w:p>
        </w:tc>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V Praze, dne 03.03.2021 </w:t>
            </w:r>
          </w:p>
        </w:tc>
      </w:tr>
    </w:tbl>
    <w:p>
      <w:r>
        <w:br w:type="page"/>
      </w:r>
    </w:p>
    <w:p>
      <w:pPr>
        <w:widowControl w:val="on"/>
        <w:pBdr/>
        <w:spacing w:before="240" w:after="240" w:line="240" w:lineRule="auto"/>
        <w:ind w:left="0" w:right="0"/>
        <w:jc w:val="left"/>
      </w:pPr>
      <w:r>
        <w:rPr>
          <w:rFonts w:ascii="times new roman" w:hAnsi="times new roman" w:eastAsia="times new roman" w:cs="times new roman"/>
          <w:b/>
          <w:bCs/>
          <w:color w:val="000000"/>
          <w:sz w:val="30"/>
          <w:szCs w:val="30"/>
        </w:rPr>
        <w:t xml:space="preserve">A. Zadání</w:t>
      </w:r>
    </w:p>
    <w:p>
      <w:pPr>
        <w:widowControl w:val="on"/>
        <w:pBdr/>
        <w:spacing w:before="299" w:after="299" w:line="240" w:lineRule="auto"/>
        <w:ind w:left="0" w:right="0"/>
        <w:jc w:val="left"/>
        <w:outlineLvl w:val="1"/>
      </w:pPr>
      <w:r>
        <w:rPr>
          <w:rFonts w:ascii="times new roman" w:hAnsi="times new roman" w:eastAsia="times new roman" w:cs="times new roman"/>
          <w:b/>
          <w:bCs/>
          <w:color w:val="000000"/>
          <w:sz w:val="24"/>
          <w:szCs w:val="24"/>
          <w:u w:val="single"/>
        </w:rPr>
        <w:t xml:space="preserve">1. Znalecký úkol - odborná otázka</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Stanovení obvyklé ceny pozemku parc. č. 3298/2, 3298/4 nacházejícího se v obci Výprachtice, okres Ústí nad Orlicí, katastrální území Výprachtice.</w:t>
      </w:r>
    </w:p>
    <w:p>
      <w:pPr>
        <w:widowControl w:val="on"/>
        <w:pBdr/>
        <w:spacing w:before="299" w:after="299" w:line="240" w:lineRule="auto"/>
        <w:ind w:left="0" w:right="0"/>
        <w:jc w:val="left"/>
        <w:outlineLvl w:val="1"/>
      </w:pPr>
      <w:r>
        <w:rPr>
          <w:rFonts w:ascii="times new roman" w:hAnsi="times new roman" w:eastAsia="times new roman" w:cs="times new roman"/>
          <w:b/>
          <w:bCs/>
          <w:color w:val="000000"/>
          <w:sz w:val="24"/>
          <w:szCs w:val="24"/>
          <w:u w:val="single"/>
        </w:rPr>
        <w:t xml:space="preserve">2. Účel znaleckého posudku</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Výpočet a stanovení obvyklé ceny nemovitých věcí pro účel zjištění reálné tržní ceny.</w:t>
      </w:r>
    </w:p>
    <w:p>
      <w:pPr>
        <w:widowControl w:val="on"/>
        <w:pBdr/>
        <w:spacing w:before="240" w:after="240" w:line="240" w:lineRule="auto"/>
        <w:ind w:left="0" w:right="0"/>
        <w:jc w:val="both"/>
      </w:pPr>
      <w:r>
        <w:rPr>
          <w:rFonts w:ascii="times new roman" w:hAnsi="times new roman" w:eastAsia="times new roman" w:cs="times new roman"/>
          <w:b/>
          <w:bCs/>
          <w:color w:val="000000"/>
          <w:sz w:val="24"/>
          <w:szCs w:val="24"/>
          <w:u w:val="single"/>
        </w:rPr>
        <w:t xml:space="preserve">3. Skutečnosti sdělené zadavatelem</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Zadavatel nesdělil žádné informace, které by měly vliv na přesnost závěru znaleckého posudku.</w:t>
      </w:r>
    </w:p>
    <w:p>
      <w:pPr>
        <w:widowControl w:val="on"/>
        <w:pBdr/>
        <w:spacing w:before="240" w:after="240" w:line="240" w:lineRule="auto"/>
        <w:ind w:left="0" w:right="0"/>
        <w:jc w:val="both"/>
      </w:pPr>
      <w:r>
        <w:rPr>
          <w:rFonts w:ascii="times new roman" w:hAnsi="times new roman" w:eastAsia="times new roman" w:cs="times new roman"/>
          <w:b/>
          <w:bCs/>
          <w:color w:val="000000"/>
          <w:sz w:val="30"/>
          <w:szCs w:val="30"/>
        </w:rPr>
        <w:t xml:space="preserve">B. Výčet podkladů</w:t>
      </w:r>
    </w:p>
    <w:p>
      <w:pPr>
        <w:widowControl w:val="on"/>
        <w:pBdr/>
        <w:spacing w:before="240" w:after="240" w:line="240" w:lineRule="auto"/>
        <w:ind w:left="0" w:right="0"/>
        <w:jc w:val="both"/>
      </w:pPr>
      <w:r>
        <w:rPr>
          <w:rFonts w:ascii="times new roman" w:hAnsi="times new roman" w:eastAsia="times new roman" w:cs="times new roman"/>
          <w:b/>
          <w:bCs/>
          <w:color w:val="000000"/>
          <w:sz w:val="24"/>
          <w:szCs w:val="24"/>
          <w:u w:val="single"/>
        </w:rPr>
        <w:t xml:space="preserve">1. Postup výběru zdrojů</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Zpracovatel určil níže uvedené zdroje dat pro splnění zadaného znaleckého úkolu. Všechny uvedené zdroje jsou důležité pro bezchybný výpočet a stanovení obvyklé ceny předmětného majetku. Zdroje byly určeny na základě požadavků vyplývajících z platných oceňovacích předpisů, odborných publikací a zkušeností zpracovatele se zpracováním obdobných ocenění.</w:t>
      </w:r>
    </w:p>
    <w:p>
      <w:pPr>
        <w:widowControl w:val="on"/>
        <w:pBdr/>
        <w:spacing w:before="240" w:after="240" w:line="240" w:lineRule="auto"/>
        <w:ind w:left="0" w:right="0"/>
        <w:jc w:val="left"/>
      </w:pPr>
      <w:r>
        <w:rPr>
          <w:rFonts w:ascii="times new roman" w:hAnsi="times new roman" w:eastAsia="times new roman" w:cs="times new roman"/>
          <w:b/>
          <w:bCs/>
          <w:color w:val="000000"/>
          <w:sz w:val="24"/>
          <w:szCs w:val="24"/>
          <w:u w:val="single"/>
        </w:rPr>
        <w:t xml:space="preserve">2. Výčet zdrojů</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Pro vypracování posudku byly použity tyto zdroje: informace zjištěné při prohlídce, výpis z elektronické verze katastru nemovitostí, snímek katastrální mapy, povodňová mapa, informace realitních kanceláří, informace z katastru nemovitostí o realizovaných prodejích, územní plán, systém INEM - technické řešení a databáze realitních transakcí</w:t>
      </w:r>
    </w:p>
    <w:p>
      <w:pPr>
        <w:widowControl w:val="on"/>
        <w:pBdr/>
        <w:spacing w:before="240" w:after="240" w:line="240" w:lineRule="auto"/>
        <w:ind w:left="0" w:right="0"/>
        <w:jc w:val="left"/>
      </w:pPr>
      <w:r>
        <w:rPr>
          <w:rFonts w:ascii="times new roman" w:hAnsi="times new roman" w:eastAsia="times new roman" w:cs="times new roman"/>
          <w:b/>
          <w:bCs/>
          <w:color w:val="000000"/>
          <w:sz w:val="24"/>
          <w:szCs w:val="24"/>
          <w:u w:val="single"/>
        </w:rPr>
        <w:t xml:space="preserve">3. Věrohodnost zdrojů</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Výše uvedené zdroje byly vybrány s důrazem na maximální věrohodnost.</w:t>
      </w:r>
    </w:p>
    <w:p>
      <w:pPr>
        <w:widowControl w:val="on"/>
        <w:pBdr/>
        <w:spacing w:before="240" w:after="240" w:line="240" w:lineRule="auto"/>
        <w:ind w:left="0" w:right="0"/>
        <w:jc w:val="left"/>
      </w:pPr>
      <w:r>
        <w:rPr>
          <w:rFonts w:ascii="times new roman" w:hAnsi="times new roman" w:eastAsia="times new roman" w:cs="times new roman"/>
          <w:b/>
          <w:bCs/>
          <w:color w:val="000000"/>
          <w:sz w:val="30"/>
          <w:szCs w:val="30"/>
        </w:rPr>
        <w:t xml:space="preserve">C. Nález</w:t>
      </w:r>
    </w:p>
    <w:p>
      <w:pPr>
        <w:widowControl w:val="on"/>
        <w:pBdr/>
        <w:spacing w:before="299" w:after="299" w:line="240" w:lineRule="auto"/>
        <w:ind w:left="0" w:right="0"/>
        <w:jc w:val="left"/>
        <w:outlineLvl w:val="1"/>
      </w:pPr>
      <w:r>
        <w:rPr>
          <w:rFonts w:ascii="times new roman" w:hAnsi="times new roman" w:eastAsia="times new roman" w:cs="times new roman"/>
          <w:b/>
          <w:bCs/>
          <w:color w:val="000000"/>
          <w:sz w:val="24"/>
          <w:szCs w:val="24"/>
          <w:u w:val="single"/>
        </w:rPr>
        <w:t xml:space="preserve">1. Základní informace</w:t>
      </w:r>
    </w:p>
    <w:tbl>
      <w:tblPr>
        <w:tblStyle w:val="NormalTablePHPDOCX"/>
        <w:tblW w:w="9000" w:type="dxa"/>
        <w:tblCellSpacing w:w="15" w:type="dxa"/>
        <w:tblInd w:w="0" w:type="auto"/>
        <w:tblBorders/>
      </w:tblPr>
      <w:tblGrid>
        <w:gridCol/>
        <w:gridCol/>
      </w:tblGrid>
      <w:tr>
        <w:trPr>
          <w:trHeight w:val="0" w:hRule="atLeast"/>
        </w:trPr>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Název předmětu ocenění:</w:t>
            </w:r>
          </w:p>
        </w:tc>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Pozemek parc. č. 3298/2, 3298/4 v katastrálním území Výprachtice</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Adresa předmětu ocenění:</w:t>
            </w:r>
          </w:p>
        </w:tc>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Výprachtice, Výprachtice, okres Ústí nad Orlicí</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Kraj:</w:t>
            </w:r>
          </w:p>
        </w:tc>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Pardubický kraj</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Okres:</w:t>
            </w:r>
          </w:p>
        </w:tc>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Ústí nad Orlicí</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Obec:</w:t>
            </w:r>
          </w:p>
        </w:tc>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Výprachtice</w:t>
            </w:r>
          </w:p>
        </w:tc>
      </w:tr>
      <w:tr>
        <w:trPr>
          <w:trHeight w:val="0" w:hRule="atLeast"/>
        </w:trPr>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Katastrální území:</w:t>
            </w:r>
          </w:p>
        </w:tc>
        <w:tc>
          <w:tcPr>
            <w:tcMar>
              <w:top w:w="15" w:type="dxa"/>
              <w:bottom w:w="1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Výprachtice</w:t>
            </w:r>
          </w:p>
        </w:tc>
      </w:tr>
    </w:tbl>
    <w:p>
      <w:pPr>
        <w:widowControl w:val="on"/>
        <w:pBdr/>
        <w:spacing w:before="299" w:after="299" w:line="240" w:lineRule="auto"/>
        <w:ind w:left="0" w:right="0"/>
        <w:jc w:val="left"/>
        <w:outlineLvl w:val="1"/>
      </w:pPr>
      <w:r>
        <w:rPr>
          <w:rFonts w:ascii="times new roman" w:hAnsi="times new roman" w:eastAsia="times new roman" w:cs="times new roman"/>
          <w:b/>
          <w:bCs/>
          <w:color w:val="000000"/>
          <w:sz w:val="24"/>
          <w:szCs w:val="24"/>
          <w:u w:val="single"/>
        </w:rPr>
        <w:t xml:space="preserve">2. Prohlídka a zaměření</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Prohlídka nemovitosti byla provedena dne 25.02.2021. V den prohlídky proběhla celková prohlídka předmětu ocenění. </w:t>
      </w:r>
    </w:p>
    <w:p>
      <w:pPr>
        <w:widowControl w:val="on"/>
        <w:pBdr/>
        <w:spacing w:before="299" w:after="299" w:line="240" w:lineRule="auto"/>
        <w:ind w:left="0" w:right="0"/>
        <w:jc w:val="left"/>
        <w:outlineLvl w:val="1"/>
      </w:pPr>
      <w:r>
        <w:rPr>
          <w:rFonts w:ascii="times new roman" w:hAnsi="times new roman" w:eastAsia="times new roman" w:cs="times new roman"/>
          <w:b/>
          <w:bCs/>
          <w:color w:val="000000"/>
          <w:sz w:val="24"/>
          <w:szCs w:val="24"/>
          <w:u w:val="single"/>
        </w:rPr>
        <w:t xml:space="preserve">3. Vlastnické a evidenční údaje</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u w:val="single"/>
        </w:rPr>
        <w:t xml:space="preserve">Vlastnické právo</w:t>
      </w:r>
    </w:p>
    <w:p>
      <w:pPr>
        <w:widowControl w:val="on"/>
        <w:pBdr/>
        <w:spacing w:before="240" w:after="240" w:line="240" w:lineRule="auto"/>
        <w:ind w:left="284" w:right="0"/>
        <w:jc w:val="left"/>
      </w:pPr>
      <w:r>
        <w:rPr>
          <w:rFonts w:ascii="times new roman" w:hAnsi="times new roman" w:eastAsia="times new roman" w:cs="times new roman"/>
          <w:color w:val="000000"/>
          <w:sz w:val="24"/>
          <w:szCs w:val="24"/>
        </w:rPr>
        <w:t xml:space="preserve">Česká republika, Úřad pro zastupování státu ve věcech majetkových, Rašínovo nábřeží 390/42, Nové Město, 12800 Praha 2</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u w:val="single"/>
        </w:rPr>
        <w:t xml:space="preserve">Nemovitosti:</w:t>
      </w:r>
    </w:p>
    <w:p>
      <w:pPr>
        <w:widowControl w:val="on"/>
        <w:pBdr/>
        <w:spacing w:before="240" w:after="240" w:line="240" w:lineRule="auto"/>
        <w:ind w:left="284" w:right="0"/>
        <w:jc w:val="both"/>
      </w:pPr>
      <w:r>
        <w:rPr>
          <w:rFonts w:ascii="times new roman" w:hAnsi="times new roman" w:eastAsia="times new roman" w:cs="times new roman"/>
          <w:color w:val="000000"/>
          <w:sz w:val="24"/>
          <w:szCs w:val="24"/>
        </w:rPr>
        <w:t xml:space="preserve">Pozemek parc. č. 3298/2, 3298/4 nacházející se v obci Výprachtice, okres Ústí nad Orlicí, katastrální území Výprachtice.</w:t>
      </w:r>
    </w:p>
    <w:p>
      <w:pPr>
        <w:widowControl w:val="on"/>
        <w:pBdr/>
        <w:spacing w:before="240" w:after="240" w:line="240" w:lineRule="auto"/>
        <w:ind w:left="0" w:right="0"/>
        <w:jc w:val="left"/>
      </w:pPr>
      <w:r>
        <w:rPr>
          <w:rFonts w:ascii="times new roman" w:hAnsi="times new roman" w:eastAsia="times new roman" w:cs="times new roman"/>
          <w:b/>
          <w:bCs/>
          <w:color w:val="000000"/>
          <w:sz w:val="24"/>
          <w:szCs w:val="24"/>
          <w:u w:val="single"/>
        </w:rPr>
        <w:t xml:space="preserve">4. Dokumentace a skutečnost</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Dokumentace neodpovídá skutečnému stavu - vodní plocha se na pozemcích nenachází, z části se jedná o zatravněnou manipulační plochu, z části o cestu a louku za potokem.</w:t>
      </w:r>
    </w:p>
    <w:p>
      <w:pPr>
        <w:widowControl w:val="on"/>
        <w:pBdr/>
        <w:spacing w:before="240" w:after="240" w:line="240" w:lineRule="auto"/>
        <w:ind w:left="0" w:right="0"/>
        <w:jc w:val="left"/>
      </w:pPr>
      <w:r>
        <w:rPr>
          <w:rFonts w:ascii="times new roman" w:hAnsi="times new roman" w:eastAsia="times new roman" w:cs="times new roman"/>
          <w:b/>
          <w:bCs/>
          <w:color w:val="000000"/>
          <w:sz w:val="24"/>
          <w:szCs w:val="24"/>
          <w:u w:val="single"/>
        </w:rPr>
        <w:t xml:space="preserve">5. Celkový popis nemovitosti</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Oceňovaný pozemek slouží k zemědělským účelům, o rozloze 79 m</w:t>
      </w:r>
      <w:r>
        <w:rPr>
          <w:rFonts w:ascii="times new roman" w:hAnsi="times new roman" w:eastAsia="times new roman" w:cs="times new roman"/>
          <w:color w:val="000000"/>
          <w:position w:val="4"/>
          <w:sz w:val="21"/>
          <w:szCs w:val="21"/>
          <w:vertAlign w:val="superscript"/>
        </w:rPr>
        <w:t xml:space="preserve">2</w:t>
      </w:r>
      <w:r>
        <w:rPr>
          <w:rFonts w:ascii="times new roman" w:hAnsi="times new roman" w:eastAsia="times new roman" w:cs="times new roman"/>
          <w:color w:val="000000"/>
          <w:sz w:val="24"/>
          <w:szCs w:val="24"/>
        </w:rPr>
        <w:t xml:space="preserve">. Územní plán stanoví, že plocha pozemku je regulována jako - plochy výroby a skladování - lehký průmyslo.</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Pozemek je bez porostů, je bez oplocení. Samotný pozemek je mírně svažitý. </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Objekt je umístěn na jižním okraji obce. </w:t>
      </w:r>
    </w:p>
    <w:p>
      <w:pPr>
        <w:widowControl w:val="on"/>
        <w:pBdr/>
        <w:spacing w:before="240" w:after="240" w:line="240" w:lineRule="auto"/>
        <w:ind w:left="0" w:right="0"/>
        <w:jc w:val="both"/>
      </w:pPr>
    </w:p>
    <w:p>
      <w:pPr>
        <w:widowControl w:val="on"/>
        <w:pBdr/>
        <w:spacing w:before="240" w:after="240" w:line="240" w:lineRule="auto"/>
        <w:ind w:left="0" w:right="0"/>
        <w:jc w:val="both"/>
      </w:pPr>
    </w:p>
    <w:p>
      <w:pPr>
        <w:widowControl w:val="on"/>
        <w:pBdr/>
        <w:spacing w:before="240" w:after="240" w:line="240" w:lineRule="auto"/>
        <w:ind w:left="0" w:right="0"/>
        <w:jc w:val="both"/>
      </w:pP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Oceňované nemovitosti nejsou zatíženy věcnými břemeny.</w:t>
      </w:r>
    </w:p>
    <w:p>
      <w:pPr>
        <w:widowControl w:val="on"/>
        <w:pBdr/>
        <w:spacing w:before="240" w:after="240" w:line="240" w:lineRule="auto"/>
        <w:ind w:left="0" w:right="0"/>
        <w:jc w:val="both"/>
      </w:pPr>
    </w:p>
    <w:p>
      <w:pPr>
        <w:widowControl w:val="on"/>
        <w:pBdr/>
        <w:spacing w:before="240" w:after="240" w:line="240" w:lineRule="auto"/>
        <w:ind w:left="0" w:right="0"/>
        <w:jc w:val="both"/>
      </w:pPr>
    </w:p>
    <w:tbl>
      <w:tblPr>
        <w:tblStyle w:val="TableGridPHPDOCX"/>
        <w:tblW w:w="0" w:type="auto"/>
        <w:tblInd w:w="0" w:type="auto"/>
        <w:tblBorders>
          <w:top w:val="outset" w:color="808080" w:sz="10"/>
          <w:left w:val="outset" w:color="808080" w:sz="10"/>
          <w:bottom w:val="outset" w:color="808080" w:sz="10"/>
          <w:right w:val="outset" w:color="808080" w:sz="10"/>
        </w:tblBorders>
      </w:tblPr>
      <w:tblGrid>
        <w:gridCol/>
        <w:gridCol/>
        <w:gridCol/>
      </w:tblGrid>
      <w:tr>
        <w:trPr>
          <w:trHeight w:val="0" w:hRule="atLeast"/>
        </w:trPr>
        <w:tc>
          <w:tcPr>
            <w:tcW w:w="9000" w:type="dxa"/>
            <w:gridSpan w:val="3"/>
            <w:tcBorders>
              <w:top w:val="inset" w:color="000000" w:sz="7"/>
              <w:left w:val="inset" w:color="000000" w:sz="7"/>
              <w:bottom w:val="inset" w:color="000000" w:sz="7"/>
              <w:right w:val="inset" w:color="000000" w:sz="7"/>
            </w:tcBorders>
            <w:tcMar>
              <w:top w:w="15" w:type="dxa"/>
              <w:bottom w:w="15" w:type="dxa"/>
            </w:tcMar>
            <w:vAlign w:val="center"/>
          </w:tcPr>
          <w:p>
            <w:pPr>
              <w:widowControl w:val="on"/>
              <w:pBdr/>
              <w:spacing w:before="240" w:after="240" w:line="240" w:lineRule="auto"/>
              <w:ind w:left="0" w:right="0"/>
              <w:jc w:val="center"/>
              <w:textAlignment w:val="center"/>
            </w:pPr>
            <w:r>
              <w:rPr>
                <w:rFonts w:ascii="times new roman" w:hAnsi="times new roman" w:eastAsia="times new roman" w:cs="times new roman"/>
                <w:b/>
                <w:bCs/>
                <w:color w:val="000000"/>
                <w:position w:val="-3"/>
                <w:sz w:val="21"/>
                <w:szCs w:val="21"/>
              </w:rPr>
              <w:t xml:space="preserve">Tabulkový popis</w:t>
            </w:r>
          </w:p>
        </w:tc>
      </w:tr>
      <w:tr>
        <w:trPr>
          <w:trHeight w:val="0" w:hRule="atLeast"/>
        </w:trPr>
        <w:tc>
          <w:tcPr>
            <w:tcW w:w="1710" w:type="dxa"/>
            <w:vMerge w:val="restart"/>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240" w:after="240" w:line="240" w:lineRule="auto"/>
              <w:ind w:left="0" w:right="0"/>
              <w:jc w:val="left"/>
              <w:textAlignment w:val="center"/>
            </w:pPr>
            <w:r>
              <w:rPr>
                <w:rFonts w:ascii="times new roman" w:hAnsi="times new roman" w:eastAsia="times new roman" w:cs="times new roman"/>
                <w:b/>
                <w:bCs/>
                <w:color w:val="000000"/>
                <w:position w:val="-3"/>
                <w:sz w:val="21"/>
                <w:szCs w:val="21"/>
              </w:rPr>
              <w:t xml:space="preserve">Popis oceňovaného pozemku</w:t>
            </w: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Rozloha</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79 m</w:t>
            </w:r>
            <w:r>
              <w:rPr>
                <w:rFonts w:ascii="times new roman" w:hAnsi="times new roman" w:eastAsia="times new roman" w:cs="times new roman"/>
                <w:color w:val="000000"/>
                <w:position w:val="3"/>
                <w:sz w:val="15"/>
                <w:szCs w:val="15"/>
                <w:vertAlign w:val="superscript"/>
              </w:rPr>
              <w:t xml:space="preserve">2</w:t>
            </w: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Druh pozemku</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zemědělský pozemek</w:t>
            </w: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Územní plán</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plochy výroby a skladování - lehký průmyslo</w:t>
            </w: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Trvalé porosty</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bez porostů</w:t>
            </w: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Venkovní stavby</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Sklon pozemku</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mírně svažitý</w:t>
            </w: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Oplocení</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neoploceno</w:t>
            </w: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Přístupová cesta</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tc>
      </w:tr>
      <w:tr>
        <w:trPr>
          <w:trHeight w:val="0" w:hRule="atLeast"/>
        </w:trPr>
        <w:tc>
          <w:tcPr>
            <w:tcW w:w="1710" w:type="dxa"/>
            <w:vMerge w:val="restart"/>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3"/>
                <w:sz w:val="24"/>
                <w:szCs w:val="24"/>
              </w:rPr>
              <w:t xml:space="preserve">Popis okolí</w:t>
            </w: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Popis okolí</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Poloha v obci</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jižní okraj obce</w:t>
            </w: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Vybavenost</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Životní prostředí</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Spojení a parkovací možnosti</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tc>
      </w:tr>
      <w:tr>
        <w:trPr>
          <w:trHeight w:val="0" w:hRule="atLeast"/>
        </w:trPr>
        <w:tc>
          <w:tcPr>
            <w:gridSpan w:val="1"/>
            <w:vMerge w:val="continue"/>
            <w:tcBorders>
              <w:top w:val="inset" w:color="000000" w:sz="7"/>
              <w:left w:val="inset" w:color="000000" w:sz="7"/>
              <w:bottom w:val="inset" w:color="000000" w:sz="7"/>
              <w:right w:val="inset" w:color="000000" w:sz="7"/>
            </w:tcBorders>
          </w:tcPr>
          <w:p/>
        </w:tc>
        <w:tc>
          <w:tcPr>
            <w:tcW w:w="270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Sousedé a kriminalita</w:t>
            </w:r>
          </w:p>
        </w:tc>
        <w:tc>
          <w:tcPr>
            <w:tcW w:w="4590" w:type="dxa"/>
            <w:tcBorders>
              <w:top w:val="inset" w:color="000000" w:sz="7"/>
              <w:left w:val="inset" w:color="000000" w:sz="7"/>
              <w:bottom w:val="inset" w:color="000000" w:sz="7"/>
              <w:right w:val="inset" w:color="000000" w:sz="7"/>
            </w:tcBorders>
            <w:tcMar>
              <w:top w:w="75" w:type="dxa"/>
              <w:bottom w:w="75" w:type="dxa"/>
            </w:tcMar>
            <w:vAlign w:val="center"/>
          </w:tcPr>
          <w:p/>
        </w:tc>
      </w:tr>
      <w:tr>
        <w:trPr>
          <w:trHeight w:val="0" w:hRule="atLeast"/>
        </w:trPr>
        <w:tc>
          <w:tcPr>
            <w:tcW w:w="171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b/>
                <w:bCs/>
                <w:color w:val="000000"/>
                <w:position w:val="-3"/>
                <w:sz w:val="21"/>
                <w:szCs w:val="21"/>
              </w:rPr>
              <w:t xml:space="preserve">Věcná břemena</w:t>
            </w:r>
          </w:p>
        </w:tc>
        <w:tc>
          <w:tcPr>
            <w:tcW w:w="7290" w:type="dxa"/>
            <w:gridSpan w:val="2"/>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color w:val="000000"/>
                <w:position w:val="-2"/>
                <w:sz w:val="17"/>
                <w:szCs w:val="17"/>
              </w:rPr>
              <w:t xml:space="preserve">oceňované nemovitosti nejsou zatíženy věcnými břemeny</w:t>
            </w:r>
          </w:p>
        </w:tc>
      </w:tr>
      <w:tr>
        <w:trPr>
          <w:trHeight w:val="0" w:hRule="atLeast"/>
        </w:trPr>
        <w:tc>
          <w:tcPr>
            <w:tcW w:w="1710" w:type="dxa"/>
            <w:tcBorders>
              <w:top w:val="inset" w:color="000000" w:sz="7"/>
              <w:left w:val="inset" w:color="000000" w:sz="7"/>
              <w:bottom w:val="inset" w:color="000000" w:sz="7"/>
              <w:right w:val="inset" w:color="000000" w:sz="7"/>
            </w:tcBorders>
            <w:tcMar>
              <w:top w:w="75" w:type="dxa"/>
              <w:bottom w:w="75" w:type="dxa"/>
            </w:tcMar>
            <w:vAlign w:val="center"/>
          </w:tcPr>
          <w:p>
            <w:pPr>
              <w:widowControl w:val="on"/>
              <w:pBdr/>
              <w:spacing w:before="0" w:after="0" w:line="240" w:lineRule="auto"/>
              <w:ind w:left="0" w:right="0"/>
              <w:jc w:val="left"/>
            </w:pPr>
            <w:r>
              <w:rPr>
                <w:rFonts w:ascii="times new roman" w:hAnsi="times new roman" w:eastAsia="times new roman" w:cs="times new roman"/>
                <w:b/>
                <w:bCs/>
                <w:color w:val="000000"/>
                <w:position w:val="-3"/>
                <w:sz w:val="21"/>
                <w:szCs w:val="21"/>
              </w:rPr>
              <w:t xml:space="preserve">Další informace</w:t>
            </w:r>
          </w:p>
        </w:tc>
        <w:tc>
          <w:tcPr>
            <w:tcW w:w="7290" w:type="dxa"/>
            <w:gridSpan w:val="2"/>
            <w:tcBorders>
              <w:top w:val="inset" w:color="000000" w:sz="7"/>
              <w:left w:val="inset" w:color="000000" w:sz="7"/>
              <w:bottom w:val="inset" w:color="000000" w:sz="7"/>
              <w:right w:val="inset" w:color="000000" w:sz="7"/>
            </w:tcBorders>
            <w:tcMar>
              <w:top w:w="75" w:type="dxa"/>
              <w:bottom w:w="75" w:type="dxa"/>
            </w:tcMar>
            <w:vAlign w:val="center"/>
          </w:tcPr>
          <w:p/>
        </w:tc>
      </w:tr>
    </w:tbl>
    <w:p>
      <w:pPr>
        <w:widowControl w:val="on"/>
        <w:pBdr/>
        <w:spacing w:before="299" w:after="299" w:line="240" w:lineRule="auto"/>
        <w:ind w:left="0" w:right="0"/>
        <w:jc w:val="left"/>
        <w:outlineLvl w:val="1"/>
      </w:pPr>
      <w:r>
        <w:rPr>
          <w:rFonts w:ascii="times new roman" w:hAnsi="times new roman" w:eastAsia="times new roman" w:cs="times new roman"/>
          <w:b/>
          <w:bCs/>
          <w:color w:val="000000"/>
          <w:sz w:val="24"/>
          <w:szCs w:val="24"/>
          <w:u w:val="single"/>
        </w:rPr>
        <w:t xml:space="preserve">6. Metoda ocenění</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Pro účely stanovení obvyklé ceny k datu ocenění 25.02.2021 jsou použity všeobecně uznávané a vyžadované oceňovací postupy. </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Vymezení pojmu obvyklá cena:</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ZÁKON č. 151/1997 Sb. o oceňování majetku a o změně některých zákonů (zákon o oceňování majetku)</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ČÁST PRVNÍ, Hlava první, § 2, Způsoby oceňování majetku a služeb, odst. 2:</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„Obvyklou cenou se pro účely tohoto zákona rozumí cena, která by byla dosažena při prodejích stejného, popřípadě obdobného majetku nebo při poskytování stejné nebo obdobné služby v obvyklém obchodním styku v tuzemsku ke dni ocenění. Přitom se zvažují všechny okolnosti, které mají na cenu vliv, avšak do její výše se nepromítají vlivy mimořádných okolností trhu, osobních poměrů prodávajícího nebo kupujícího ani vliv zvláštní obliby. Mimořádnými okolnostmi trhu se rozumějí například stav tísně prodávajícího nebo kupujícího, důsledky přírodních či jiných kalamit. Osobními poměry se rozumějí zejména vztahy majetkové, rodinné nebo jiné osobní vztahy mezi prodávajícím a kupujícím. Zvláštní oblibou se rozumí zvláštní hodnota přikládaná majetku nebo službě vyplývající z osobního vztahu k nim. Obvyklá cena vyjadřuje hodnotu majetku nebo služby a určí se ze sjednaných cen porovnáním.“</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Pro stanovení obvyklé ceny je použit postup popsaný ve vyhlášce č. 488/2020 Sb. kterou se mění vyhláška č. 441/2013 Sb. k provedení zákona o oceňování majetku (oceňovací vyhláška), ve znění pozdějších předpisů.</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Volba metody:</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Za účelem stanovení obvyklé ceny dané nemovitosti je využit postup v podobě ocenění majetku dle platného cenového předpisu a dle tržního porovnání. Základní metodika, která je v rámci tržního porovnání použita, je klasická metoda porovnání pomocí indexů uvedená v publikaci Teorie oceňování nemovitostí, nakladatelství CERM. </w:t>
      </w:r>
    </w:p>
    <w:p>
      <w:r>
        <w:br w:type="page"/>
      </w:r>
    </w:p>
    <w:p>
      <w:pPr>
        <w:widowControl w:val="on"/>
        <w:pBdr/>
        <w:spacing w:before="322" w:after="322" w:line="240" w:lineRule="auto"/>
        <w:ind w:left="0" w:right="0"/>
        <w:jc w:val="left"/>
        <w:outlineLvl w:val="0"/>
      </w:pPr>
      <w:r>
        <w:rPr>
          <w:rFonts w:ascii="times new roman" w:hAnsi="times new roman" w:eastAsia="times new roman" w:cs="times new roman"/>
          <w:b/>
          <w:bCs/>
          <w:color w:val="000000"/>
          <w:sz w:val="30"/>
          <w:szCs w:val="30"/>
        </w:rPr>
        <w:t xml:space="preserve">D. ZNALECKÝ POSUDEK</w:t>
      </w:r>
    </w:p>
    <w:p>
      <w:pPr>
        <w:widowControl w:val="on"/>
        <w:pBdr/>
        <w:spacing w:before="240" w:after="240" w:line="240" w:lineRule="auto"/>
        <w:ind w:left="0" w:right="0"/>
        <w:jc w:val="left"/>
      </w:pPr>
      <w:r>
        <w:rPr>
          <w:rFonts w:ascii="times new roman" w:hAnsi="times new roman" w:eastAsia="times new roman" w:cs="times new roman"/>
          <w:b/>
          <w:bCs/>
          <w:color w:val="000000"/>
          <w:sz w:val="27"/>
          <w:szCs w:val="27"/>
          <w:u w:val="single"/>
        </w:rPr>
        <w:t xml:space="preserve">I) Ocenění dle platného cenového předpisu</w:t>
      </w:r>
    </w:p>
    <w:p>
      <w:pPr>
        <w:widowControl w:val="on"/>
        <w:pBdr/>
        <w:spacing w:before="240" w:after="240" w:line="240" w:lineRule="auto"/>
        <w:ind w:left="0" w:right="0"/>
        <w:jc w:val="left"/>
      </w:pPr>
      <w:r>
        <w:rPr>
          <w:rFonts w:ascii="times new roman" w:hAnsi="times new roman" w:eastAsia="times new roman" w:cs="times new roman"/>
          <w:b/>
          <w:bCs/>
          <w:color w:val="FF0000"/>
          <w:sz w:val="27"/>
          <w:szCs w:val="27"/>
        </w:rPr>
        <w:t xml:space="preserve">Zde umístěte výpočet z programu NemExpress nebo NemKalk bez oddílu C. Rekapitulace</w:t>
      </w:r>
    </w:p>
    <w:p>
      <w:pPr>
        <w:widowControl w:val="on"/>
        <w:pBdr/>
        <w:spacing w:before="240" w:after="240" w:line="240" w:lineRule="auto"/>
        <w:ind w:left="0" w:right="0"/>
        <w:jc w:val="both"/>
      </w:pPr>
    </w:p>
    <w:p>
      <w:r>
        <w:br w:type="page"/>
      </w:r>
    </w:p>
    <w:p>
      <w:pPr>
        <w:widowControl w:val="on"/>
        <w:pBdr/>
        <w:spacing w:before="281" w:after="281" w:line="240" w:lineRule="auto"/>
        <w:ind w:left="0" w:right="0"/>
        <w:jc w:val="left"/>
        <w:outlineLvl w:val="2"/>
      </w:pPr>
      <w:r>
        <w:rPr>
          <w:rFonts w:ascii="times new roman" w:hAnsi="times new roman" w:eastAsia="times new roman" w:cs="times new roman"/>
          <w:b/>
          <w:bCs/>
          <w:color w:val="000000"/>
          <w:sz w:val="27"/>
          <w:szCs w:val="27"/>
          <w:u w:val="single"/>
        </w:rPr>
        <w:t xml:space="preserve">II) Ocenění tržním porovnáním</w:t>
      </w:r>
    </w:p>
    <w:p>
      <w:pPr>
        <w:widowControl w:val="on"/>
        <w:pBdr/>
        <w:spacing w:before="281" w:after="281" w:line="240" w:lineRule="auto"/>
        <w:ind w:left="0" w:right="0"/>
        <w:jc w:val="left"/>
        <w:outlineLvl w:val="2"/>
      </w:pPr>
      <w:r>
        <w:rPr>
          <w:rFonts w:ascii="times new roman" w:hAnsi="times new roman" w:eastAsia="times new roman" w:cs="times new roman"/>
          <w:b/>
          <w:bCs/>
          <w:color w:val="000000"/>
          <w:sz w:val="24"/>
          <w:szCs w:val="24"/>
        </w:rPr>
        <w:t xml:space="preserve">Ocenění srovnávací metodou</w:t>
      </w:r>
    </w:p>
    <w:p>
      <w:pPr>
        <w:widowControl w:val="on"/>
        <w:pBdr/>
        <w:spacing w:before="240" w:after="240" w:line="240" w:lineRule="auto"/>
        <w:ind w:left="0" w:right="0"/>
        <w:jc w:val="both"/>
      </w:pPr>
      <w:r>
        <w:rPr>
          <w:rFonts w:ascii="times new roman" w:hAnsi="times new roman" w:eastAsia="times new roman" w:cs="times new roman"/>
          <w:color w:val="000000"/>
          <w:sz w:val="20"/>
          <w:szCs w:val="20"/>
        </w:rPr>
        <w:t xml:space="preserve">Metoda tržního porovnání je založena na porovnání nemovitosti s obdobnými nemovitostmi nabízenými k prodeji nebo prodanými v blízké lokalitě. Metoda tak poskytuje relevantní informaci o tržní hodnotě, za kterou by nemovitost mohla být směněna. Při porovnávání se u porovnávaných nemovitostí uvažuje s mnoha faktory (např. lokalita, velikost, stav či příslušenství).</w:t>
      </w:r>
    </w:p>
    <w:p>
      <w:pPr>
        <w:widowControl w:val="on"/>
        <w:pBdr/>
        <w:spacing w:before="240" w:after="240" w:line="240" w:lineRule="auto"/>
        <w:ind w:left="0" w:right="0"/>
        <w:jc w:val="both"/>
      </w:pPr>
      <w:r>
        <w:rPr>
          <w:rFonts w:ascii="times new roman" w:hAnsi="times new roman" w:eastAsia="times new roman" w:cs="times new roman"/>
          <w:color w:val="000000"/>
          <w:sz w:val="20"/>
          <w:szCs w:val="20"/>
        </w:rPr>
        <w:t xml:space="preserve">Tyto faktory jsou zohledněny korekčními koeficienty. Na základě porovnání těchto parametrů a vyhodnocením jejich vlivu lze stanovit hodnotu oceňované nemovitosti.</w:t>
      </w:r>
    </w:p>
    <w:p>
      <w:pPr>
        <w:widowControl w:val="on"/>
        <w:pBdr/>
        <w:spacing w:before="240" w:after="240" w:line="240" w:lineRule="auto"/>
        <w:ind w:left="0" w:right="0"/>
        <w:jc w:val="both"/>
      </w:pPr>
      <w:r>
        <w:rPr>
          <w:rFonts w:ascii="times new roman" w:hAnsi="times new roman" w:eastAsia="times new roman" w:cs="times new roman"/>
          <w:color w:val="000000"/>
          <w:sz w:val="20"/>
          <w:szCs w:val="20"/>
        </w:rPr>
        <w:t xml:space="preserve">​Srovnávané nemovitosti jsou uvedeny v příloze.</w:t>
      </w:r>
    </w:p>
    <w:p>
      <w:pPr>
        <w:widowControl w:val="on"/>
        <w:pBdr/>
        <w:spacing w:before="240" w:after="240" w:line="240" w:lineRule="auto"/>
        <w:ind w:left="0" w:right="0"/>
        <w:jc w:val="both"/>
      </w:pPr>
      <w:r>
        <w:rPr>
          <w:rFonts w:ascii="times new roman" w:hAnsi="times new roman" w:eastAsia="times new roman" w:cs="times new roman"/>
          <w:b/>
          <w:bCs/>
          <w:color w:val="000000"/>
          <w:sz w:val="24"/>
          <w:szCs w:val="24"/>
        </w:rPr>
        <w:t xml:space="preserve">Pozemek parc. č. 3298/2, 3298/4 v katastrálním území Výprachtice</w:t>
      </w:r>
    </w:p>
    <w:tbl>
      <w:tblPr>
        <w:tblStyle w:val="NormalTablePHPDOCX"/>
        <w:tblW w:w="5000" w:type="pct"/>
        <w:tblInd w:w="0" w:type="auto"/>
        <w:tblBorders/>
      </w:tblPr>
      <w:tblGrid>
        <w:gridCol/>
        <w:gridCol/>
        <w:gridCol/>
        <w:gridCol/>
        <w:gridCol/>
        <w:gridCol/>
      </w:tblGrid>
      <w:tr>
        <w:trPr>
          <w:trHeight w:val="0" w:hRule="atLeast"/>
        </w:trPr>
        <w:tc>
          <w:tcPr>
            <w:gridSpan w:val="6"/>
            <w:tcBorders>
              <w:top w:val="single" w:color="000000" w:sz="5"/>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Pozemek v katastrálním území Výprachtice, obec Výprachtice</w:t>
            </w:r>
          </w:p>
        </w:tc>
      </w:tr>
      <w:tr>
        <w:trPr>
          <w:trHeight w:val="0" w:hRule="atLeast"/>
        </w:trPr>
        <w:tc>
          <w:tcPr>
            <w:gridSpan w:val="6"/>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 </w:t>
            </w:r>
          </w:p>
        </w:tc>
      </w:tr>
      <w:tr>
        <w:trPr>
          <w:trHeight w:val="0" w:hRule="atLeast"/>
        </w:trPr>
        <w:tc>
          <w:tcPr>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č.</w:t>
            </w:r>
          </w:p>
        </w:tc>
        <w:tc>
          <w:tcPr>
            <w:tcBorders>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K1 - poloha</w:t>
            </w:r>
          </w:p>
        </w:tc>
        <w:tc>
          <w:tcPr>
            <w:tcBorders>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K2 - velikost</w:t>
            </w:r>
          </w:p>
        </w:tc>
        <w:tc>
          <w:tcPr>
            <w:tcBorders>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K3 - účel užití</w:t>
            </w:r>
          </w:p>
        </w:tc>
        <w:tc>
          <w:tcPr>
            <w:tcBorders>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K4 - inženýrské sítě</w:t>
            </w:r>
          </w:p>
        </w:tc>
        <w:tc>
          <w:tcPr>
            <w:tcBorders>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K5 - další vlastnosti</w:t>
            </w:r>
          </w:p>
        </w:tc>
      </w:tr>
      <w:tr>
        <w:trPr>
          <w:trHeight w:val="0" w:hRule="atLeast"/>
        </w:trPr>
        <w:tc>
          <w:tcPr>
            <w:gridSpan w:val="6"/>
            <w:tcBorders>
              <w:top w:val="single" w:color="000000" w:sz="5"/>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 </w:t>
            </w:r>
          </w:p>
        </w:tc>
      </w:tr>
      <w:tr>
        <w:trPr>
          <w:trHeight w:val="0" w:hRule="atLeast"/>
        </w:trPr>
        <w:tc>
          <w:tcPr>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Oceňovaný objekt</w:t>
            </w:r>
          </w:p>
        </w:tc>
        <w:tc>
          <w:tcPr>
            <w:tcBorders>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Výprachtice, Výprachtice, okres Ústí nad Orlicí</w:t>
            </w:r>
          </w:p>
        </w:tc>
        <w:tc>
          <w:tcPr>
            <w:tcBorders>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plocha 79 m</w:t>
            </w:r>
            <w:r>
              <w:rPr>
                <w:color w:val="000000"/>
                <w:position w:val="3"/>
                <w:sz w:val="13"/>
                <w:szCs w:val="13"/>
                <w:vertAlign w:val="superscript"/>
              </w:rPr>
              <w:t xml:space="preserve">2</w:t>
            </w:r>
          </w:p>
        </w:tc>
        <w:tc>
          <w:tcPr>
            <w:tcBorders>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louka, pastvina</w:t>
            </w:r>
          </w:p>
        </w:tc>
        <w:tc>
          <w:tcPr>
            <w:tcBorders>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bez sítí</w:t>
            </w:r>
          </w:p>
        </w:tc>
        <w:tc>
          <w:tcPr>
            <w:tcBorders>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svažitý, slouží jako část louky a pastviny, obhospodařovaný</w:t>
            </w:r>
          </w:p>
        </w:tc>
      </w:tr>
      <w:tr>
        <w:trPr>
          <w:trHeight w:val="0" w:hRule="atLeast"/>
        </w:trPr>
        <w:tc>
          <w:tcPr>
            <w:gridSpan w:val="6"/>
            <w:tcBorders>
              <w:top w:val="single" w:color="000000" w:sz="5"/>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 </w:t>
            </w:r>
          </w:p>
        </w:tc>
      </w:tr>
      <w:tr>
        <w:trPr>
          <w:trHeight w:val="0" w:hRule="atLeast"/>
        </w:trPr>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1</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Dolní Heřmanice, Horní Heřmanice, okres Ústí nad Orlicí</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plocha 1404 m</w:t>
            </w:r>
            <w:r>
              <w:rPr>
                <w:color w:val="000000"/>
                <w:position w:val="3"/>
                <w:sz w:val="13"/>
                <w:szCs w:val="13"/>
                <w:vertAlign w:val="superscript"/>
              </w:rPr>
              <w:t xml:space="preserve">2</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zemědělské využití</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bez sítí</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obhospodařovaný, jeden celek</w:t>
            </w:r>
          </w:p>
        </w:tc>
      </w:tr>
      <w:tr>
        <w:trPr>
          <w:trHeight w:val="0" w:hRule="atLeast"/>
        </w:trPr>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2</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Bartošovice v Orlických horách, okres Rychnov nad Kněžnou</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plocha 968 m</w:t>
            </w:r>
            <w:r>
              <w:rPr>
                <w:color w:val="000000"/>
                <w:position w:val="3"/>
                <w:sz w:val="13"/>
                <w:szCs w:val="13"/>
                <w:vertAlign w:val="superscript"/>
              </w:rPr>
              <w:t xml:space="preserve">2</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přírodní zeleň v okolí obce</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v dosahu</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neudržovaný, svažitý</w:t>
            </w:r>
          </w:p>
        </w:tc>
      </w:tr>
      <w:tr>
        <w:trPr>
          <w:trHeight w:val="0" w:hRule="atLeast"/>
        </w:trPr>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3</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Dlouhá Třebová, okres Ústí nad Orlicí</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plocha 4267 m</w:t>
            </w:r>
            <w:r>
              <w:rPr>
                <w:color w:val="000000"/>
                <w:position w:val="3"/>
                <w:sz w:val="13"/>
                <w:szCs w:val="13"/>
                <w:vertAlign w:val="superscript"/>
              </w:rPr>
              <w:t xml:space="preserve">2</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zemědělské využítí</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v dosahu</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mírně svažitý, udržovaný</w:t>
            </w:r>
          </w:p>
        </w:tc>
      </w:tr>
    </w:tbl>
    <w:p>
      <w:r>
        <w:br w:type="page"/>
      </w:r>
    </w:p>
    <w:tbl>
      <w:tblPr>
        <w:tblStyle w:val="NormalTablePHPDOCX"/>
        <w:tblW w:w="5000" w:type="pct"/>
        <w:tblInd w:w="0" w:type="auto"/>
        <w:tblBorders/>
      </w:tblPr>
      <w:tblGrid>
        <w:gridCol/>
        <w:gridCol/>
        <w:gridCol/>
        <w:gridCol/>
        <w:gridCol/>
        <w:gridCol/>
        <w:gridCol/>
        <w:gridCol/>
        <w:gridCol/>
        <w:gridCol/>
        <w:gridCol/>
        <w:gridCol/>
      </w:tblGrid>
      <w:tr>
        <w:trPr>
          <w:trHeight w:val="0" w:hRule="atLeast"/>
        </w:trPr>
        <w:tc>
          <w:tcPr>
            <w:tcBorders>
              <w:top w:val="single" w:color="000000" w:sz="5"/>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č</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Cena požadovaná resp. zaplacená za 1 m</w:t>
            </w:r>
            <w:r>
              <w:rPr>
                <w:b/>
                <w:bCs/>
                <w:color w:val="000000"/>
                <w:position w:val="3"/>
                <w:sz w:val="13"/>
                <w:szCs w:val="13"/>
                <w:vertAlign w:val="superscript"/>
              </w:rPr>
              <w:t xml:space="preserve">2</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Koef. redukce na pramen</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Cena po redukci na pramen</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K1 - poloha</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K2 - velikost</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K3 - účel užití</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K4 - inženýrské sítě</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K5 - další vlastnosti</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K6 - úvaha odhadce</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K1 x. x K6</w:t>
            </w:r>
          </w:p>
        </w:tc>
        <w:tc>
          <w:tcPr>
            <w:tcBorders>
              <w:top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Cena oceňovaného objektu odvozená ze srovnání</w:t>
            </w:r>
          </w:p>
        </w:tc>
      </w:tr>
      <w:tr>
        <w:trPr>
          <w:trHeight w:val="0" w:hRule="atLeast"/>
        </w:trPr>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1</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29,99 Kč</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Nepoužit</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29,99 Kč</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0.95</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0.9500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31,57 Kč</w:t>
            </w:r>
          </w:p>
        </w:tc>
      </w:tr>
      <w:tr>
        <w:trPr>
          <w:trHeight w:val="0" w:hRule="atLeast"/>
        </w:trPr>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2</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46,49 Kč</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Nepoužit</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46,49 Kč</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0.95</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0.95</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1.10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1.05</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0.95</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0.9903</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46,94 Kč</w:t>
            </w:r>
          </w:p>
        </w:tc>
      </w:tr>
      <w:tr>
        <w:trPr>
          <w:trHeight w:val="0" w:hRule="atLeast"/>
        </w:trPr>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center"/>
            </w:pPr>
            <w:r>
              <w:rPr>
                <w:b/>
                <w:bCs/>
                <w:color w:val="000000"/>
                <w:position w:val="-2"/>
                <w:sz w:val="15"/>
                <w:szCs w:val="15"/>
              </w:rPr>
              <w:t xml:space="preserve">3</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51,56 Kč</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Nepoužit</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51,56 Kč</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1.20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0.92</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1.10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1.05</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1.00</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1.2751</w:t>
            </w:r>
          </w:p>
        </w:tc>
        <w:tc>
          <w:tcPr>
            <w:tcBorders>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40,43 Kč</w:t>
            </w:r>
          </w:p>
        </w:tc>
      </w:tr>
      <w:tr>
        <w:trPr>
          <w:trHeight w:val="0" w:hRule="atLeast"/>
        </w:trPr>
        <w:tc>
          <w:tcPr>
            <w:gridSpan w:val="12"/>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   </w:t>
            </w:r>
          </w:p>
        </w:tc>
      </w:tr>
      <w:tr>
        <w:trPr>
          <w:trHeight w:val="0" w:hRule="atLeast"/>
        </w:trPr>
        <w:tc>
          <w:tcPr>
            <w:gridSpan w:val="11"/>
            <w:tcBorders>
              <w:left w:val="single" w:color="000000" w:sz="5"/>
              <w:bottom w:val="single" w:color="000000" w:sz="5"/>
            </w:tcBorders>
            <w:tcMar>
              <w:top w:w="15" w:type="dxa"/>
              <w:bottom w:w="15" w:type="dxa"/>
            </w:tcMar>
            <w:vAlign w:val="center"/>
          </w:tcPr>
          <w:p>
            <w:pPr>
              <w:widowControl w:val="on"/>
              <w:pBdr/>
              <w:spacing w:before="0" w:after="0" w:line="240" w:lineRule="auto"/>
              <w:ind w:left="0" w:right="0"/>
              <w:jc w:val="left"/>
            </w:pPr>
            <w:r>
              <w:rPr>
                <w:b/>
                <w:bCs/>
                <w:color w:val="000000"/>
                <w:position w:val="-2"/>
                <w:sz w:val="15"/>
                <w:szCs w:val="15"/>
              </w:rPr>
              <w:t xml:space="preserve">Celkem průměr</w:t>
            </w:r>
          </w:p>
        </w:tc>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39,65 Kč</w:t>
            </w:r>
          </w:p>
        </w:tc>
      </w:tr>
      <w:tr>
        <w:trPr>
          <w:trHeight w:val="0" w:hRule="atLeast"/>
        </w:trPr>
        <w:tc>
          <w:tcPr>
            <w:gridSpan w:val="11"/>
            <w:tcBorders>
              <w:left w:val="single" w:color="000000" w:sz="5"/>
              <w:bottom w:val="single" w:color="000000" w:sz="5"/>
            </w:tcBorders>
            <w:tcMar>
              <w:top w:w="15" w:type="dxa"/>
              <w:bottom w:w="15" w:type="dxa"/>
            </w:tcMar>
            <w:vAlign w:val="center"/>
          </w:tcPr>
          <w:p>
            <w:pPr>
              <w:widowControl w:val="on"/>
              <w:pBdr/>
              <w:spacing w:before="0" w:after="0" w:line="240" w:lineRule="auto"/>
              <w:ind w:left="0" w:right="0"/>
              <w:jc w:val="left"/>
            </w:pPr>
            <w:r>
              <w:rPr>
                <w:b/>
                <w:bCs/>
                <w:color w:val="000000"/>
                <w:position w:val="-2"/>
                <w:sz w:val="15"/>
                <w:szCs w:val="15"/>
              </w:rPr>
              <w:t xml:space="preserve">Minimum</w:t>
            </w:r>
          </w:p>
        </w:tc>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31,57 Kč</w:t>
            </w:r>
          </w:p>
        </w:tc>
      </w:tr>
      <w:tr>
        <w:trPr>
          <w:trHeight w:val="0" w:hRule="atLeast"/>
        </w:trPr>
        <w:tc>
          <w:tcPr>
            <w:gridSpan w:val="11"/>
            <w:tcBorders>
              <w:left w:val="single" w:color="000000" w:sz="5"/>
              <w:bottom w:val="single" w:color="000000" w:sz="5"/>
            </w:tcBorders>
            <w:tcMar>
              <w:top w:w="15" w:type="dxa"/>
              <w:bottom w:w="15" w:type="dxa"/>
            </w:tcMar>
            <w:vAlign w:val="center"/>
          </w:tcPr>
          <w:p>
            <w:pPr>
              <w:widowControl w:val="on"/>
              <w:pBdr/>
              <w:spacing w:before="0" w:after="0" w:line="240" w:lineRule="auto"/>
              <w:ind w:left="0" w:right="0"/>
              <w:jc w:val="left"/>
            </w:pPr>
            <w:r>
              <w:rPr>
                <w:b/>
                <w:bCs/>
                <w:color w:val="000000"/>
                <w:position w:val="-2"/>
                <w:sz w:val="15"/>
                <w:szCs w:val="15"/>
              </w:rPr>
              <w:t xml:space="preserve">Maximum</w:t>
            </w:r>
          </w:p>
        </w:tc>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46,94 Kč</w:t>
            </w:r>
          </w:p>
        </w:tc>
      </w:tr>
      <w:tr>
        <w:trPr>
          <w:trHeight w:val="0" w:hRule="atLeast"/>
        </w:trPr>
        <w:tc>
          <w:tcPr>
            <w:gridSpan w:val="11"/>
            <w:tcBorders>
              <w:left w:val="single" w:color="000000" w:sz="5"/>
              <w:bottom w:val="single" w:color="000000" w:sz="5"/>
            </w:tcBorders>
            <w:tcMar>
              <w:top w:w="15" w:type="dxa"/>
              <w:bottom w:w="15" w:type="dxa"/>
            </w:tcMar>
            <w:vAlign w:val="center"/>
          </w:tcPr>
          <w:p>
            <w:pPr>
              <w:widowControl w:val="on"/>
              <w:pBdr/>
              <w:spacing w:before="0" w:after="0" w:line="240" w:lineRule="auto"/>
              <w:ind w:left="0" w:right="0"/>
              <w:jc w:val="left"/>
            </w:pPr>
            <w:r>
              <w:rPr>
                <w:b/>
                <w:bCs/>
                <w:color w:val="000000"/>
                <w:position w:val="-2"/>
                <w:sz w:val="15"/>
                <w:szCs w:val="15"/>
              </w:rPr>
              <w:t xml:space="preserve">Směrodatná odchylka - s</w:t>
            </w:r>
          </w:p>
        </w:tc>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7,71 Kč</w:t>
            </w:r>
          </w:p>
        </w:tc>
      </w:tr>
      <w:tr>
        <w:trPr>
          <w:trHeight w:val="0" w:hRule="atLeast"/>
        </w:trPr>
        <w:tc>
          <w:tcPr>
            <w:gridSpan w:val="11"/>
            <w:tcBorders>
              <w:left w:val="single" w:color="000000" w:sz="5"/>
              <w:bottom w:val="single" w:color="000000" w:sz="5"/>
            </w:tcBorders>
            <w:tcMar>
              <w:top w:w="15" w:type="dxa"/>
              <w:bottom w:w="15" w:type="dxa"/>
            </w:tcMar>
            <w:vAlign w:val="center"/>
          </w:tcPr>
          <w:p>
            <w:pPr>
              <w:widowControl w:val="on"/>
              <w:pBdr/>
              <w:spacing w:before="0" w:after="0" w:line="240" w:lineRule="auto"/>
              <w:ind w:left="0" w:right="0"/>
              <w:jc w:val="left"/>
            </w:pPr>
            <w:r>
              <w:rPr>
                <w:b/>
                <w:bCs/>
                <w:color w:val="000000"/>
                <w:position w:val="-2"/>
                <w:sz w:val="15"/>
                <w:szCs w:val="15"/>
              </w:rPr>
              <w:t xml:space="preserve">Pravděpodobná spodní hranice - průměr - s</w:t>
            </w:r>
          </w:p>
        </w:tc>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31,94 Kč</w:t>
            </w:r>
          </w:p>
        </w:tc>
      </w:tr>
      <w:tr>
        <w:trPr>
          <w:trHeight w:val="0" w:hRule="atLeast"/>
        </w:trPr>
        <w:tc>
          <w:tcPr>
            <w:gridSpan w:val="11"/>
            <w:tcBorders>
              <w:left w:val="single" w:color="000000" w:sz="5"/>
              <w:bottom w:val="single" w:color="000000" w:sz="5"/>
            </w:tcBorders>
            <w:tcMar>
              <w:top w:w="15" w:type="dxa"/>
              <w:bottom w:w="15" w:type="dxa"/>
            </w:tcMar>
            <w:vAlign w:val="center"/>
          </w:tcPr>
          <w:p>
            <w:pPr>
              <w:widowControl w:val="on"/>
              <w:pBdr/>
              <w:spacing w:before="0" w:after="0" w:line="240" w:lineRule="auto"/>
              <w:ind w:left="0" w:right="0"/>
              <w:jc w:val="left"/>
            </w:pPr>
            <w:r>
              <w:rPr>
                <w:b/>
                <w:bCs/>
                <w:color w:val="000000"/>
                <w:position w:val="-2"/>
                <w:sz w:val="15"/>
                <w:szCs w:val="15"/>
              </w:rPr>
              <w:t xml:space="preserve">Pravděpodobná horní hranice - průměr + s</w:t>
            </w:r>
          </w:p>
        </w:tc>
        <w:tc>
          <w:tcPr>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47,36 Kč</w:t>
            </w:r>
          </w:p>
        </w:tc>
      </w:tr>
      <w:tr>
        <w:trPr>
          <w:trHeight w:val="0" w:hRule="atLeast"/>
        </w:trPr>
        <w:tc>
          <w:tcPr>
            <w:gridSpan w:val="12"/>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K1 - Koeficient úpravy na polohu nemovitosti</w:t>
            </w:r>
          </w:p>
        </w:tc>
      </w:tr>
      <w:tr>
        <w:trPr>
          <w:trHeight w:val="0" w:hRule="atLeast"/>
        </w:trPr>
        <w:tc>
          <w:tcPr>
            <w:gridSpan w:val="12"/>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K2 - Koeficient úpravy na velikost pozemku</w:t>
            </w:r>
          </w:p>
        </w:tc>
      </w:tr>
      <w:tr>
        <w:trPr>
          <w:trHeight w:val="0" w:hRule="atLeast"/>
        </w:trPr>
        <w:tc>
          <w:tcPr>
            <w:gridSpan w:val="12"/>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K3 - Koeficient úpravy na využití nemovitosti</w:t>
            </w:r>
          </w:p>
        </w:tc>
      </w:tr>
      <w:tr>
        <w:trPr>
          <w:trHeight w:val="0" w:hRule="atLeast"/>
        </w:trPr>
        <w:tc>
          <w:tcPr>
            <w:gridSpan w:val="12"/>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K4 - Koeficient úpravy dle vzdálenosti inženýrských sítí</w:t>
            </w:r>
          </w:p>
        </w:tc>
      </w:tr>
      <w:tr>
        <w:trPr>
          <w:trHeight w:val="0" w:hRule="atLeast"/>
        </w:trPr>
        <w:tc>
          <w:tcPr>
            <w:gridSpan w:val="12"/>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K5 - Koeficient úpravy na ev. další vlastnosti</w:t>
            </w:r>
          </w:p>
        </w:tc>
      </w:tr>
      <w:tr>
        <w:trPr>
          <w:trHeight w:val="0" w:hRule="atLeast"/>
        </w:trPr>
        <w:tc>
          <w:tcPr>
            <w:gridSpan w:val="12"/>
            <w:tcBorders>
              <w:left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K6 - Koeficient úpravy dle odborné úvahy odhadce (lepší - horší)</w:t>
            </w:r>
          </w:p>
        </w:tc>
      </w:tr>
      <w:tr>
        <w:trPr>
          <w:trHeight w:val="0" w:hRule="atLeast"/>
        </w:trPr>
        <w:tc>
          <w:tcPr>
            <w:gridSpan w:val="12"/>
            <w:tcBorders>
              <w:left w:val="single" w:color="000000" w:sz="5"/>
              <w:bottom w:val="single" w:color="000000" w:sz="5"/>
              <w:right w:val="single" w:color="000000" w:sz="5"/>
            </w:tcBorders>
            <w:tcMar>
              <w:top w:w="15" w:type="dxa"/>
              <w:bottom w:w="15" w:type="dxa"/>
            </w:tcMar>
            <w:vAlign w:val="center"/>
          </w:tcPr>
          <w:p>
            <w:pPr>
              <w:widowControl w:val="on"/>
              <w:pBdr/>
              <w:spacing w:before="0" w:after="0" w:line="240" w:lineRule="auto"/>
              <w:ind w:left="0" w:right="0"/>
              <w:jc w:val="left"/>
            </w:pPr>
            <w:r>
              <w:rPr>
                <w:color w:val="000000"/>
                <w:position w:val="-2"/>
                <w:sz w:val="15"/>
                <w:szCs w:val="15"/>
              </w:rPr>
              <w:t xml:space="preserve">Koeficient redukce na pramen ceny - u inzerce přiměřeně nižší</w:t>
            </w:r>
          </w:p>
        </w:tc>
      </w:tr>
    </w:tbl>
    <w:p>
      <w:pPr>
        <w:widowControl w:val="on"/>
        <w:pBdr/>
        <w:spacing w:before="240" w:after="240" w:line="240" w:lineRule="auto"/>
        <w:ind w:left="0" w:right="0"/>
        <w:jc w:val="left"/>
      </w:pPr>
      <w:r>
        <w:rPr>
          <w:color w:val="000000"/>
          <w:sz w:val="24"/>
          <w:szCs w:val="24"/>
        </w:rPr>
        <w:t xml:space="preserve">Komentář k nemovitosti č. 1: Celkový koeficient úpravy (K1 x. x K6) odráží vysokou podobnost vzorku a oceňované nemovitosti.</w:t>
      </w:r>
    </w:p>
    <w:p>
      <w:pPr>
        <w:widowControl w:val="on"/>
        <w:pBdr/>
        <w:spacing w:before="240" w:after="240" w:line="240" w:lineRule="auto"/>
        <w:ind w:left="0" w:right="0"/>
        <w:jc w:val="left"/>
      </w:pPr>
      <w:r>
        <w:rPr>
          <w:color w:val="000000"/>
          <w:sz w:val="24"/>
          <w:szCs w:val="24"/>
        </w:rPr>
        <w:t xml:space="preserve">Komentář k nemovitosti č. 2: Celkový koeficient úpravy (K1 x. x K6) odráží ve výsledku vysokou podobnost vzorku a oceňované nemovitosti.</w:t>
      </w:r>
    </w:p>
    <w:p>
      <w:pPr>
        <w:widowControl w:val="on"/>
        <w:pBdr/>
        <w:spacing w:before="240" w:after="240" w:line="240" w:lineRule="auto"/>
        <w:ind w:left="0" w:right="0"/>
        <w:jc w:val="left"/>
      </w:pPr>
      <w:r>
        <w:rPr>
          <w:color w:val="000000"/>
          <w:sz w:val="24"/>
          <w:szCs w:val="24"/>
        </w:rPr>
        <w:t xml:space="preserve">Komentář k nemovitosti č. 3: Srovnávaný vzorek má relativně lepší vlastnosti – zejména lokalita pozemku v blízkosti většího města. Z toho důvodu je celkový koeficient úpravy (K1 x. x K6) vyšší než 1.</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Komentář: Jedná se o podobné objekty ve srovnatelném stavu. Lokality jsou též srovnatelné.</w:t>
      </w:r>
    </w:p>
    <w:p>
      <w:pPr>
        <w:widowControl w:val="on"/>
        <w:pBdr/>
        <w:spacing w:before="240" w:after="240" w:line="240" w:lineRule="auto"/>
        <w:ind w:left="0" w:right="0"/>
        <w:jc w:val="left"/>
      </w:pPr>
      <w:r>
        <w:rPr>
          <w:rFonts w:ascii="times new roman" w:hAnsi="times new roman" w:eastAsia="times new roman" w:cs="times new roman"/>
          <w:b/>
          <w:bCs/>
          <w:color w:val="000000"/>
          <w:sz w:val="24"/>
          <w:szCs w:val="24"/>
        </w:rPr>
        <w:t xml:space="preserve">Srovnávací hodnota nemovitostí celkem:</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Na základě výše uvedených údajů a uvedených srovnávacích nemovitostí stanovujeme srovnávací hodnotu předmětné nemovitosti na</w:t>
      </w:r>
    </w:p>
    <w:p>
      <w:pPr>
        <w:widowControl w:val="on"/>
        <w:pBdr/>
        <w:spacing w:before="240" w:after="240" w:line="240" w:lineRule="auto"/>
        <w:ind w:left="0" w:right="0"/>
        <w:jc w:val="right"/>
      </w:pPr>
      <w:r>
        <w:rPr>
          <w:rFonts w:ascii="times new roman" w:hAnsi="times new roman" w:eastAsia="times new roman" w:cs="times new roman"/>
          <w:color w:val="000000"/>
          <w:sz w:val="24"/>
          <w:szCs w:val="24"/>
        </w:rPr>
        <w:t xml:space="preserve">39,65 Kč/m</w:t>
      </w:r>
      <w:r>
        <w:rPr>
          <w:rFonts w:ascii="times new roman" w:hAnsi="times new roman" w:eastAsia="times new roman" w:cs="times new roman"/>
          <w:color w:val="000000"/>
          <w:position w:val="4"/>
          <w:sz w:val="21"/>
          <w:szCs w:val="21"/>
          <w:vertAlign w:val="superscript"/>
        </w:rPr>
        <w:t xml:space="preserve">2</w:t>
      </w:r>
    </w:p>
    <w:p>
      <w:pPr>
        <w:widowControl w:val="on"/>
        <w:pBdr/>
        <w:spacing w:before="240" w:after="240" w:line="240" w:lineRule="auto"/>
        <w:ind w:left="0" w:right="0"/>
        <w:jc w:val="right"/>
      </w:pPr>
      <w:r>
        <w:rPr>
          <w:rFonts w:ascii="times new roman" w:hAnsi="times new roman" w:eastAsia="times new roman" w:cs="times new roman"/>
          <w:color w:val="000000"/>
          <w:sz w:val="24"/>
          <w:szCs w:val="24"/>
        </w:rPr>
        <w:t xml:space="preserve">*</w:t>
      </w:r>
    </w:p>
    <w:p>
      <w:pPr>
        <w:widowControl w:val="on"/>
        <w:pBdr/>
        <w:spacing w:before="240" w:after="240" w:line="240" w:lineRule="auto"/>
        <w:ind w:left="0" w:right="0"/>
        <w:jc w:val="right"/>
      </w:pPr>
      <w:r>
        <w:rPr>
          <w:color w:val="000000"/>
          <w:sz w:val="24"/>
          <w:szCs w:val="24"/>
        </w:rPr>
        <w:t xml:space="preserve">______________</w:t>
      </w:r>
      <w:r>
        <w:rPr>
          <w:rFonts w:ascii="times new roman" w:hAnsi="times new roman" w:eastAsia="times new roman" w:cs="times new roman"/>
          <w:color w:val="000000"/>
          <w:sz w:val="24"/>
          <w:szCs w:val="24"/>
          <w:u w:val="single"/>
        </w:rPr>
        <w:t xml:space="preserve">79 m</w:t>
      </w:r>
      <w:r>
        <w:rPr>
          <w:rFonts w:ascii="times new roman" w:hAnsi="times new roman" w:eastAsia="times new roman" w:cs="times new roman"/>
          <w:color w:val="000000"/>
          <w:position w:val="4"/>
          <w:sz w:val="21"/>
          <w:szCs w:val="21"/>
          <w:u w:val="single"/>
          <w:vertAlign w:val="superscript"/>
        </w:rPr>
        <w:t xml:space="preserve">2</w:t>
      </w:r>
    </w:p>
    <w:p>
      <w:pPr>
        <w:widowControl w:val="on"/>
        <w:pBdr/>
        <w:spacing w:before="240" w:after="240" w:line="240" w:lineRule="auto"/>
        <w:ind w:left="0" w:right="0"/>
        <w:jc w:val="right"/>
      </w:pPr>
      <w:r>
        <w:rPr>
          <w:rFonts w:ascii="times new roman" w:hAnsi="times new roman" w:eastAsia="times new roman" w:cs="times new roman"/>
          <w:b/>
          <w:bCs/>
          <w:color w:val="000000"/>
          <w:sz w:val="24"/>
          <w:szCs w:val="24"/>
        </w:rPr>
        <w:t xml:space="preserve">= 3.132 Kč</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Celková cena po zaokrouhlení:</w:t>
      </w:r>
    </w:p>
    <w:p>
      <w:pPr>
        <w:widowControl w:val="on"/>
        <w:pBdr/>
        <w:spacing w:before="240" w:after="240" w:line="240" w:lineRule="auto"/>
        <w:ind w:left="0" w:right="0"/>
        <w:jc w:val="right"/>
      </w:pPr>
      <w:r>
        <w:rPr>
          <w:rFonts w:ascii="times new roman" w:hAnsi="times new roman" w:eastAsia="times new roman" w:cs="times new roman"/>
          <w:b/>
          <w:bCs/>
          <w:color w:val="000000"/>
          <w:sz w:val="27"/>
          <w:szCs w:val="27"/>
        </w:rPr>
        <w:t xml:space="preserve">3.000,-- Kč</w:t>
      </w:r>
    </w:p>
    <w:p>
      <w:r>
        <w:br w:type="page"/>
      </w:r>
    </w:p>
    <w:p>
      <w:pPr>
        <w:widowControl w:val="on"/>
        <w:pBdr/>
        <w:spacing w:before="240" w:after="240" w:line="240" w:lineRule="auto"/>
        <w:ind w:left="0" w:right="0"/>
        <w:jc w:val="left"/>
      </w:pPr>
    </w:p>
    <w:p>
      <w:pPr>
        <w:widowControl w:val="on"/>
        <w:pBdr/>
        <w:spacing w:before="322" w:after="322" w:line="240" w:lineRule="auto"/>
        <w:ind w:left="0" w:right="0"/>
        <w:jc w:val="left"/>
        <w:outlineLvl w:val="0"/>
      </w:pPr>
      <w:r>
        <w:rPr>
          <w:rFonts w:ascii="times new roman" w:hAnsi="times new roman" w:eastAsia="times new roman" w:cs="times new roman"/>
          <w:b/>
          <w:bCs/>
          <w:color w:val="000000"/>
          <w:sz w:val="30"/>
          <w:szCs w:val="30"/>
        </w:rPr>
        <w:t xml:space="preserve">E. Rekapitulace, odůvodnění, kontrola:</w:t>
      </w:r>
    </w:p>
    <w:p>
      <w:pPr>
        <w:widowControl w:val="on"/>
        <w:pBdr/>
        <w:spacing w:before="240" w:after="240" w:line="240" w:lineRule="auto"/>
        <w:ind w:left="0" w:right="0"/>
        <w:jc w:val="left"/>
      </w:pPr>
      <w:r>
        <w:rPr>
          <w:rFonts w:ascii="times new roman" w:hAnsi="times new roman" w:eastAsia="times new roman" w:cs="times new roman"/>
          <w:color w:val="000000"/>
          <w:sz w:val="21"/>
          <w:szCs w:val="21"/>
        </w:rPr>
        <w:t xml:space="preserve">I) Ocenění dle platného cenového předpisu</w:t>
      </w:r>
    </w:p>
    <w:p>
      <w:pPr>
        <w:widowControl w:val="on"/>
        <w:pBdr/>
        <w:spacing w:before="240" w:after="240" w:line="240" w:lineRule="auto"/>
        <w:ind w:left="0" w:right="0"/>
        <w:jc w:val="right"/>
      </w:pPr>
      <w:r>
        <w:rPr>
          <w:rFonts w:ascii="times new roman" w:hAnsi="times new roman" w:eastAsia="times new roman" w:cs="times new roman"/>
          <w:b/>
          <w:bCs/>
          <w:color w:val="FF0000"/>
          <w:sz w:val="24"/>
          <w:szCs w:val="24"/>
        </w:rPr>
        <w:t xml:space="preserve">XXX XXX</w:t>
      </w:r>
      <w:r>
        <w:rPr>
          <w:rFonts w:ascii="times new roman" w:hAnsi="times new roman" w:eastAsia="times new roman" w:cs="times new roman"/>
          <w:b/>
          <w:bCs/>
          <w:color w:val="000000"/>
          <w:sz w:val="24"/>
          <w:szCs w:val="24"/>
        </w:rPr>
        <w:t xml:space="preserve">,-- Kč</w:t>
      </w:r>
    </w:p>
    <w:p>
      <w:pPr>
        <w:widowControl w:val="on"/>
        <w:pBdr/>
        <w:spacing w:before="240" w:after="240" w:line="240" w:lineRule="auto"/>
        <w:ind w:left="0" w:right="0"/>
        <w:jc w:val="left"/>
      </w:pPr>
      <w:r>
        <w:rPr>
          <w:rFonts w:ascii="times new roman" w:hAnsi="times new roman" w:eastAsia="times new roman" w:cs="times new roman"/>
          <w:color w:val="000000"/>
          <w:sz w:val="21"/>
          <w:szCs w:val="21"/>
        </w:rPr>
        <w:t xml:space="preserve">II) Ocenění tržním porovnáním</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Výsledek dle srovnávací metody</w:t>
      </w:r>
    </w:p>
    <w:p>
      <w:pPr>
        <w:widowControl w:val="on"/>
        <w:pBdr/>
        <w:spacing w:before="240" w:after="240" w:line="240" w:lineRule="auto"/>
        <w:ind w:left="0" w:right="0"/>
        <w:jc w:val="right"/>
      </w:pPr>
      <w:r>
        <w:rPr>
          <w:rFonts w:ascii="times new roman" w:hAnsi="times new roman" w:eastAsia="times new roman" w:cs="times new roman"/>
          <w:b/>
          <w:bCs/>
          <w:color w:val="000000"/>
          <w:sz w:val="24"/>
          <w:szCs w:val="24"/>
        </w:rPr>
        <w:t xml:space="preserve">3.000,-- Kč</w:t>
      </w:r>
    </w:p>
    <w:p>
      <w:pPr>
        <w:widowControl w:val="on"/>
        <w:pBdr/>
        <w:spacing w:before="240" w:after="240" w:line="240" w:lineRule="auto"/>
        <w:ind w:left="0" w:right="0"/>
        <w:jc w:val="left"/>
      </w:pPr>
    </w:p>
    <w:p>
      <w:pPr>
        <w:widowControl w:val="on"/>
        <w:pBdr/>
        <w:spacing w:before="240" w:after="240" w:line="240" w:lineRule="auto"/>
        <w:ind w:left="0" w:right="0"/>
        <w:jc w:val="left"/>
      </w:pPr>
      <w:r>
        <w:rPr>
          <w:rFonts w:ascii="times new roman" w:hAnsi="times new roman" w:eastAsia="times new roman" w:cs="times new roman"/>
          <w:b/>
          <w:bCs/>
          <w:color w:val="000000"/>
          <w:sz w:val="24"/>
          <w:szCs w:val="24"/>
        </w:rPr>
        <w:t xml:space="preserve">Výše uvedenými metodikami byly vypočteny dílčí ceny, které se stanou základem pro stanovení výsledné obvyklé ceny. </w:t>
      </w:r>
      <w:r>
        <w:rPr>
          <w:rFonts w:ascii="times new roman" w:hAnsi="times new roman" w:eastAsia="times new roman" w:cs="times new roman"/>
          <w:color w:val="000000"/>
          <w:sz w:val="24"/>
          <w:szCs w:val="24"/>
        </w:rPr>
        <w:t xml:space="preserve">Základní ceny pro ocenění podle oceňovací vyhlášky jsou vyhodnocované statisticky zpětně a jelikož ceny nemovitostí v posledních letech relativně rostou, může tak jít o příčinu rozdílu mezi cenami.</w:t>
      </w:r>
    </w:p>
    <w:p>
      <w:pPr>
        <w:widowControl w:val="on"/>
        <w:pBdr/>
        <w:spacing w:before="240" w:after="240" w:line="240" w:lineRule="auto"/>
        <w:ind w:left="0" w:right="0"/>
        <w:jc w:val="left"/>
      </w:pPr>
    </w:p>
    <w:p>
      <w:pPr>
        <w:widowControl w:val="on"/>
        <w:pBdr/>
        <w:spacing w:before="322" w:after="322" w:line="240" w:lineRule="auto"/>
        <w:ind w:left="0" w:right="0"/>
        <w:jc w:val="left"/>
        <w:outlineLvl w:val="0"/>
      </w:pPr>
      <w:r>
        <w:rPr>
          <w:rFonts w:ascii="times new roman" w:hAnsi="times new roman" w:eastAsia="times new roman" w:cs="times new roman"/>
          <w:b/>
          <w:bCs/>
          <w:color w:val="000000"/>
          <w:sz w:val="30"/>
          <w:szCs w:val="30"/>
        </w:rPr>
        <w:t xml:space="preserve">F. ZÁVĚR:</w:t>
      </w:r>
    </w:p>
    <w:p>
      <w:pPr>
        <w:widowControl w:val="on"/>
        <w:pBdr/>
        <w:spacing w:before="240" w:after="240" w:line="240" w:lineRule="auto"/>
        <w:ind w:left="0" w:right="0"/>
        <w:jc w:val="both"/>
      </w:pPr>
      <w:r>
        <w:rPr>
          <w:rFonts w:ascii="times new roman" w:hAnsi="times new roman" w:eastAsia="times new roman" w:cs="times new roman"/>
          <w:b/>
          <w:bCs/>
          <w:color w:val="000000"/>
          <w:sz w:val="24"/>
          <w:szCs w:val="24"/>
        </w:rPr>
        <w:t xml:space="preserve">Znalecký úkol: </w:t>
      </w:r>
      <w:r>
        <w:rPr>
          <w:rFonts w:ascii="times new roman" w:hAnsi="times new roman" w:eastAsia="times new roman" w:cs="times new roman"/>
          <w:color w:val="000000"/>
          <w:sz w:val="24"/>
          <w:szCs w:val="24"/>
        </w:rPr>
        <w:t xml:space="preserve">Výpočet a stanovení obvyklé ceny nemovitých věcí pro účel zjištění reálné tržní ceny.</w:t>
      </w:r>
    </w:p>
    <w:p>
      <w:pPr>
        <w:widowControl w:val="on"/>
        <w:pBdr/>
        <w:spacing w:before="240" w:after="240" w:line="240" w:lineRule="auto"/>
        <w:ind w:left="0" w:right="0"/>
        <w:jc w:val="both"/>
      </w:pPr>
      <w:r>
        <w:rPr>
          <w:rFonts w:ascii="times new roman" w:hAnsi="times new roman" w:eastAsia="times new roman" w:cs="times new roman"/>
          <w:b/>
          <w:bCs/>
          <w:color w:val="000000"/>
          <w:sz w:val="24"/>
          <w:szCs w:val="24"/>
        </w:rPr>
        <w:t xml:space="preserve">Na základě výše uvedených zjištění a s přihlédnutím ke stavu a k místním podmínkám polohy nemovitostí je obvyklá cena předmětné nemovitosti v daném místě a čase stanovena po zaokrouhlení na</w:t>
      </w:r>
    </w:p>
    <w:p>
      <w:pPr>
        <w:widowControl w:val="on"/>
        <w:pBdr/>
        <w:spacing w:before="240" w:after="240" w:line="240" w:lineRule="auto"/>
        <w:ind w:left="0" w:right="0"/>
        <w:jc w:val="right"/>
      </w:pPr>
      <w:r>
        <w:rPr>
          <w:rFonts w:ascii="times new roman" w:hAnsi="times new roman" w:eastAsia="times new roman" w:cs="times new roman"/>
          <w:b/>
          <w:bCs/>
          <w:color w:val="000000"/>
          <w:sz w:val="27"/>
          <w:szCs w:val="27"/>
        </w:rPr>
        <w:t xml:space="preserve">3.000 Kč</w:t>
      </w:r>
    </w:p>
    <w:p>
      <w:pPr>
        <w:widowControl w:val="on"/>
        <w:pBdr/>
        <w:spacing w:before="240" w:after="240" w:line="240" w:lineRule="auto"/>
        <w:ind w:left="0" w:right="0"/>
        <w:jc w:val="right"/>
      </w:pPr>
      <w:r>
        <w:rPr>
          <w:rFonts w:ascii="times new roman" w:hAnsi="times new roman" w:eastAsia="times new roman" w:cs="times new roman"/>
          <w:color w:val="000000"/>
          <w:sz w:val="24"/>
          <w:szCs w:val="24"/>
        </w:rPr>
        <w:t xml:space="preserve">Slovy: třitisíce korun</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Pro zpracování tohoto znaleckého posudku nebyl přibrán externí konzultant.</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Za zpracování znaleckého posudku byla sjednána smluvní odměna.</w:t>
      </w:r>
    </w:p>
    <w:p>
      <w:pPr>
        <w:widowControl w:val="on"/>
        <w:pBdr/>
        <w:spacing w:before="240" w:after="240" w:line="240" w:lineRule="auto"/>
        <w:ind w:left="0" w:right="0"/>
        <w:jc w:val="left"/>
      </w:pPr>
      <w:r>
        <w:rPr>
          <w:rFonts w:ascii="times new roman" w:hAnsi="times new roman" w:eastAsia="times new roman" w:cs="times new roman"/>
          <w:b/>
          <w:bCs/>
          <w:color w:val="000000"/>
          <w:sz w:val="24"/>
          <w:szCs w:val="24"/>
        </w:rPr>
        <w:t xml:space="preserve">Vypracoval:</w:t>
      </w:r>
    </w:p>
    <w:p>
      <w:pPr>
        <w:widowControl w:val="on"/>
        <w:pBdr/>
        <w:spacing w:before="240" w:after="240" w:line="240" w:lineRule="auto"/>
        <w:ind w:left="0" w:right="0"/>
        <w:jc w:val="left"/>
      </w:pPr>
      <w:r>
        <w:rPr>
          <w:color w:val="000000"/>
          <w:sz w:val="24"/>
          <w:szCs w:val="24"/>
        </w:rPr>
        <w:t xml:space="preserve">XP invest, s. r. o.-znalecký ústav v oboru Ekonomika, Ceny a odhady-nemovitosti, Jan Chroust</w:t>
      </w:r>
      <w:r>
        <w:rPr>
          <w:color w:val="000000"/>
          <w:sz w:val="24"/>
          <w:szCs w:val="24"/>
        </w:rPr>
        <w:br/>
        <w:t xml:space="preserve">Mánesova 1374/53, 12000 Praha</w:t>
      </w:r>
      <w:r>
        <w:rPr>
          <w:color w:val="000000"/>
          <w:sz w:val="24"/>
          <w:szCs w:val="24"/>
        </w:rPr>
        <w:br/>
        <w:t xml:space="preserve">Tel.: +420737858334</w:t>
      </w:r>
      <w:r>
        <w:rPr>
          <w:color w:val="000000"/>
          <w:sz w:val="24"/>
          <w:szCs w:val="24"/>
        </w:rPr>
        <w:br/>
        <w:t xml:space="preserve">Email: info@xpinvest.cz</w:t>
      </w:r>
    </w:p>
    <w:p>
      <w:pPr>
        <w:widowControl w:val="on"/>
        <w:pBdr/>
        <w:spacing w:before="240" w:after="240" w:line="240" w:lineRule="auto"/>
        <w:ind w:left="0" w:right="0"/>
        <w:jc w:val="left"/>
      </w:pPr>
      <w:r>
        <w:rPr>
          <w:rFonts w:ascii="times new roman" w:hAnsi="times new roman" w:eastAsia="times new roman" w:cs="times new roman"/>
          <w:color w:val="000000"/>
          <w:sz w:val="24"/>
          <w:szCs w:val="24"/>
        </w:rPr>
        <w:t xml:space="preserve">V Praze, dne 03.03.2021</w:t>
      </w:r>
    </w:p>
    <w:p>
      <w:pPr>
        <w:widowControl w:val="on"/>
        <w:pBdr/>
        <w:spacing w:before="240" w:after="240" w:line="240" w:lineRule="auto"/>
        <w:ind w:left="0" w:right="0"/>
        <w:jc w:val="left"/>
      </w:pPr>
    </w:p>
    <w:p>
      <w:pPr>
        <w:widowControl w:val="on"/>
        <w:pBdr/>
        <w:spacing w:before="322" w:after="322" w:line="240" w:lineRule="auto"/>
        <w:ind w:left="0" w:right="0"/>
        <w:jc w:val="left"/>
        <w:outlineLvl w:val="0"/>
      </w:pPr>
      <w:r>
        <w:rPr>
          <w:rFonts w:ascii="times new roman" w:hAnsi="times new roman" w:eastAsia="times new roman" w:cs="times new roman"/>
          <w:b/>
          <w:bCs/>
          <w:color w:val="000000"/>
          <w:sz w:val="30"/>
          <w:szCs w:val="30"/>
        </w:rPr>
        <w:t xml:space="preserve">G. Znalecká doložka</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Znalecký posudek jsme podali jako ústav kvalifikovaný pro výkon znalecké činnosti, jmenovaný podle ustanovení § 21 zákona č. 36/1967 Sb. o znalcích a tlumočnících, ve znění pozdějších předpisů, a ustanovením § 6 odst. 1 vyhlášky č. 37/1967 Sb. k provedení zákona o znalcích a tlumočnících, ve znění pozdějších předpisů, Ministerstvem spravedlnosti České republiky, č. j. 55/2012-OSD-SZN/9 ze dne 14. 6. 2012 do prvního oddílu seznamu ústavů kvalifikovaných pro znaleckou činnost v oboru ekonomika s rozsahem znaleckého oprávnění pro ceny a odhady nemovitostí.Znalecký posudek je zapsán pod pořadovým číslem xx-xx/2021 znaleckého deníku.</w:t>
      </w:r>
    </w:p>
    <w:p>
      <w:r>
        <w:br w:type="page"/>
      </w:r>
    </w:p>
    <w:p>
      <w:pPr>
        <w:widowControl w:val="on"/>
        <w:pBdr/>
        <w:spacing w:before="240" w:after="240" w:line="240" w:lineRule="auto"/>
        <w:ind w:left="0" w:right="0"/>
        <w:jc w:val="both"/>
      </w:pPr>
      <w:r>
        <w:rPr>
          <w:rFonts w:ascii="times new roman" w:hAnsi="times new roman" w:eastAsia="times new roman" w:cs="times new roman"/>
          <w:b/>
          <w:bCs/>
          <w:color w:val="000000"/>
          <w:sz w:val="30"/>
          <w:szCs w:val="30"/>
        </w:rPr>
        <w:t xml:space="preserve">H. Seznam příloh</w:t>
      </w:r>
    </w:p>
    <w:p>
      <w:pPr>
        <w:widowControl w:val="on"/>
        <w:pBdr/>
        <w:spacing w:before="240" w:after="240" w:line="240" w:lineRule="auto"/>
        <w:ind w:left="0" w:right="0"/>
        <w:jc w:val="both"/>
      </w:pPr>
      <w:r>
        <w:rPr>
          <w:rFonts w:ascii="times new roman" w:hAnsi="times new roman" w:eastAsia="times new roman" w:cs="times new roman"/>
          <w:color w:val="000000"/>
          <w:sz w:val="24"/>
          <w:szCs w:val="24"/>
        </w:rPr>
        <w:t xml:space="preserve">výpis z elektronické verze katastru nemovitostí, ortofoto mapa, fotodokumentace předmětu ocenění, výřez z územního plánu, srovnávané nemovitosti, výřez z povodňové mapy</w:t>
      </w:r>
    </w:p>
    <w:p>
      <w:pPr>
        <w:widowControl w:val="on"/>
        <w:pBdr/>
        <w:spacing w:before="240" w:after="240" w:line="240" w:lineRule="auto"/>
        <w:ind w:left="0" w:right="0"/>
        <w:jc w:val="left"/>
      </w:pPr>
      <w:r>
        <w:rPr>
          <w:rFonts w:ascii="times new roman" w:hAnsi="times new roman" w:eastAsia="times new roman" w:cs="times new roman"/>
          <w:b/>
          <w:bCs/>
          <w:color w:val="000000"/>
          <w:sz w:val="30"/>
          <w:szCs w:val="30"/>
        </w:rPr>
        <w:t xml:space="preserve">I. Přílohy</w:t>
      </w:r>
    </w:p>
    <w:p>
      <w:pPr>
        <w:widowControl w:val="on"/>
        <w:pBdr/>
        <w:spacing w:before="240" w:after="240" w:line="240" w:lineRule="auto"/>
        <w:ind w:left="0" w:right="0"/>
        <w:jc w:val="left"/>
      </w:pPr>
      <w:r>
        <w:rPr>
          <w:rFonts w:ascii="times new roman" w:hAnsi="times new roman" w:eastAsia="times new roman" w:cs="times new roman"/>
          <w:b/>
          <w:bCs/>
          <w:color w:val="000000"/>
          <w:sz w:val="27"/>
          <w:szCs w:val="27"/>
        </w:rPr>
        <w:t xml:space="preserve">Výpis z katastru nemovitostí a vyobrazení v katastrální mapě</w:t>
      </w:r>
    </w:p>
    <w:p>
      <w:pPr>
        <w:widowControl w:val="on"/>
        <w:pBdr/>
        <w:spacing w:before="240" w:after="240" w:line="240" w:lineRule="auto"/>
        <w:ind w:left="0" w:right="0"/>
        <w:jc w:val="left"/>
      </w:pPr>
    </w:p>
    <w:p>
      <w:r>
        <w:br w:type="page"/>
      </w:r>
    </w:p>
    <w:p>
      <w:pPr>
        <w:widowControl w:val="on"/>
        <w:pBdr/>
        <w:spacing w:before="240" w:after="240" w:line="240" w:lineRule="auto"/>
        <w:ind w:left="0" w:right="0"/>
        <w:jc w:val="left"/>
      </w:pPr>
      <w:r>
        <w:rPr>
          <w:rFonts w:ascii="times new roman" w:hAnsi="times new roman" w:eastAsia="times new roman" w:cs="times new roman"/>
          <w:b/>
          <w:bCs/>
          <w:color w:val="000000"/>
          <w:sz w:val="27"/>
          <w:szCs w:val="27"/>
        </w:rPr>
        <w:t xml:space="preserve">Pořízená fotodokumentace</w:t>
      </w:r>
    </w:p>
    <w:p>
      <w:pPr>
        <w:widowControl w:val="on"/>
        <w:pBdr/>
        <w:spacing w:before="240" w:after="240" w:line="240" w:lineRule="auto"/>
        <w:ind w:left="0" w:right="0"/>
        <w:jc w:val="left"/>
      </w:pPr>
    </w:p>
    <w:tbl>
      <w:tblPr>
        <w:tblStyle w:val="NormalTablePHPDOCX"/>
        <w:tblW w:w="0" w:type="auto"/>
        <w:tblCellSpacing w:w="30" w:type="dxa"/>
        <w:tblInd w:w="0" w:type="auto"/>
        <w:tblBorders/>
      </w:tblPr>
      <w:tblGrid>
        <w:gridCol/>
        <w:gridCol/>
      </w:tblGrid>
      <w:tr>
        <w:trPr>
          <w:trHeight w:val="0" w:hRule="atLeast"/>
        </w:trPr>
        <w:tc>
          <w:tcPr>
            <w:tcMar>
              <w:top w:w="15" w:type="dxa"/>
              <w:bottom w:w="15" w:type="dxa"/>
            </w:tcMar>
            <w:vAlign w:val="top"/>
          </w:tcPr>
          <w:p>
            <w:r>
              <w:rPr>
                <w:position w:val="-580"/>
              </w:rPr>
              <w:drawing>
                <wp:inline distT="0" distB="0" distL="0" distR="0">
                  <wp:extent cx="2772000" cy="3700800"/>
                  <wp:docPr id="11101660" name="name76646042358fb1bf9" descr="402b870599787f1126bde3ce75d70583ebbba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b870599787f1126bde3ce75d70583ebbba7bf.jpg"/>
                          <pic:cNvPicPr/>
                        </pic:nvPicPr>
                        <pic:blipFill>
                          <a:blip r:embed="rId41526042358fb1bf5" cstate="print"/>
                          <a:stretch>
                            <a:fillRect/>
                          </a:stretch>
                        </pic:blipFill>
                        <pic:spPr>
                          <a:xfrm>
                            <a:off x="0" y="0"/>
                            <a:ext cx="2772000" cy="3700800"/>
                          </a:xfrm>
                          <a:prstGeom prst="rect">
                            <a:avLst/>
                          </a:prstGeom>
                          <a:ln w="0">
                            <a:noFill/>
                          </a:ln>
                        </pic:spPr>
                      </pic:pic>
                    </a:graphicData>
                  </a:graphic>
                </wp:inline>
              </w:drawing>
            </w:r>
          </w:p>
        </w:tc>
        <w:tc>
          <w:tcPr>
            <w:tcMar>
              <w:top w:w="15" w:type="dxa"/>
              <w:bottom w:w="15" w:type="dxa"/>
            </w:tcMar>
            <w:vAlign w:val="top"/>
          </w:tcPr>
          <w:p>
            <w:r>
              <w:rPr>
                <w:position w:val="-580"/>
              </w:rPr>
              <w:drawing>
                <wp:inline distT="0" distB="0" distL="0" distR="0">
                  <wp:extent cx="2772000" cy="3700800"/>
                  <wp:docPr id="55137717" name="name50756042358fda2c7" descr="d1ab6a769c7a75c68d24078732354bebfe34d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ab6a769c7a75c68d24078732354bebfe34d2eb.jpg"/>
                          <pic:cNvPicPr/>
                        </pic:nvPicPr>
                        <pic:blipFill>
                          <a:blip r:embed="rId43616042358fda2c5" cstate="print"/>
                          <a:stretch>
                            <a:fillRect/>
                          </a:stretch>
                        </pic:blipFill>
                        <pic:spPr>
                          <a:xfrm>
                            <a:off x="0" y="0"/>
                            <a:ext cx="2772000" cy="3700800"/>
                          </a:xfrm>
                          <a:prstGeom prst="rect">
                            <a:avLst/>
                          </a:prstGeom>
                          <a:ln w="0">
                            <a:noFill/>
                          </a:ln>
                        </pic:spPr>
                      </pic:pic>
                    </a:graphicData>
                  </a:graphic>
                </wp:inline>
              </w:drawing>
            </w:r>
          </w:p>
        </w:tc>
      </w:tr>
      <w:tr>
        <w:trPr>
          <w:trHeight w:val="0" w:hRule="atLeast"/>
        </w:trPr>
        <w:tc>
          <w:tcPr>
            <w:tcMar>
              <w:top w:w="15" w:type="dxa"/>
              <w:bottom w:w="15" w:type="dxa"/>
            </w:tcMar>
            <w:vAlign w:val="top"/>
          </w:tcPr>
          <w:p>
            <w:r>
              <w:rPr>
                <w:position w:val="-318"/>
              </w:rPr>
              <w:drawing>
                <wp:inline distT="0" distB="0" distL="0" distR="0">
                  <wp:extent cx="2772000" cy="2080800"/>
                  <wp:docPr id="20960197" name="name98866042358fee0b7" descr="b16219021f7d91f4665db0e5ceefd6237c5b2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6219021f7d91f4665db0e5ceefd6237c5b2b7c.jpg"/>
                          <pic:cNvPicPr/>
                        </pic:nvPicPr>
                        <pic:blipFill>
                          <a:blip r:embed="rId87236042358fee0b6" cstate="print"/>
                          <a:stretch>
                            <a:fillRect/>
                          </a:stretch>
                        </pic:blipFill>
                        <pic:spPr>
                          <a:xfrm>
                            <a:off x="0" y="0"/>
                            <a:ext cx="2772000" cy="2080800"/>
                          </a:xfrm>
                          <a:prstGeom prst="rect">
                            <a:avLst/>
                          </a:prstGeom>
                          <a:ln w="0">
                            <a:noFill/>
                          </a:ln>
                        </pic:spPr>
                      </pic:pic>
                    </a:graphicData>
                  </a:graphic>
                </wp:inline>
              </w:drawing>
            </w:r>
          </w:p>
        </w:tc>
      </w:tr>
    </w:tbl>
    <w:p>
      <w:pPr>
        <w:widowControl w:val="on"/>
        <w:pBdr/>
        <w:spacing w:before="240" w:after="240" w:line="240" w:lineRule="auto"/>
        <w:ind w:left="0" w:right="0"/>
        <w:jc w:val="left"/>
      </w:pPr>
    </w:p>
    <w:p>
      <w:r>
        <w:br w:type="page"/>
      </w:r>
    </w:p>
    <w:p>
      <w:pPr>
        <w:widowControl w:val="on"/>
        <w:pBdr/>
        <w:spacing w:before="240" w:after="240" w:line="240" w:lineRule="auto"/>
        <w:ind w:left="0" w:right="0"/>
        <w:jc w:val="left"/>
      </w:pPr>
      <w:r>
        <w:rPr>
          <w:rFonts w:ascii="times new roman" w:hAnsi="times new roman" w:eastAsia="times new roman" w:cs="times new roman"/>
          <w:b/>
          <w:bCs/>
          <w:color w:val="000000"/>
          <w:sz w:val="27"/>
          <w:szCs w:val="27"/>
        </w:rPr>
        <w:t xml:space="preserve">Srovnávané nemovitosti</w:t>
      </w:r>
    </w:p>
    <w:p>
      <w:pPr>
        <w:widowControl w:val="on"/>
        <w:pBdr/>
        <w:spacing w:before="199" w:after="199" w:line="240" w:lineRule="auto"/>
        <w:ind w:left="0" w:right="0"/>
        <w:jc w:val="center"/>
        <w:outlineLvl w:val="1"/>
      </w:pPr>
      <w:r>
        <w:rPr>
          <w:b/>
          <w:bCs/>
          <w:color w:val="000000"/>
          <w:sz w:val="24"/>
          <w:szCs w:val="24"/>
        </w:rPr>
        <w:t xml:space="preserve"> Záznam o prodeji srovnávané nemovitosti č. 1 </w:t>
      </w:r>
    </w:p>
    <w:p>
      <w:pPr>
        <w:widowControl w:val="on"/>
        <w:pBdr/>
        <w:spacing w:before="240" w:after="240" w:line="240" w:lineRule="auto"/>
        <w:ind w:left="0" w:right="0"/>
        <w:jc w:val="left"/>
        <w:outlineLvl w:val="2"/>
      </w:pPr>
      <w:r>
        <w:rPr>
          <w:b/>
          <w:bCs/>
          <w:color w:val="000000"/>
          <w:sz w:val="24"/>
          <w:szCs w:val="24"/>
        </w:rPr>
        <w:t xml:space="preserve"> 1. Identifikace </w:t>
      </w:r>
    </w:p>
    <w:tbl>
      <w:tblPr>
        <w:tblStyle w:val="NormalTablePHPDOCX"/>
        <w:tblW w:w="5000" w:type="pct"/>
        <w:tblInd w:w="0" w:type="auto"/>
        <w:tblBorders/>
      </w:tblPr>
      <w:tblGrid>
        <w:gridCol/>
        <w:gridCol/>
      </w:tblGrid>
      <w:tr>
        <w:trPr>
          <w:trHeight w:val="0" w:hRule="atLeast"/>
        </w:trPr>
        <w:tc>
          <w:tcPr>
            <w:tcW w:w="2500" w:type="pct"/>
            <w:tcMar>
              <w:top w:w="15" w:type="dxa"/>
              <w:bottom w:w="15" w:type="dxa"/>
            </w:tcMar>
            <w:vAlign w:val="center"/>
          </w:tcPr>
          <w:p>
            <w:r>
              <w:rPr>
                <w:position w:val="-144"/>
              </w:rPr>
              <w:drawing>
                <wp:inline distT="0" distB="0" distL="0" distR="0">
                  <wp:extent cx="2520000" cy="1893600"/>
                  <wp:docPr id="14779864" name="name8966604235907bd2d" descr="83e4211f1ad0488ecd470cf706c8ff654c2bc11f994316e0926eb44910e9ad038f3b25e57e567e1d5a6187a7d996b8ee2b6c2db2f52fc270091f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e4211f1ad0488ecd470cf706c8ff654c2bc11f994316e0926eb44910e9ad038f3b25e57e567e1d5a6187a7d996b8ee2b6c2db2f52fc270091f13d"/>
                          <pic:cNvPicPr/>
                        </pic:nvPicPr>
                        <pic:blipFill>
                          <a:blip r:embed="rId6534604235907bd2a" cstate="print"/>
                          <a:stretch>
                            <a:fillRect/>
                          </a:stretch>
                        </pic:blipFill>
                        <pic:spPr>
                          <a:xfrm>
                            <a:off x="0" y="0"/>
                            <a:ext cx="2520000" cy="1893600"/>
                          </a:xfrm>
                          <a:prstGeom prst="rect">
                            <a:avLst/>
                          </a:prstGeom>
                          <a:ln w="0">
                            <a:noFill/>
                          </a:ln>
                        </pic:spPr>
                      </pic:pic>
                    </a:graphicData>
                  </a:graphic>
                </wp:inline>
              </w:drawing>
            </w:r>
          </w:p>
        </w:tc>
        <w:tc>
          <w:tcPr>
            <w:tcW w:w="2500" w:type="pct"/>
            <w:tcMar>
              <w:top w:w="15" w:type="dxa"/>
              <w:bottom w:w="15" w:type="dxa"/>
            </w:tcMar>
            <w:vAlign w:val="top"/>
          </w:tcPr>
          <w:p>
            <w:pPr>
              <w:widowControl w:val="on"/>
              <w:pBdr/>
              <w:spacing w:before="319" w:after="319" w:line="240" w:lineRule="auto"/>
              <w:ind w:left="0" w:right="0"/>
              <w:jc w:val="left"/>
              <w:textAlignment w:val="top"/>
              <w:outlineLvl w:val="3"/>
            </w:pPr>
            <w:r>
              <w:rPr>
                <w:b/>
                <w:bCs/>
                <w:color w:val="000000"/>
                <w:position w:val="0"/>
                <w:sz w:val="24"/>
                <w:szCs w:val="24"/>
              </w:rPr>
              <w:t xml:space="preserve">Prodej, Pozemek, 1404 m</w:t>
            </w:r>
            <w:r>
              <w:rPr>
                <w:b/>
                <w:bCs/>
                <w:color w:val="000000"/>
                <w:position w:val="4"/>
                <w:sz w:val="21"/>
                <w:szCs w:val="21"/>
                <w:vertAlign w:val="superscript"/>
              </w:rPr>
              <w:t xml:space="preserve">2</w:t>
            </w:r>
            <w:r>
              <w:rPr>
                <w:b/>
                <w:bCs/>
                <w:color w:val="000000"/>
                <w:position w:val="0"/>
                <w:sz w:val="24"/>
                <w:szCs w:val="24"/>
              </w:rPr>
              <w:t xml:space="preserve">, Dolní Heřmanice, Horní Heřmanice, okres Ústí nad Orlicí</w:t>
            </w:r>
          </w:p>
          <w:p>
            <w:pPr>
              <w:widowControl w:val="on"/>
              <w:pBdr/>
              <w:spacing w:before="240" w:after="240" w:line="240" w:lineRule="auto"/>
              <w:ind w:left="0" w:right="0"/>
              <w:jc w:val="left"/>
              <w:textAlignment w:val="top"/>
            </w:pPr>
            <w:r>
              <w:rPr>
                <w:b/>
                <w:bCs/>
                <w:color w:val="000000"/>
                <w:position w:val="0"/>
                <w:sz w:val="24"/>
                <w:szCs w:val="24"/>
              </w:rPr>
              <w:t xml:space="preserve">Celková cena: </w:t>
            </w:r>
            <w:r>
              <w:rPr>
                <w:color w:val="000000"/>
                <w:position w:val="0"/>
                <w:sz w:val="24"/>
                <w:szCs w:val="24"/>
              </w:rPr>
              <w:t xml:space="preserve"> 42.100 Kč </w:t>
            </w:r>
          </w:p>
          <w:p>
            <w:pPr>
              <w:widowControl w:val="on"/>
              <w:pBdr/>
              <w:spacing w:before="240" w:after="240" w:line="240" w:lineRule="auto"/>
              <w:ind w:left="0" w:right="0"/>
              <w:jc w:val="left"/>
              <w:textAlignment w:val="top"/>
            </w:pPr>
            <w:r>
              <w:rPr>
                <w:b/>
                <w:bCs/>
                <w:color w:val="000000"/>
                <w:position w:val="0"/>
                <w:sz w:val="24"/>
                <w:szCs w:val="24"/>
              </w:rPr>
              <w:t xml:space="preserve">Adresa:</w:t>
            </w:r>
            <w:r>
              <w:rPr>
                <w:color w:val="000000"/>
                <w:position w:val="0"/>
                <w:sz w:val="24"/>
                <w:szCs w:val="24"/>
              </w:rPr>
              <w:t xml:space="preserve"> Dolní Heřmanice, Horní Heřmanice, okres Ústí nad Orlicí </w:t>
            </w:r>
          </w:p>
        </w:tc>
      </w:tr>
    </w:tbl>
    <w:p>
      <w:pPr>
        <w:widowControl w:val="on"/>
        <w:pBdr/>
        <w:spacing w:before="240" w:after="240" w:line="240" w:lineRule="auto"/>
        <w:ind w:left="0" w:right="0"/>
        <w:jc w:val="left"/>
        <w:outlineLvl w:val="2"/>
      </w:pPr>
      <w:r>
        <w:rPr>
          <w:b/>
          <w:bCs/>
          <w:color w:val="000000"/>
          <w:sz w:val="24"/>
          <w:szCs w:val="24"/>
        </w:rPr>
        <w:t xml:space="preserve"> 2. Vývoj ceny nemovitosti </w:t>
      </w:r>
      <w:r>
        <w:rPr>
          <w:b/>
          <w:bCs/>
          <w:color w:val="000000"/>
          <w:sz w:val="21"/>
          <w:szCs w:val="21"/>
        </w:rPr>
        <w:t xml:space="preserve">(od začátku do konce období nabízení v realitní inzerci)</w:t>
      </w:r>
    </w:p>
    <w:p>
      <w:r>
        <w:drawing>
          <wp:inline distT="0" distB="0" distL="0" distR="0">
            <wp:extent cx="5400000" cy="2736000"/>
            <wp:docPr id="88399032" name="name7090604235907c080" descr="rZN%2BFQm28jwAAAABJRU5ErkJgg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N%2BFQm28jwAAAABJRU5ErkJggg%3D%3D"/>
                    <pic:cNvPicPr/>
                  </pic:nvPicPr>
                  <pic:blipFill>
                    <a:blip r:embed="rId3454604235907c07f" cstate="print"/>
                    <a:stretch>
                      <a:fillRect/>
                    </a:stretch>
                  </pic:blipFill>
                  <pic:spPr>
                    <a:xfrm>
                      <a:off x="0" y="0"/>
                      <a:ext cx="5400000" cy="2736000"/>
                    </a:xfrm>
                    <a:prstGeom prst="rect">
                      <a:avLst/>
                    </a:prstGeom>
                    <a:ln w="0">
                      <a:noFill/>
                    </a:ln>
                  </pic:spPr>
                </pic:pic>
              </a:graphicData>
            </a:graphic>
          </wp:inline>
        </w:drawing>
      </w:r>
      <w:r>
        <w:rPr>
          <w:color w:val="000000"/>
          <w:sz w:val="24"/>
          <w:szCs w:val="24"/>
        </w:rPr>
        <w:t xml:space="preserve">  </w:t>
      </w:r>
    </w:p>
    <w:p>
      <w:pPr>
        <w:widowControl w:val="on"/>
        <w:pBdr/>
        <w:spacing w:before="240" w:after="240" w:line="240" w:lineRule="auto"/>
        <w:ind w:left="0" w:right="0"/>
        <w:jc w:val="left"/>
        <w:outlineLvl w:val="2"/>
      </w:pPr>
      <w:r>
        <w:rPr>
          <w:b/>
          <w:bCs/>
          <w:color w:val="000000"/>
          <w:sz w:val="24"/>
          <w:szCs w:val="24"/>
        </w:rPr>
        <w:t xml:space="preserve"> 3. Celkový popis nemovitosti </w:t>
      </w:r>
      <w:r>
        <w:rPr>
          <w:b/>
          <w:bCs/>
          <w:color w:val="000000"/>
          <w:sz w:val="21"/>
          <w:szCs w:val="21"/>
        </w:rPr>
        <w:t xml:space="preserve">(dle dat uvedených v inzerci a v kupní smlouvě))</w:t>
      </w:r>
    </w:p>
    <w:tbl>
      <w:tblPr>
        <w:tblStyle w:val="NormalTablePHPDOCX"/>
        <w:tblW w:w="5000" w:type="pct"/>
        <w:tblInd w:w="0" w:type="auto"/>
        <w:tblBorders/>
      </w:tblPr>
      <w:tblGrid>
        <w:gridCol/>
        <w:gridCol/>
        <w:gridCol/>
        <w:gridCol/>
      </w:tblGrid>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Adresa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Dolní Heřmanice, Horní Heřmanice, okres Ústí nad Orlicí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Číslo řízení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V-6798/2020 </w:t>
            </w:r>
          </w:p>
        </w:tc>
      </w:tr>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Cena dle kupní smlouvy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42 100 Kč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Plocha pozemku (m2)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1404 </w:t>
            </w:r>
          </w:p>
        </w:tc>
      </w:tr>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Kupní smlouva podepsaná dne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29.07.2020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Současné využití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zemědělská půda </w:t>
            </w:r>
          </w:p>
        </w:tc>
      </w:tr>
    </w:tbl>
    <w:p>
      <w:pPr>
        <w:widowControl w:val="on"/>
        <w:pBdr/>
        <w:spacing w:before="319" w:after="319" w:line="240" w:lineRule="auto"/>
        <w:ind w:left="0" w:right="0"/>
        <w:jc w:val="left"/>
        <w:outlineLvl w:val="3"/>
      </w:pPr>
      <w:r>
        <w:rPr>
          <w:b/>
          <w:bCs/>
          <w:color w:val="000000"/>
          <w:sz w:val="24"/>
          <w:szCs w:val="24"/>
        </w:rPr>
        <w:t xml:space="preserve">Slovní popis</w:t>
      </w:r>
    </w:p>
    <w:p>
      <w:pPr>
        <w:widowControl w:val="on"/>
        <w:pBdr/>
        <w:spacing w:before="0" w:after="0" w:line="240" w:lineRule="auto"/>
        <w:ind w:left="0" w:right="0"/>
        <w:jc w:val="left"/>
      </w:pPr>
      <w:r>
        <w:rPr>
          <w:color w:val="000000"/>
          <w:sz w:val="24"/>
          <w:szCs w:val="24"/>
        </w:rPr>
        <w:t xml:space="preserve"> V okolí obce Horní Heřmanice v okrese Ústí nad Orlicí nabízíme k prodeji pozemek o výměře 1 404 m2. V katastru nemovitostí je veden jako trvalý travní porost. V současné době je obhospodařován na základě pachtovní smlouvy. Celková výměra je vedena ve veřejném registru půdy LPIS - možnost dotace. Dolní Heřmanice v Čechách je název katastrálního území. V případě zájmu nás neváhejte kontaktovat. </w:t>
      </w:r>
    </w:p>
    <w:p>
      <w:pPr>
        <w:widowControl w:val="on"/>
        <w:pBdr/>
        <w:spacing w:before="240" w:after="240" w:line="240" w:lineRule="auto"/>
        <w:ind w:left="0" w:right="0"/>
        <w:jc w:val="left"/>
        <w:outlineLvl w:val="2"/>
      </w:pPr>
      <w:r>
        <w:rPr>
          <w:b/>
          <w:bCs/>
          <w:color w:val="000000"/>
          <w:sz w:val="24"/>
          <w:szCs w:val="24"/>
        </w:rPr>
        <w:t xml:space="preserve"> 4. Fotodokumentace </w:t>
      </w:r>
    </w:p>
    <w:tbl>
      <w:tblPr>
        <w:tblStyle w:val="NormalTablePHPDOCX"/>
        <w:tblW w:w="5000" w:type="pct"/>
        <w:tblCellSpacing w:w="30" w:type="dxa"/>
        <w:tblInd w:w="0" w:type="auto"/>
        <w:tblBorders/>
      </w:tblPr>
      <w:tblGrid>
        <w:gridCol/>
        <w:gridCol/>
      </w:tblGrid>
      <w:tr>
        <w:trPr>
          <w:trHeight w:val="0" w:hRule="atLeast"/>
        </w:trPr>
        <w:tc>
          <w:tcPr>
            <w:tcMar>
              <w:top w:w="15" w:type="dxa"/>
              <w:bottom w:w="15" w:type="dxa"/>
            </w:tcMar>
            <w:vAlign w:val="center"/>
          </w:tcPr>
          <w:p>
            <w:r>
              <w:rPr>
                <w:position w:val="-159"/>
              </w:rPr>
              <w:drawing>
                <wp:inline distT="0" distB="0" distL="0" distR="0">
                  <wp:extent cx="2772000" cy="2080800"/>
                  <wp:docPr id="82661078" name="name582260423590d1130" descr="caeddd74bae15df87cff8d9c190f329234c6a8c7feab2c26ee0ce84e51135f71f797debbaa7c4ac30c1d2ffa5c41494011f0cd185da6cd654c0c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ddd74bae15df87cff8d9c190f329234c6a8c7feab2c26ee0ce84e51135f71f797debbaa7c4ac30c1d2ffa5c41494011f0cd185da6cd654c0cafb"/>
                          <pic:cNvPicPr/>
                        </pic:nvPicPr>
                        <pic:blipFill>
                          <a:blip r:embed="rId554760423590d112e" cstate="print"/>
                          <a:stretch>
                            <a:fillRect/>
                          </a:stretch>
                        </pic:blipFill>
                        <pic:spPr>
                          <a:xfrm>
                            <a:off x="0" y="0"/>
                            <a:ext cx="2772000" cy="2080800"/>
                          </a:xfrm>
                          <a:prstGeom prst="rect">
                            <a:avLst/>
                          </a:prstGeom>
                          <a:ln w="0">
                            <a:noFill/>
                          </a:ln>
                        </pic:spPr>
                      </pic:pic>
                    </a:graphicData>
                  </a:graphic>
                </wp:inline>
              </w:drawing>
            </w:r>
          </w:p>
        </w:tc>
        <w:tc>
          <w:tcPr>
            <w:tcMar>
              <w:top w:w="15" w:type="dxa"/>
              <w:bottom w:w="15" w:type="dxa"/>
            </w:tcMar>
            <w:vAlign w:val="center"/>
          </w:tcPr>
          <w:p>
            <w:r>
              <w:rPr>
                <w:position w:val="-159"/>
              </w:rPr>
              <w:drawing>
                <wp:inline distT="0" distB="0" distL="0" distR="0">
                  <wp:extent cx="2772000" cy="2080800"/>
                  <wp:docPr id="86239292" name="name9311604235912c05c" descr="e0c64c0e9ab1b60d528419d7f3cbbd24fd50ba0b12b13961387848df4b7b97d0aabbf9bd0f22e0b658f4805b0bb10ebbc48b39641f97c0cd6e07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64c0e9ab1b60d528419d7f3cbbd24fd50ba0b12b13961387848df4b7b97d0aabbf9bd0f22e0b658f4805b0bb10ebbc48b39641f97c0cd6e075ce"/>
                          <pic:cNvPicPr/>
                        </pic:nvPicPr>
                        <pic:blipFill>
                          <a:blip r:embed="rId6882604235912c05a" cstate="print"/>
                          <a:stretch>
                            <a:fillRect/>
                          </a:stretch>
                        </pic:blipFill>
                        <pic:spPr>
                          <a:xfrm>
                            <a:off x="0" y="0"/>
                            <a:ext cx="2772000" cy="2080800"/>
                          </a:xfrm>
                          <a:prstGeom prst="rect">
                            <a:avLst/>
                          </a:prstGeom>
                          <a:ln w="0">
                            <a:noFill/>
                          </a:ln>
                        </pic:spPr>
                      </pic:pic>
                    </a:graphicData>
                  </a:graphic>
                </wp:inline>
              </w:drawing>
            </w:r>
          </w:p>
        </w:tc>
      </w:tr>
    </w:tbl>
    <w:p>
      <w:pPr>
        <w:widowControl w:val="on"/>
        <w:pBdr/>
        <w:spacing w:before="240" w:after="240" w:line="240" w:lineRule="auto"/>
        <w:ind w:left="0" w:right="0"/>
        <w:jc w:val="left"/>
        <w:outlineLvl w:val="2"/>
      </w:pPr>
      <w:r>
        <w:rPr>
          <w:b/>
          <w:bCs/>
          <w:color w:val="000000"/>
          <w:sz w:val="24"/>
          <w:szCs w:val="24"/>
        </w:rPr>
        <w:t xml:space="preserve"> 5. Mapové zobrazení </w:t>
      </w:r>
    </w:p>
    <w:p>
      <w:r>
        <w:drawing>
          <wp:inline distT="0" distB="0" distL="0" distR="0">
            <wp:extent cx="4608000" cy="2520000"/>
            <wp:docPr id="31978484" name="name4316604235912c297" descr="2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3D%3D"/>
                    <pic:cNvPicPr/>
                  </pic:nvPicPr>
                  <pic:blipFill>
                    <a:blip r:embed="rId1422604235912c296" cstate="print"/>
                    <a:stretch>
                      <a:fillRect/>
                    </a:stretch>
                  </pic:blipFill>
                  <pic:spPr>
                    <a:xfrm>
                      <a:off x="0" y="0"/>
                      <a:ext cx="4608000" cy="2520000"/>
                    </a:xfrm>
                    <a:prstGeom prst="rect">
                      <a:avLst/>
                    </a:prstGeom>
                    <a:ln w="0">
                      <a:noFill/>
                    </a:ln>
                  </pic:spPr>
                </pic:pic>
              </a:graphicData>
            </a:graphic>
          </wp:inline>
        </w:drawing>
      </w:r>
    </w:p>
    <w:tbl>
      <w:tblPr>
        <w:tblStyle w:val="NormalTablePHPDOCX"/>
        <w:tblW w:w="9600" w:type="dxa"/>
        <w:tblCellSpacing w:w="30" w:type="dxa"/>
        <w:tblInd w:w="0" w:type="auto"/>
        <w:tblBorders/>
      </w:tblPr>
      <w:tblGrid>
        <w:gridCol/>
        <w:gridCol/>
        <w:gridCol/>
        <w:gridCol/>
      </w:tblGrid>
      <w:tr>
        <w:trPr>
          <w:trHeight w:val="0" w:hRule="atLeast"/>
        </w:trPr>
        <w:tc>
          <w:tcPr>
            <w:tcMar>
              <w:top w:w="15" w:type="dxa"/>
              <w:bottom w:w="15" w:type="dxa"/>
            </w:tcMar>
            <w:vAlign w:val="center"/>
          </w:tcPr>
          <w:p>
            <w:r>
              <w:rPr>
                <w:position w:val="-10"/>
              </w:rPr>
              <w:drawing>
                <wp:inline distT="0" distB="0" distL="0" distR="0">
                  <wp:extent cx="230400" cy="230400"/>
                  <wp:docPr id="80341096" name="name6934604235914224b" descr="blue-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dot.png"/>
                          <pic:cNvPicPr/>
                        </pic:nvPicPr>
                        <pic:blipFill>
                          <a:blip r:embed="rId94586042359142248" cstate="print"/>
                          <a:stretch>
                            <a:fillRect/>
                          </a:stretch>
                        </pic:blipFill>
                        <pic:spPr>
                          <a:xfrm>
                            <a:off x="0" y="0"/>
                            <a:ext cx="230400" cy="2304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 Oceňovaná nemovitost </w:t>
            </w:r>
          </w:p>
        </w:tc>
        <w:tc>
          <w:tcPr>
            <w:tcMar>
              <w:top w:w="15" w:type="dxa"/>
              <w:bottom w:w="15" w:type="dxa"/>
            </w:tcMar>
            <w:vAlign w:val="center"/>
          </w:tcPr>
          <w:p>
            <w:r>
              <w:rPr>
                <w:position w:val="-10"/>
              </w:rPr>
              <w:drawing>
                <wp:inline distT="0" distB="0" distL="0" distR="0">
                  <wp:extent cx="230400" cy="230400"/>
                  <wp:docPr id="95586181" name="name536360423591537bd" descr="green-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dot.png"/>
                          <pic:cNvPicPr/>
                        </pic:nvPicPr>
                        <pic:blipFill>
                          <a:blip r:embed="rId847760423591537bc" cstate="print"/>
                          <a:stretch>
                            <a:fillRect/>
                          </a:stretch>
                        </pic:blipFill>
                        <pic:spPr>
                          <a:xfrm>
                            <a:off x="0" y="0"/>
                            <a:ext cx="230400" cy="2304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 Srovnávaná nemovitost </w:t>
            </w:r>
          </w:p>
        </w:tc>
      </w:tr>
    </w:tbl>
    <w:p>
      <w:pPr>
        <w:widowControl w:val="on"/>
        <w:pBdr/>
        <w:spacing w:before="0" w:after="0" w:line="240" w:lineRule="auto"/>
        <w:ind w:left="0" w:right="0"/>
        <w:jc w:val="left"/>
      </w:pPr>
      <w:r>
        <w:rPr>
          <w:color w:val="000000"/>
          <w:sz w:val="24"/>
          <w:szCs w:val="24"/>
        </w:rPr>
        <w:t xml:space="preserve">  </w:t>
      </w:r>
    </w:p>
    <w:p>
      <w:pPr>
        <w:widowControl w:val="on"/>
        <w:pBdr/>
        <w:spacing w:before="199" w:after="199" w:line="240" w:lineRule="auto"/>
        <w:ind w:left="0" w:right="0"/>
        <w:jc w:val="center"/>
        <w:outlineLvl w:val="1"/>
      </w:pPr>
      <w:r>
        <w:rPr>
          <w:b/>
          <w:bCs/>
          <w:color w:val="000000"/>
          <w:sz w:val="24"/>
          <w:szCs w:val="24"/>
        </w:rPr>
        <w:t xml:space="preserve"> Záznam o prodeji srovnávané nemovitosti č. 2 </w:t>
      </w:r>
    </w:p>
    <w:p>
      <w:pPr>
        <w:widowControl w:val="on"/>
        <w:pBdr/>
        <w:spacing w:before="240" w:after="240" w:line="240" w:lineRule="auto"/>
        <w:ind w:left="0" w:right="0"/>
        <w:jc w:val="left"/>
        <w:outlineLvl w:val="2"/>
      </w:pPr>
      <w:r>
        <w:rPr>
          <w:b/>
          <w:bCs/>
          <w:color w:val="000000"/>
          <w:sz w:val="24"/>
          <w:szCs w:val="24"/>
        </w:rPr>
        <w:t xml:space="preserve"> 1. Identifikace </w:t>
      </w:r>
    </w:p>
    <w:tbl>
      <w:tblPr>
        <w:tblStyle w:val="NormalTablePHPDOCX"/>
        <w:tblW w:w="5000" w:type="pct"/>
        <w:tblInd w:w="0" w:type="auto"/>
        <w:tblBorders/>
      </w:tblPr>
      <w:tblGrid>
        <w:gridCol/>
        <w:gridCol/>
      </w:tblGrid>
      <w:tr>
        <w:trPr>
          <w:trHeight w:val="0" w:hRule="atLeast"/>
        </w:trPr>
        <w:tc>
          <w:tcPr>
            <w:tcW w:w="2500" w:type="pct"/>
            <w:tcMar>
              <w:top w:w="15" w:type="dxa"/>
              <w:bottom w:w="15" w:type="dxa"/>
            </w:tcMar>
            <w:vAlign w:val="center"/>
          </w:tcPr>
          <w:p>
            <w:r>
              <w:rPr>
                <w:position w:val="-144"/>
              </w:rPr>
              <w:drawing>
                <wp:inline distT="0" distB="0" distL="0" distR="0">
                  <wp:extent cx="2520000" cy="1893600"/>
                  <wp:docPr id="96652875" name="name555160423591a3d5c" descr="87300c2b864df697dc0695f25ca5b11bc137f8e766557f69fbb3282ffa555b7b474506763fa2bdc68109db00e63d970c5e9f894174bb001b92d5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00c2b864df697dc0695f25ca5b11bc137f8e766557f69fbb3282ffa555b7b474506763fa2bdc68109db00e63d970c5e9f894174bb001b92d5ed9"/>
                          <pic:cNvPicPr/>
                        </pic:nvPicPr>
                        <pic:blipFill>
                          <a:blip r:embed="rId313560423591a3d5b" cstate="print"/>
                          <a:stretch>
                            <a:fillRect/>
                          </a:stretch>
                        </pic:blipFill>
                        <pic:spPr>
                          <a:xfrm>
                            <a:off x="0" y="0"/>
                            <a:ext cx="2520000" cy="1893600"/>
                          </a:xfrm>
                          <a:prstGeom prst="rect">
                            <a:avLst/>
                          </a:prstGeom>
                          <a:ln w="0">
                            <a:noFill/>
                          </a:ln>
                        </pic:spPr>
                      </pic:pic>
                    </a:graphicData>
                  </a:graphic>
                </wp:inline>
              </w:drawing>
            </w:r>
          </w:p>
        </w:tc>
        <w:tc>
          <w:tcPr>
            <w:tcW w:w="2500" w:type="pct"/>
            <w:tcMar>
              <w:top w:w="15" w:type="dxa"/>
              <w:bottom w:w="15" w:type="dxa"/>
            </w:tcMar>
            <w:vAlign w:val="top"/>
          </w:tcPr>
          <w:p>
            <w:pPr>
              <w:widowControl w:val="on"/>
              <w:pBdr/>
              <w:spacing w:before="319" w:after="319" w:line="240" w:lineRule="auto"/>
              <w:ind w:left="0" w:right="0"/>
              <w:jc w:val="left"/>
              <w:textAlignment w:val="top"/>
              <w:outlineLvl w:val="3"/>
            </w:pPr>
            <w:r>
              <w:rPr>
                <w:b/>
                <w:bCs/>
                <w:color w:val="000000"/>
                <w:position w:val="0"/>
                <w:sz w:val="24"/>
                <w:szCs w:val="24"/>
              </w:rPr>
              <w:t xml:space="preserve">Prodej, Pozemek, 968 m</w:t>
            </w:r>
            <w:r>
              <w:rPr>
                <w:b/>
                <w:bCs/>
                <w:color w:val="000000"/>
                <w:position w:val="4"/>
                <w:sz w:val="21"/>
                <w:szCs w:val="21"/>
                <w:vertAlign w:val="superscript"/>
              </w:rPr>
              <w:t xml:space="preserve">2</w:t>
            </w:r>
            <w:r>
              <w:rPr>
                <w:b/>
                <w:bCs/>
                <w:color w:val="000000"/>
                <w:position w:val="0"/>
                <w:sz w:val="24"/>
                <w:szCs w:val="24"/>
              </w:rPr>
              <w:t xml:space="preserve">, Bartošovice v Orlických horách, okres Rychnov nad Kněžnou</w:t>
            </w:r>
          </w:p>
          <w:p>
            <w:pPr>
              <w:widowControl w:val="on"/>
              <w:pBdr/>
              <w:spacing w:before="240" w:after="240" w:line="240" w:lineRule="auto"/>
              <w:ind w:left="0" w:right="0"/>
              <w:jc w:val="left"/>
              <w:textAlignment w:val="top"/>
            </w:pPr>
            <w:r>
              <w:rPr>
                <w:b/>
                <w:bCs/>
                <w:color w:val="000000"/>
                <w:position w:val="0"/>
                <w:sz w:val="24"/>
                <w:szCs w:val="24"/>
              </w:rPr>
              <w:t xml:space="preserve">Celková cena: </w:t>
            </w:r>
            <w:r>
              <w:rPr>
                <w:color w:val="000000"/>
                <w:position w:val="0"/>
                <w:sz w:val="24"/>
                <w:szCs w:val="24"/>
              </w:rPr>
              <w:t xml:space="preserve"> 45.000 Kč </w:t>
            </w:r>
          </w:p>
          <w:p>
            <w:pPr>
              <w:widowControl w:val="on"/>
              <w:pBdr/>
              <w:spacing w:before="240" w:after="240" w:line="240" w:lineRule="auto"/>
              <w:ind w:left="0" w:right="0"/>
              <w:jc w:val="left"/>
              <w:textAlignment w:val="top"/>
            </w:pPr>
            <w:r>
              <w:rPr>
                <w:b/>
                <w:bCs/>
                <w:color w:val="000000"/>
                <w:position w:val="0"/>
                <w:sz w:val="24"/>
                <w:szCs w:val="24"/>
              </w:rPr>
              <w:t xml:space="preserve">Adresa:</w:t>
            </w:r>
            <w:r>
              <w:rPr>
                <w:color w:val="000000"/>
                <w:position w:val="0"/>
                <w:sz w:val="24"/>
                <w:szCs w:val="24"/>
              </w:rPr>
              <w:t xml:space="preserve"> Bartošovice v Orlických horách, okres Rychnov nad Kněžnou </w:t>
            </w:r>
          </w:p>
        </w:tc>
      </w:tr>
    </w:tbl>
    <w:p>
      <w:pPr>
        <w:widowControl w:val="on"/>
        <w:pBdr/>
        <w:spacing w:before="240" w:after="240" w:line="240" w:lineRule="auto"/>
        <w:ind w:left="0" w:right="0"/>
        <w:jc w:val="left"/>
        <w:outlineLvl w:val="2"/>
      </w:pPr>
      <w:r>
        <w:rPr>
          <w:b/>
          <w:bCs/>
          <w:color w:val="000000"/>
          <w:sz w:val="24"/>
          <w:szCs w:val="24"/>
        </w:rPr>
        <w:t xml:space="preserve"> 2. Vývoj ceny nemovitosti </w:t>
      </w:r>
      <w:r>
        <w:rPr>
          <w:b/>
          <w:bCs/>
          <w:color w:val="000000"/>
          <w:sz w:val="21"/>
          <w:szCs w:val="21"/>
        </w:rPr>
        <w:t xml:space="preserve">(od začátku do konce období nabízení v realitní inzerci)</w:t>
      </w:r>
    </w:p>
    <w:p>
      <w:r>
        <w:drawing>
          <wp:inline distT="0" distB="0" distL="0" distR="0">
            <wp:extent cx="5400000" cy="2736000"/>
            <wp:docPr id="67640850" name="name333560423591a3fd5" descr="j3b06uE4HKzG9qiDURwTugiAIgiAIgtAAiHuwgiAIgiAIgtAAiMBdEARBEARBEBoAEbgLgiAIgiAIQgMgAndBEARBEARBaABE4C4IgiAIgiAIDYAI3AVBEARBEAShARCBuyAIgiAIgiA0ACJwFwRBEARBEIQGQATugiAIgiAIgtAAiMBdEARBEARBEBoAEbgLgiAIgiAIQgMgAndBEARBEARBaAD%2BD%2BSk9QR023dO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3b06uE4HKzG9qiDURwTugiAIgiAIgtAAiHuwgiAIgiAIgtAAiMBdEARBEARBEBoAEbgLgiAIgiAIQgMgAndBEARBEARBaABE4C4IgiAIgiAIDYAI3AVBEARBEAShARCBuyAIgiAIgiA0ACJwFwRBEARBEIQGQATugiAIgiAIgtAAiMBdEARBEARBEBoAEbgLgiAIgiAIQgMgAndBEARBEARBaAD%2BD%2BSk9QR023dOAAAAAElFTkSuQmCC"/>
                    <pic:cNvPicPr/>
                  </pic:nvPicPr>
                  <pic:blipFill>
                    <a:blip r:embed="rId570160423591a3fd4" cstate="print"/>
                    <a:stretch>
                      <a:fillRect/>
                    </a:stretch>
                  </pic:blipFill>
                  <pic:spPr>
                    <a:xfrm>
                      <a:off x="0" y="0"/>
                      <a:ext cx="5400000" cy="2736000"/>
                    </a:xfrm>
                    <a:prstGeom prst="rect">
                      <a:avLst/>
                    </a:prstGeom>
                    <a:ln w="0">
                      <a:noFill/>
                    </a:ln>
                  </pic:spPr>
                </pic:pic>
              </a:graphicData>
            </a:graphic>
          </wp:inline>
        </w:drawing>
      </w:r>
      <w:r>
        <w:rPr>
          <w:color w:val="000000"/>
          <w:sz w:val="24"/>
          <w:szCs w:val="24"/>
        </w:rPr>
        <w:t xml:space="preserve">  </w:t>
      </w:r>
    </w:p>
    <w:p>
      <w:pPr>
        <w:widowControl w:val="on"/>
        <w:pBdr/>
        <w:spacing w:before="240" w:after="240" w:line="240" w:lineRule="auto"/>
        <w:ind w:left="0" w:right="0"/>
        <w:jc w:val="left"/>
        <w:outlineLvl w:val="2"/>
      </w:pPr>
      <w:r>
        <w:rPr>
          <w:b/>
          <w:bCs/>
          <w:color w:val="000000"/>
          <w:sz w:val="24"/>
          <w:szCs w:val="24"/>
        </w:rPr>
        <w:t xml:space="preserve"> 3. Celkový popis nemovitosti </w:t>
      </w:r>
      <w:r>
        <w:rPr>
          <w:b/>
          <w:bCs/>
          <w:color w:val="000000"/>
          <w:sz w:val="21"/>
          <w:szCs w:val="21"/>
        </w:rPr>
        <w:t xml:space="preserve">(dle dat uvedených v inzerci a v kupní smlouvě))</w:t>
      </w:r>
    </w:p>
    <w:tbl>
      <w:tblPr>
        <w:tblStyle w:val="NormalTablePHPDOCX"/>
        <w:tblW w:w="5000" w:type="pct"/>
        <w:tblInd w:w="0" w:type="auto"/>
        <w:tblBorders/>
      </w:tblPr>
      <w:tblGrid>
        <w:gridCol/>
        <w:gridCol/>
        <w:gridCol/>
        <w:gridCol/>
      </w:tblGrid>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Adresa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Bartošovice v Orlických horách, okres Rychnov nad Kněžnou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Číslo řízení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V-2085/2020 </w:t>
            </w:r>
          </w:p>
        </w:tc>
      </w:tr>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Cena dle kupní smlouvy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45 000 Kč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Plocha pozemku (m2)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968 </w:t>
            </w:r>
          </w:p>
        </w:tc>
      </w:tr>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Kupní smlouva podepsaná dne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27.04.2020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Současné využití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zemědělská půda </w:t>
            </w:r>
          </w:p>
        </w:tc>
      </w:tr>
    </w:tbl>
    <w:p>
      <w:pPr>
        <w:widowControl w:val="on"/>
        <w:pBdr/>
        <w:spacing w:before="319" w:after="319" w:line="240" w:lineRule="auto"/>
        <w:ind w:left="0" w:right="0"/>
        <w:jc w:val="left"/>
        <w:outlineLvl w:val="3"/>
      </w:pPr>
      <w:r>
        <w:rPr>
          <w:b/>
          <w:bCs/>
          <w:color w:val="000000"/>
          <w:sz w:val="24"/>
          <w:szCs w:val="24"/>
        </w:rPr>
        <w:t xml:space="preserve">Slovní popis</w:t>
      </w:r>
    </w:p>
    <w:p>
      <w:pPr>
        <w:widowControl w:val="on"/>
        <w:pBdr/>
        <w:spacing w:before="0" w:after="0" w:line="240" w:lineRule="auto"/>
        <w:ind w:left="0" w:right="0"/>
        <w:jc w:val="left"/>
      </w:pPr>
      <w:r>
        <w:rPr>
          <w:color w:val="000000"/>
          <w:sz w:val="24"/>
          <w:szCs w:val="24"/>
        </w:rPr>
        <w:t xml:space="preserve"> Nabízíme k prodeji pozemky nacházející se v okolí obce Bartošovice v Orlických horách. Celková rozloha pozemků je 968 m². Bartošovice v Orlických horách jsou malou pohraniční obcí v okrese Rychnov nad Kněžnou, v kraji Královéhradeckém. Obec se rozkládá na pravém břehu Divoké Orlice, která zde vytváří přírodní hranici s Polskem a asi 12 km severovýchodně od města Žamberk. Průměrná nadmořská výška obce je 580 m.n.m.. Hospodařícím zemědělcům nabízíme zdarma kompletní poradenskou činnost při vyřízení dotace od PGRLF na nákup pozemků, což v praxi znamená v podstatě slevu ve výši cca 400 000,- Kč! V případě zájmu nás kdykoliv kontaktujte. </w:t>
      </w:r>
    </w:p>
    <w:p>
      <w:pPr>
        <w:widowControl w:val="on"/>
        <w:pBdr/>
        <w:spacing w:before="240" w:after="240" w:line="240" w:lineRule="auto"/>
        <w:ind w:left="0" w:right="0"/>
        <w:jc w:val="left"/>
        <w:outlineLvl w:val="2"/>
      </w:pPr>
      <w:r>
        <w:rPr>
          <w:b/>
          <w:bCs/>
          <w:color w:val="000000"/>
          <w:sz w:val="24"/>
          <w:szCs w:val="24"/>
        </w:rPr>
        <w:t xml:space="preserve"> 4. Fotodokumentace </w:t>
      </w:r>
    </w:p>
    <w:tbl>
      <w:tblPr>
        <w:tblStyle w:val="NormalTablePHPDOCX"/>
        <w:tblW w:w="5000" w:type="pct"/>
        <w:tblCellSpacing w:w="30" w:type="dxa"/>
        <w:tblInd w:w="0" w:type="auto"/>
        <w:tblBorders/>
      </w:tblPr>
      <w:tblGrid>
        <w:gridCol/>
        <w:gridCol/>
      </w:tblGrid>
      <w:tr>
        <w:trPr>
          <w:trHeight w:val="0" w:hRule="atLeast"/>
        </w:trPr>
        <w:tc>
          <w:tcPr>
            <w:tcMar>
              <w:top w:w="15" w:type="dxa"/>
              <w:bottom w:w="15" w:type="dxa"/>
            </w:tcMar>
            <w:vAlign w:val="center"/>
          </w:tcPr>
          <w:p>
            <w:r>
              <w:rPr>
                <w:position w:val="-159"/>
              </w:rPr>
              <w:drawing>
                <wp:inline distT="0" distB="0" distL="0" distR="0">
                  <wp:extent cx="2772000" cy="2080800"/>
                  <wp:docPr id="63504399" name="name2921604235920335a" descr="82e2ed6235cc08efe7e4263291671fbdd5566e44648b651f90a5002b2259d55081d91bbe6454d82f4dd73822b4cedc24412a928509b42b9aecaf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e2ed6235cc08efe7e4263291671fbdd5566e44648b651f90a5002b2259d55081d91bbe6454d82f4dd73822b4cedc24412a928509b42b9aecaf9bc"/>
                          <pic:cNvPicPr/>
                        </pic:nvPicPr>
                        <pic:blipFill>
                          <a:blip r:embed="rId74876042359203356" cstate="print"/>
                          <a:stretch>
                            <a:fillRect/>
                          </a:stretch>
                        </pic:blipFill>
                        <pic:spPr>
                          <a:xfrm>
                            <a:off x="0" y="0"/>
                            <a:ext cx="2772000" cy="2080800"/>
                          </a:xfrm>
                          <a:prstGeom prst="rect">
                            <a:avLst/>
                          </a:prstGeom>
                          <a:ln w="0">
                            <a:noFill/>
                          </a:ln>
                        </pic:spPr>
                      </pic:pic>
                    </a:graphicData>
                  </a:graphic>
                </wp:inline>
              </w:drawing>
            </w:r>
          </w:p>
        </w:tc>
        <w:tc>
          <w:tcPr>
            <w:tcMar>
              <w:top w:w="15" w:type="dxa"/>
              <w:bottom w:w="15" w:type="dxa"/>
            </w:tcMar>
            <w:vAlign w:val="center"/>
          </w:tcPr>
          <w:p>
            <w:r>
              <w:rPr>
                <w:position w:val="-159"/>
              </w:rPr>
              <w:drawing>
                <wp:inline distT="0" distB="0" distL="0" distR="0">
                  <wp:extent cx="2772000" cy="2080800"/>
                  <wp:docPr id="26142449" name="name97616042359252351" descr="e569d47858338cc5f91a7d7784fe2ac7dd5ed7f6bd867cbc1b23fe68e489b5d1b7bbf454c802afffedeb7cb82ad7114a58fb7eb38d110d267924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69d47858338cc5f91a7d7784fe2ac7dd5ed7f6bd867cbc1b23fe68e489b5d1b7bbf454c802afffedeb7cb82ad7114a58fb7eb38d110d267924b86"/>
                          <pic:cNvPicPr/>
                        </pic:nvPicPr>
                        <pic:blipFill>
                          <a:blip r:embed="rId5198604235925234d" cstate="print"/>
                          <a:stretch>
                            <a:fillRect/>
                          </a:stretch>
                        </pic:blipFill>
                        <pic:spPr>
                          <a:xfrm>
                            <a:off x="0" y="0"/>
                            <a:ext cx="2772000" cy="2080800"/>
                          </a:xfrm>
                          <a:prstGeom prst="rect">
                            <a:avLst/>
                          </a:prstGeom>
                          <a:ln w="0">
                            <a:noFill/>
                          </a:ln>
                        </pic:spPr>
                      </pic:pic>
                    </a:graphicData>
                  </a:graphic>
                </wp:inline>
              </w:drawing>
            </w:r>
          </w:p>
        </w:tc>
      </w:tr>
      <w:tr>
        <w:trPr>
          <w:trHeight w:val="0" w:hRule="atLeast"/>
        </w:trPr>
        <w:tc>
          <w:tcPr>
            <w:tcMar>
              <w:top w:w="15" w:type="dxa"/>
              <w:bottom w:w="15" w:type="dxa"/>
            </w:tcMar>
            <w:vAlign w:val="center"/>
          </w:tcPr>
          <w:p>
            <w:r>
              <w:rPr>
                <w:position w:val="-159"/>
              </w:rPr>
              <w:drawing>
                <wp:inline distT="0" distB="0" distL="0" distR="0">
                  <wp:extent cx="2772000" cy="2080800"/>
                  <wp:docPr id="36861906" name="name709460423592b3e7b" descr="9f39ac2d05ebe97274dc11f1d56f0f29c09245c1d59eb08a1fcf76e736e7febd3ba3cedfefa7614eef4b977d806a42e5391c3e00c6a34db5ebe3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39ac2d05ebe97274dc11f1d56f0f29c09245c1d59eb08a1fcf76e736e7febd3ba3cedfefa7614eef4b977d806a42e5391c3e00c6a34db5ebe3da9"/>
                          <pic:cNvPicPr/>
                        </pic:nvPicPr>
                        <pic:blipFill>
                          <a:blip r:embed="rId238560423592b3e79" cstate="print"/>
                          <a:stretch>
                            <a:fillRect/>
                          </a:stretch>
                        </pic:blipFill>
                        <pic:spPr>
                          <a:xfrm>
                            <a:off x="0" y="0"/>
                            <a:ext cx="2772000" cy="2080800"/>
                          </a:xfrm>
                          <a:prstGeom prst="rect">
                            <a:avLst/>
                          </a:prstGeom>
                          <a:ln w="0">
                            <a:noFill/>
                          </a:ln>
                        </pic:spPr>
                      </pic:pic>
                    </a:graphicData>
                  </a:graphic>
                </wp:inline>
              </w:drawing>
            </w:r>
          </w:p>
        </w:tc>
      </w:tr>
    </w:tbl>
    <w:p>
      <w:pPr>
        <w:widowControl w:val="on"/>
        <w:pBdr/>
        <w:spacing w:before="240" w:after="240" w:line="240" w:lineRule="auto"/>
        <w:ind w:left="0" w:right="0"/>
        <w:jc w:val="left"/>
        <w:outlineLvl w:val="2"/>
      </w:pPr>
      <w:r>
        <w:rPr>
          <w:b/>
          <w:bCs/>
          <w:color w:val="000000"/>
          <w:sz w:val="24"/>
          <w:szCs w:val="24"/>
        </w:rPr>
        <w:t xml:space="preserve"> 5. Mapové zobrazení </w:t>
      </w:r>
    </w:p>
    <w:p>
      <w:r>
        <w:drawing>
          <wp:inline distT="0" distB="0" distL="0" distR="0">
            <wp:extent cx="4608000" cy="2520000"/>
            <wp:docPr id="66392630" name="name103960423592b4298" descr="9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3D"/>
                    <pic:cNvPicPr/>
                  </pic:nvPicPr>
                  <pic:blipFill>
                    <a:blip r:embed="rId481660423592b4297" cstate="print"/>
                    <a:stretch>
                      <a:fillRect/>
                    </a:stretch>
                  </pic:blipFill>
                  <pic:spPr>
                    <a:xfrm>
                      <a:off x="0" y="0"/>
                      <a:ext cx="4608000" cy="2520000"/>
                    </a:xfrm>
                    <a:prstGeom prst="rect">
                      <a:avLst/>
                    </a:prstGeom>
                    <a:ln w="0">
                      <a:noFill/>
                    </a:ln>
                  </pic:spPr>
                </pic:pic>
              </a:graphicData>
            </a:graphic>
          </wp:inline>
        </w:drawing>
      </w:r>
    </w:p>
    <w:tbl>
      <w:tblPr>
        <w:tblStyle w:val="NormalTablePHPDOCX"/>
        <w:tblW w:w="9600" w:type="dxa"/>
        <w:tblCellSpacing w:w="30" w:type="dxa"/>
        <w:tblInd w:w="0" w:type="auto"/>
        <w:tblBorders/>
      </w:tblPr>
      <w:tblGrid>
        <w:gridCol/>
        <w:gridCol/>
        <w:gridCol/>
        <w:gridCol/>
      </w:tblGrid>
      <w:tr>
        <w:trPr>
          <w:trHeight w:val="0" w:hRule="atLeast"/>
        </w:trPr>
        <w:tc>
          <w:tcPr>
            <w:tcMar>
              <w:top w:w="15" w:type="dxa"/>
              <w:bottom w:w="15" w:type="dxa"/>
            </w:tcMar>
            <w:vAlign w:val="center"/>
          </w:tcPr>
          <w:p>
            <w:r>
              <w:rPr>
                <w:position w:val="-10"/>
              </w:rPr>
              <w:drawing>
                <wp:inline distT="0" distB="0" distL="0" distR="0">
                  <wp:extent cx="230400" cy="230400"/>
                  <wp:docPr id="12939377" name="name633260423592c5df1" descr="blue-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dot.png"/>
                          <pic:cNvPicPr/>
                        </pic:nvPicPr>
                        <pic:blipFill>
                          <a:blip r:embed="rId876760423592c5ded" cstate="print"/>
                          <a:stretch>
                            <a:fillRect/>
                          </a:stretch>
                        </pic:blipFill>
                        <pic:spPr>
                          <a:xfrm>
                            <a:off x="0" y="0"/>
                            <a:ext cx="230400" cy="2304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 Oceňovaná nemovitost </w:t>
            </w:r>
          </w:p>
        </w:tc>
        <w:tc>
          <w:tcPr>
            <w:tcMar>
              <w:top w:w="15" w:type="dxa"/>
              <w:bottom w:w="15" w:type="dxa"/>
            </w:tcMar>
            <w:vAlign w:val="center"/>
          </w:tcPr>
          <w:p>
            <w:r>
              <w:rPr>
                <w:position w:val="-10"/>
              </w:rPr>
              <w:drawing>
                <wp:inline distT="0" distB="0" distL="0" distR="0">
                  <wp:extent cx="230400" cy="230400"/>
                  <wp:docPr id="39134954" name="name506660423592d8608" descr="green-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dot.png"/>
                          <pic:cNvPicPr/>
                        </pic:nvPicPr>
                        <pic:blipFill>
                          <a:blip r:embed="rId172360423592d8606" cstate="print"/>
                          <a:stretch>
                            <a:fillRect/>
                          </a:stretch>
                        </pic:blipFill>
                        <pic:spPr>
                          <a:xfrm>
                            <a:off x="0" y="0"/>
                            <a:ext cx="230400" cy="2304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 Srovnávaná nemovitost </w:t>
            </w:r>
          </w:p>
        </w:tc>
      </w:tr>
    </w:tbl>
    <w:p>
      <w:pPr>
        <w:widowControl w:val="on"/>
        <w:pBdr/>
        <w:spacing w:before="0" w:after="0" w:line="240" w:lineRule="auto"/>
        <w:ind w:left="0" w:right="0"/>
        <w:jc w:val="left"/>
      </w:pPr>
      <w:r>
        <w:rPr>
          <w:color w:val="000000"/>
          <w:sz w:val="24"/>
          <w:szCs w:val="24"/>
        </w:rPr>
        <w:t xml:space="preserve">  </w:t>
      </w:r>
    </w:p>
    <w:p>
      <w:pPr>
        <w:widowControl w:val="on"/>
        <w:pBdr/>
        <w:spacing w:before="199" w:after="199" w:line="240" w:lineRule="auto"/>
        <w:ind w:left="0" w:right="0"/>
        <w:jc w:val="center"/>
        <w:outlineLvl w:val="1"/>
      </w:pPr>
      <w:r>
        <w:rPr>
          <w:b/>
          <w:bCs/>
          <w:color w:val="000000"/>
          <w:sz w:val="24"/>
          <w:szCs w:val="24"/>
        </w:rPr>
        <w:t xml:space="preserve"> Záznam o prodeji srovnávané nemovitosti č. 3 </w:t>
      </w:r>
    </w:p>
    <w:p>
      <w:pPr>
        <w:widowControl w:val="on"/>
        <w:pBdr/>
        <w:spacing w:before="240" w:after="240" w:line="240" w:lineRule="auto"/>
        <w:ind w:left="0" w:right="0"/>
        <w:jc w:val="left"/>
        <w:outlineLvl w:val="2"/>
      </w:pPr>
      <w:r>
        <w:rPr>
          <w:b/>
          <w:bCs/>
          <w:color w:val="000000"/>
          <w:sz w:val="24"/>
          <w:szCs w:val="24"/>
        </w:rPr>
        <w:t xml:space="preserve"> 1. Identifikace </w:t>
      </w:r>
    </w:p>
    <w:tbl>
      <w:tblPr>
        <w:tblStyle w:val="NormalTablePHPDOCX"/>
        <w:tblW w:w="5000" w:type="pct"/>
        <w:tblInd w:w="0" w:type="auto"/>
        <w:tblBorders/>
      </w:tblPr>
      <w:tblGrid>
        <w:gridCol/>
        <w:gridCol/>
      </w:tblGrid>
      <w:tr>
        <w:trPr>
          <w:trHeight w:val="0" w:hRule="atLeast"/>
        </w:trPr>
        <w:tc>
          <w:tcPr>
            <w:tcW w:w="2500" w:type="pct"/>
            <w:tcMar>
              <w:top w:w="15" w:type="dxa"/>
              <w:bottom w:w="15" w:type="dxa"/>
            </w:tcMar>
            <w:vAlign w:val="center"/>
          </w:tcPr>
          <w:p>
            <w:r>
              <w:rPr>
                <w:position w:val="-144"/>
              </w:rPr>
              <w:drawing>
                <wp:inline distT="0" distB="0" distL="0" distR="0">
                  <wp:extent cx="2520000" cy="1893600"/>
                  <wp:docPr id="4863480" name="name2617604235932c347" descr="87c945aa49ab49ab88318e501c3684a4cbeff1e1a9f57978557ed88fda50a945a2733effb669d3b8f2ad55e1b000d19867e18f6c877ea9983fb0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c945aa49ab49ab88318e501c3684a4cbeff1e1a9f57978557ed88fda50a945a2733effb669d3b8f2ad55e1b000d19867e18f6c877ea9983fb096f"/>
                          <pic:cNvPicPr/>
                        </pic:nvPicPr>
                        <pic:blipFill>
                          <a:blip r:embed="rId4616604235932c345" cstate="print"/>
                          <a:stretch>
                            <a:fillRect/>
                          </a:stretch>
                        </pic:blipFill>
                        <pic:spPr>
                          <a:xfrm>
                            <a:off x="0" y="0"/>
                            <a:ext cx="2520000" cy="1893600"/>
                          </a:xfrm>
                          <a:prstGeom prst="rect">
                            <a:avLst/>
                          </a:prstGeom>
                          <a:ln w="0">
                            <a:noFill/>
                          </a:ln>
                        </pic:spPr>
                      </pic:pic>
                    </a:graphicData>
                  </a:graphic>
                </wp:inline>
              </w:drawing>
            </w:r>
          </w:p>
        </w:tc>
        <w:tc>
          <w:tcPr>
            <w:tcW w:w="2500" w:type="pct"/>
            <w:tcMar>
              <w:top w:w="15" w:type="dxa"/>
              <w:bottom w:w="15" w:type="dxa"/>
            </w:tcMar>
            <w:vAlign w:val="top"/>
          </w:tcPr>
          <w:p>
            <w:pPr>
              <w:widowControl w:val="on"/>
              <w:pBdr/>
              <w:spacing w:before="319" w:after="319" w:line="240" w:lineRule="auto"/>
              <w:ind w:left="0" w:right="0"/>
              <w:jc w:val="left"/>
              <w:textAlignment w:val="top"/>
              <w:outlineLvl w:val="3"/>
            </w:pPr>
            <w:r>
              <w:rPr>
                <w:b/>
                <w:bCs/>
                <w:color w:val="000000"/>
                <w:position w:val="0"/>
                <w:sz w:val="24"/>
                <w:szCs w:val="24"/>
              </w:rPr>
              <w:t xml:space="preserve">Prodej, Pozemek, 4267 m</w:t>
            </w:r>
            <w:r>
              <w:rPr>
                <w:b/>
                <w:bCs/>
                <w:color w:val="000000"/>
                <w:position w:val="4"/>
                <w:sz w:val="21"/>
                <w:szCs w:val="21"/>
                <w:vertAlign w:val="superscript"/>
              </w:rPr>
              <w:t xml:space="preserve">2</w:t>
            </w:r>
            <w:r>
              <w:rPr>
                <w:b/>
                <w:bCs/>
                <w:color w:val="000000"/>
                <w:position w:val="0"/>
                <w:sz w:val="24"/>
                <w:szCs w:val="24"/>
              </w:rPr>
              <w:t xml:space="preserve">, Dlouhá Třebová, okres Ústí nad Orlicí</w:t>
            </w:r>
          </w:p>
          <w:p>
            <w:pPr>
              <w:widowControl w:val="on"/>
              <w:pBdr/>
              <w:spacing w:before="240" w:after="240" w:line="240" w:lineRule="auto"/>
              <w:ind w:left="0" w:right="0"/>
              <w:jc w:val="left"/>
              <w:textAlignment w:val="top"/>
            </w:pPr>
            <w:r>
              <w:rPr>
                <w:b/>
                <w:bCs/>
                <w:color w:val="000000"/>
                <w:position w:val="0"/>
                <w:sz w:val="24"/>
                <w:szCs w:val="24"/>
              </w:rPr>
              <w:t xml:space="preserve">Celková cena: </w:t>
            </w:r>
            <w:r>
              <w:rPr>
                <w:color w:val="000000"/>
                <w:position w:val="0"/>
                <w:sz w:val="24"/>
                <w:szCs w:val="24"/>
              </w:rPr>
              <w:t xml:space="preserve"> 220.000 Kč </w:t>
            </w:r>
          </w:p>
          <w:p>
            <w:pPr>
              <w:widowControl w:val="on"/>
              <w:pBdr/>
              <w:spacing w:before="240" w:after="240" w:line="240" w:lineRule="auto"/>
              <w:ind w:left="0" w:right="0"/>
              <w:jc w:val="left"/>
              <w:textAlignment w:val="top"/>
            </w:pPr>
            <w:r>
              <w:rPr>
                <w:b/>
                <w:bCs/>
                <w:color w:val="000000"/>
                <w:position w:val="0"/>
                <w:sz w:val="24"/>
                <w:szCs w:val="24"/>
              </w:rPr>
              <w:t xml:space="preserve">Adresa:</w:t>
            </w:r>
            <w:r>
              <w:rPr>
                <w:color w:val="000000"/>
                <w:position w:val="0"/>
                <w:sz w:val="24"/>
                <w:szCs w:val="24"/>
              </w:rPr>
              <w:t xml:space="preserve"> Dlouhá Třebová, okres Ústí nad Orlicí </w:t>
            </w:r>
          </w:p>
        </w:tc>
      </w:tr>
    </w:tbl>
    <w:p>
      <w:pPr>
        <w:widowControl w:val="on"/>
        <w:pBdr/>
        <w:spacing w:before="240" w:after="240" w:line="240" w:lineRule="auto"/>
        <w:ind w:left="0" w:right="0"/>
        <w:jc w:val="left"/>
        <w:outlineLvl w:val="2"/>
      </w:pPr>
      <w:r>
        <w:rPr>
          <w:b/>
          <w:bCs/>
          <w:color w:val="000000"/>
          <w:sz w:val="24"/>
          <w:szCs w:val="24"/>
        </w:rPr>
        <w:t xml:space="preserve"> 2. Vývoj ceny nemovitosti </w:t>
      </w:r>
      <w:r>
        <w:rPr>
          <w:b/>
          <w:bCs/>
          <w:color w:val="000000"/>
          <w:sz w:val="21"/>
          <w:szCs w:val="21"/>
        </w:rPr>
        <w:t xml:space="preserve">(od začátku do konce období nabízení v realitní inzerci)</w:t>
      </w:r>
    </w:p>
    <w:p>
      <w:r>
        <w:drawing>
          <wp:inline distT="0" distB="0" distL="0" distR="0">
            <wp:extent cx="5400000" cy="2736000"/>
            <wp:docPr id="1542408" name="name2035604235932c62f" descr="B3lceqlpE7w%2B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lceqlpE7w%2BAAAAAElFTkSuQmCC"/>
                    <pic:cNvPicPr/>
                  </pic:nvPicPr>
                  <pic:blipFill>
                    <a:blip r:embed="rId8100604235932c62e" cstate="print"/>
                    <a:stretch>
                      <a:fillRect/>
                    </a:stretch>
                  </pic:blipFill>
                  <pic:spPr>
                    <a:xfrm>
                      <a:off x="0" y="0"/>
                      <a:ext cx="5400000" cy="2736000"/>
                    </a:xfrm>
                    <a:prstGeom prst="rect">
                      <a:avLst/>
                    </a:prstGeom>
                    <a:ln w="0">
                      <a:noFill/>
                    </a:ln>
                  </pic:spPr>
                </pic:pic>
              </a:graphicData>
            </a:graphic>
          </wp:inline>
        </w:drawing>
      </w:r>
      <w:r>
        <w:rPr>
          <w:color w:val="000000"/>
          <w:sz w:val="24"/>
          <w:szCs w:val="24"/>
        </w:rPr>
        <w:t xml:space="preserve">  </w:t>
      </w:r>
    </w:p>
    <w:p>
      <w:pPr>
        <w:widowControl w:val="on"/>
        <w:pBdr/>
        <w:spacing w:before="240" w:after="240" w:line="240" w:lineRule="auto"/>
        <w:ind w:left="0" w:right="0"/>
        <w:jc w:val="left"/>
        <w:outlineLvl w:val="2"/>
      </w:pPr>
      <w:r>
        <w:rPr>
          <w:b/>
          <w:bCs/>
          <w:color w:val="000000"/>
          <w:sz w:val="24"/>
          <w:szCs w:val="24"/>
        </w:rPr>
        <w:t xml:space="preserve"> 3. Celkový popis nemovitosti </w:t>
      </w:r>
      <w:r>
        <w:rPr>
          <w:b/>
          <w:bCs/>
          <w:color w:val="000000"/>
          <w:sz w:val="21"/>
          <w:szCs w:val="21"/>
        </w:rPr>
        <w:t xml:space="preserve">(dle dat uvedených v inzerci a v kupní smlouvě))</w:t>
      </w:r>
    </w:p>
    <w:tbl>
      <w:tblPr>
        <w:tblStyle w:val="NormalTablePHPDOCX"/>
        <w:tblW w:w="5000" w:type="pct"/>
        <w:tblInd w:w="0" w:type="auto"/>
        <w:tblBorders/>
      </w:tblPr>
      <w:tblGrid>
        <w:gridCol/>
        <w:gridCol/>
        <w:gridCol/>
        <w:gridCol/>
      </w:tblGrid>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Adresa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Dlouhá Třebová, okres Ústí nad Orlicí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Plocha pozemku (m2)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4267 </w:t>
            </w:r>
          </w:p>
        </w:tc>
      </w:tr>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Cena dle kupní smlouvy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220 000 Kč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Současné využití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zemědělská půda </w:t>
            </w:r>
          </w:p>
        </w:tc>
      </w:tr>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Kupní smlouva podepsaná dne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04.05.2020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Umístění objektu </w:t>
            </w: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Centrum obce </w:t>
            </w:r>
          </w:p>
        </w:tc>
      </w:tr>
      <w:tr>
        <w:trPr>
          <w:trHeight w:val="0" w:hRule="atLeast"/>
        </w:trPr>
        <w:tc>
          <w:tcPr>
            <w:tcW w:w="11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b/>
                <w:bCs/>
                <w:color w:val="000000"/>
                <w:position w:val="0"/>
                <w:sz w:val="18"/>
                <w:szCs w:val="18"/>
              </w:rPr>
              <w:t xml:space="preserve"> Číslo řízení </w:t>
            </w:r>
          </w:p>
        </w:tc>
        <w:tc>
          <w:tcPr>
            <w:tcW w:w="2000" w:type="pct"/>
            <w:tcBorders>
              <w:top w:val="single" w:color="CCCCCC" w:sz="5"/>
              <w:left w:val="single" w:color="CCCCCC" w:sz="5"/>
              <w:bottom w:val="single" w:color="CCCCCC" w:sz="5"/>
              <w:right w:val="single" w:color="CCCCCC" w:sz="5"/>
            </w:tcBorders>
            <w:tcMar>
              <w:top w:w="30" w:type="dxa"/>
              <w:bottom w:w="30" w:type="dxa"/>
            </w:tcMar>
            <w:vAlign w:val="top"/>
          </w:tcPr>
          <w:p>
            <w:pPr>
              <w:widowControl w:val="on"/>
              <w:pBdr/>
              <w:spacing w:before="0" w:after="0" w:line="240" w:lineRule="auto"/>
              <w:ind w:left="0" w:right="0"/>
              <w:jc w:val="left"/>
            </w:pPr>
            <w:r>
              <w:rPr>
                <w:color w:val="000000"/>
                <w:position w:val="0"/>
                <w:sz w:val="18"/>
                <w:szCs w:val="18"/>
              </w:rPr>
              <w:t xml:space="preserve"> V-4386/2020 </w:t>
            </w:r>
          </w:p>
        </w:tc>
        <w:tc>
          <w:tcPr>
            <w:tcW w:w="1100" w:type="pct"/>
            <w:tcBorders>
              <w:top w:val="single" w:color="CCCCCC" w:sz="5"/>
              <w:left w:val="single" w:color="CCCCCC" w:sz="5"/>
              <w:bottom w:val="single" w:color="CCCCCC" w:sz="5"/>
              <w:right w:val="single" w:color="CCCCCC" w:sz="5"/>
            </w:tcBorders>
            <w:tcMar>
              <w:top w:w="30" w:type="dxa"/>
              <w:bottom w:w="30" w:type="dxa"/>
            </w:tcMar>
            <w:vAlign w:val="top"/>
          </w:tcPr>
          <w:p/>
        </w:tc>
        <w:tc>
          <w:tcPr>
            <w:tcW w:w="1800" w:type="pct"/>
            <w:tcBorders>
              <w:top w:val="single" w:color="CCCCCC" w:sz="5"/>
              <w:left w:val="single" w:color="CCCCCC" w:sz="5"/>
              <w:bottom w:val="single" w:color="CCCCCC" w:sz="5"/>
              <w:right w:val="single" w:color="CCCCCC" w:sz="5"/>
            </w:tcBorders>
            <w:tcMar>
              <w:top w:w="30" w:type="dxa"/>
              <w:bottom w:w="30" w:type="dxa"/>
            </w:tcMar>
            <w:vAlign w:val="top"/>
          </w:tcPr>
          <w:p/>
        </w:tc>
      </w:tr>
    </w:tbl>
    <w:p>
      <w:pPr>
        <w:widowControl w:val="on"/>
        <w:pBdr/>
        <w:spacing w:before="319" w:after="319" w:line="240" w:lineRule="auto"/>
        <w:ind w:left="0" w:right="0"/>
        <w:jc w:val="left"/>
        <w:outlineLvl w:val="3"/>
      </w:pPr>
      <w:r>
        <w:rPr>
          <w:b/>
          <w:bCs/>
          <w:color w:val="000000"/>
          <w:sz w:val="24"/>
          <w:szCs w:val="24"/>
        </w:rPr>
        <w:t xml:space="preserve">Slovní popis</w:t>
      </w:r>
    </w:p>
    <w:p>
      <w:pPr>
        <w:widowControl w:val="on"/>
        <w:pBdr/>
        <w:spacing w:before="0" w:after="0" w:line="240" w:lineRule="auto"/>
        <w:ind w:left="0" w:right="0"/>
        <w:jc w:val="left"/>
      </w:pPr>
      <w:r>
        <w:rPr>
          <w:color w:val="000000"/>
          <w:sz w:val="24"/>
          <w:szCs w:val="24"/>
        </w:rPr>
        <w:t xml:space="preserve"> Nabízíme Vám ke koupi zemědělský pozemek o celkové výměře 4267 m2 v blízkosti centra obce Dlouhá Třebová. Slunný pozemek je dle Územního plánu obce začleněn do plochy ZS - plochy smíšené přírodní a zemědělské. Přístup je zajištěn po pozemcích ve vlastnictví Obce Dlouhá Třebová a St. pozemkového úřadu ČR. Výhodná poloha pozemku v blízkosti hlavní silnice a dopravního napojení Česká Třebová - Ústí nad Orlicí. </w:t>
      </w:r>
    </w:p>
    <w:p>
      <w:pPr>
        <w:widowControl w:val="on"/>
        <w:pBdr/>
        <w:spacing w:before="240" w:after="240" w:line="240" w:lineRule="auto"/>
        <w:ind w:left="0" w:right="0"/>
        <w:jc w:val="left"/>
        <w:outlineLvl w:val="2"/>
      </w:pPr>
      <w:r>
        <w:rPr>
          <w:b/>
          <w:bCs/>
          <w:color w:val="000000"/>
          <w:sz w:val="24"/>
          <w:szCs w:val="24"/>
        </w:rPr>
        <w:t xml:space="preserve"> 4. Fotodokumentace </w:t>
      </w:r>
    </w:p>
    <w:tbl>
      <w:tblPr>
        <w:tblStyle w:val="NormalTablePHPDOCX"/>
        <w:tblW w:w="5000" w:type="pct"/>
        <w:tblCellSpacing w:w="30" w:type="dxa"/>
        <w:tblInd w:w="0" w:type="auto"/>
        <w:tblBorders/>
      </w:tblPr>
      <w:tblGrid>
        <w:gridCol/>
        <w:gridCol/>
      </w:tblGrid>
      <w:tr>
        <w:trPr>
          <w:trHeight w:val="0" w:hRule="atLeast"/>
        </w:trPr>
        <w:tc>
          <w:tcPr>
            <w:tcMar>
              <w:top w:w="15" w:type="dxa"/>
              <w:bottom w:w="15" w:type="dxa"/>
            </w:tcMar>
            <w:vAlign w:val="center"/>
          </w:tcPr>
          <w:p>
            <w:r>
              <w:rPr>
                <w:position w:val="-159"/>
              </w:rPr>
              <w:drawing>
                <wp:inline distT="0" distB="0" distL="0" distR="0">
                  <wp:extent cx="2772000" cy="2080800"/>
                  <wp:docPr id="14738328" name="name1849604235937a433" descr="1242f6815bdc172c517749117e9b61387c3e680a0217c506653bffd7644b3b88ef67d11aee3c5f66fea6212ca5387d72b5a11770bd5480d50462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2f6815bdc172c517749117e9b61387c3e680a0217c506653bffd7644b3b88ef67d11aee3c5f66fea6212ca5387d72b5a11770bd5480d504622f4"/>
                          <pic:cNvPicPr/>
                        </pic:nvPicPr>
                        <pic:blipFill>
                          <a:blip r:embed="rId9707604235937a430" cstate="print"/>
                          <a:stretch>
                            <a:fillRect/>
                          </a:stretch>
                        </pic:blipFill>
                        <pic:spPr>
                          <a:xfrm>
                            <a:off x="0" y="0"/>
                            <a:ext cx="2772000" cy="2080800"/>
                          </a:xfrm>
                          <a:prstGeom prst="rect">
                            <a:avLst/>
                          </a:prstGeom>
                          <a:ln w="0">
                            <a:noFill/>
                          </a:ln>
                        </pic:spPr>
                      </pic:pic>
                    </a:graphicData>
                  </a:graphic>
                </wp:inline>
              </w:drawing>
            </w:r>
          </w:p>
        </w:tc>
        <w:tc>
          <w:tcPr>
            <w:tcMar>
              <w:top w:w="15" w:type="dxa"/>
              <w:bottom w:w="15" w:type="dxa"/>
            </w:tcMar>
            <w:vAlign w:val="center"/>
          </w:tcPr>
          <w:p>
            <w:r>
              <w:rPr>
                <w:position w:val="-159"/>
              </w:rPr>
              <w:drawing>
                <wp:inline distT="0" distB="0" distL="0" distR="0">
                  <wp:extent cx="2772000" cy="2080800"/>
                  <wp:docPr id="47055944" name="name741460423593d49be" descr="bc8f2b5cc8cf21a30f2c86948c0af630ae3f0937b9247aad29262cd4146317238d9c0aa8c04d23b2217222c2a766ebca489fe426ec5fa6684f31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8f2b5cc8cf21a30f2c86948c0af630ae3f0937b9247aad29262cd4146317238d9c0aa8c04d23b2217222c2a766ebca489fe426ec5fa6684f31ff5"/>
                          <pic:cNvPicPr/>
                        </pic:nvPicPr>
                        <pic:blipFill>
                          <a:blip r:embed="rId128760423593d49ba" cstate="print"/>
                          <a:stretch>
                            <a:fillRect/>
                          </a:stretch>
                        </pic:blipFill>
                        <pic:spPr>
                          <a:xfrm>
                            <a:off x="0" y="0"/>
                            <a:ext cx="2772000" cy="2080800"/>
                          </a:xfrm>
                          <a:prstGeom prst="rect">
                            <a:avLst/>
                          </a:prstGeom>
                          <a:ln w="0">
                            <a:noFill/>
                          </a:ln>
                        </pic:spPr>
                      </pic:pic>
                    </a:graphicData>
                  </a:graphic>
                </wp:inline>
              </w:drawing>
            </w:r>
          </w:p>
        </w:tc>
      </w:tr>
      <w:tr>
        <w:trPr>
          <w:trHeight w:val="0" w:hRule="atLeast"/>
        </w:trPr>
        <w:tc>
          <w:tcPr>
            <w:tcMar>
              <w:top w:w="15" w:type="dxa"/>
              <w:bottom w:w="15" w:type="dxa"/>
            </w:tcMar>
            <w:vAlign w:val="center"/>
          </w:tcPr>
          <w:p>
            <w:r>
              <w:rPr>
                <w:position w:val="-159"/>
              </w:rPr>
              <w:drawing>
                <wp:inline distT="0" distB="0" distL="0" distR="0">
                  <wp:extent cx="2772000" cy="2080800"/>
                  <wp:docPr id="81200783" name="name8891604235943e891" descr="ce98d001496a921cc576f62a4933ef4499089878fecebcace9c006a1070336eb7d02a8f94cabac32020a9710da681a9a84ea1756058c730b8efa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98d001496a921cc576f62a4933ef4499089878fecebcace9c006a1070336eb7d02a8f94cabac32020a9710da681a9a84ea1756058c730b8efaf3b"/>
                          <pic:cNvPicPr/>
                        </pic:nvPicPr>
                        <pic:blipFill>
                          <a:blip r:embed="rId7018604235943e88d" cstate="print"/>
                          <a:stretch>
                            <a:fillRect/>
                          </a:stretch>
                        </pic:blipFill>
                        <pic:spPr>
                          <a:xfrm>
                            <a:off x="0" y="0"/>
                            <a:ext cx="2772000" cy="2080800"/>
                          </a:xfrm>
                          <a:prstGeom prst="rect">
                            <a:avLst/>
                          </a:prstGeom>
                          <a:ln w="0">
                            <a:noFill/>
                          </a:ln>
                        </pic:spPr>
                      </pic:pic>
                    </a:graphicData>
                  </a:graphic>
                </wp:inline>
              </w:drawing>
            </w:r>
          </w:p>
        </w:tc>
        <w:tc>
          <w:tcPr>
            <w:tcMar>
              <w:top w:w="15" w:type="dxa"/>
              <w:bottom w:w="15" w:type="dxa"/>
            </w:tcMar>
            <w:vAlign w:val="center"/>
          </w:tcPr>
          <w:p>
            <w:r>
              <w:rPr>
                <w:position w:val="-159"/>
              </w:rPr>
              <w:drawing>
                <wp:inline distT="0" distB="0" distL="0" distR="0">
                  <wp:extent cx="2772000" cy="2080800"/>
                  <wp:docPr id="28726644" name="name9763604235948bb5e" descr="e97d77cb810411586f543eda9aaa49092a7c085a87cc009b00ccc2934eebeed25fe3c08a97e3599c723a6e3a4aa45e6ed413d5eab206ba64f11c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7d77cb810411586f543eda9aaa49092a7c085a87cc009b00ccc2934eebeed25fe3c08a97e3599c723a6e3a4aa45e6ed413d5eab206ba64f11cc96"/>
                          <pic:cNvPicPr/>
                        </pic:nvPicPr>
                        <pic:blipFill>
                          <a:blip r:embed="rId8377604235948bb5c" cstate="print"/>
                          <a:stretch>
                            <a:fillRect/>
                          </a:stretch>
                        </pic:blipFill>
                        <pic:spPr>
                          <a:xfrm>
                            <a:off x="0" y="0"/>
                            <a:ext cx="2772000" cy="2080800"/>
                          </a:xfrm>
                          <a:prstGeom prst="rect">
                            <a:avLst/>
                          </a:prstGeom>
                          <a:ln w="0">
                            <a:noFill/>
                          </a:ln>
                        </pic:spPr>
                      </pic:pic>
                    </a:graphicData>
                  </a:graphic>
                </wp:inline>
              </w:drawing>
            </w:r>
          </w:p>
        </w:tc>
      </w:tr>
    </w:tbl>
    <w:p>
      <w:pPr>
        <w:widowControl w:val="on"/>
        <w:pBdr/>
        <w:spacing w:before="240" w:after="240" w:line="240" w:lineRule="auto"/>
        <w:ind w:left="0" w:right="0"/>
        <w:jc w:val="left"/>
        <w:outlineLvl w:val="2"/>
      </w:pPr>
      <w:r>
        <w:rPr>
          <w:b/>
          <w:bCs/>
          <w:color w:val="000000"/>
          <w:sz w:val="24"/>
          <w:szCs w:val="24"/>
        </w:rPr>
        <w:t xml:space="preserve"> 5. Mapové zobrazení </w:t>
      </w:r>
    </w:p>
    <w:p>
      <w:r>
        <w:drawing>
          <wp:inline distT="0" distB="0" distL="0" distR="0">
            <wp:extent cx="4608000" cy="2520000"/>
            <wp:docPr id="53360872" name="name1321604235948be02" descr="9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3D"/>
                    <pic:cNvPicPr/>
                  </pic:nvPicPr>
                  <pic:blipFill>
                    <a:blip r:embed="rId9174604235948be01" cstate="print"/>
                    <a:stretch>
                      <a:fillRect/>
                    </a:stretch>
                  </pic:blipFill>
                  <pic:spPr>
                    <a:xfrm>
                      <a:off x="0" y="0"/>
                      <a:ext cx="4608000" cy="2520000"/>
                    </a:xfrm>
                    <a:prstGeom prst="rect">
                      <a:avLst/>
                    </a:prstGeom>
                    <a:ln w="0">
                      <a:noFill/>
                    </a:ln>
                  </pic:spPr>
                </pic:pic>
              </a:graphicData>
            </a:graphic>
          </wp:inline>
        </w:drawing>
      </w:r>
    </w:p>
    <w:tbl>
      <w:tblPr>
        <w:tblStyle w:val="NormalTablePHPDOCX"/>
        <w:tblW w:w="9600" w:type="dxa"/>
        <w:tblCellSpacing w:w="30" w:type="dxa"/>
        <w:tblInd w:w="0" w:type="auto"/>
        <w:tblBorders/>
      </w:tblPr>
      <w:tblGrid>
        <w:gridCol/>
        <w:gridCol/>
        <w:gridCol/>
        <w:gridCol/>
      </w:tblGrid>
      <w:tr>
        <w:trPr>
          <w:trHeight w:val="0" w:hRule="atLeast"/>
        </w:trPr>
        <w:tc>
          <w:tcPr>
            <w:tcMar>
              <w:top w:w="15" w:type="dxa"/>
              <w:bottom w:w="15" w:type="dxa"/>
            </w:tcMar>
            <w:vAlign w:val="center"/>
          </w:tcPr>
          <w:p>
            <w:r>
              <w:rPr>
                <w:position w:val="-10"/>
              </w:rPr>
              <w:drawing>
                <wp:inline distT="0" distB="0" distL="0" distR="0">
                  <wp:extent cx="230400" cy="230400"/>
                  <wp:docPr id="40321568" name="name3142604235949f082" descr="blue-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dot.png"/>
                          <pic:cNvPicPr/>
                        </pic:nvPicPr>
                        <pic:blipFill>
                          <a:blip r:embed="rId7563604235949f080" cstate="print"/>
                          <a:stretch>
                            <a:fillRect/>
                          </a:stretch>
                        </pic:blipFill>
                        <pic:spPr>
                          <a:xfrm>
                            <a:off x="0" y="0"/>
                            <a:ext cx="230400" cy="2304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 Oceňovaná nemovitost </w:t>
            </w:r>
          </w:p>
        </w:tc>
        <w:tc>
          <w:tcPr>
            <w:tcMar>
              <w:top w:w="15" w:type="dxa"/>
              <w:bottom w:w="15" w:type="dxa"/>
            </w:tcMar>
            <w:vAlign w:val="center"/>
          </w:tcPr>
          <w:p>
            <w:r>
              <w:rPr>
                <w:position w:val="-10"/>
              </w:rPr>
              <w:drawing>
                <wp:inline distT="0" distB="0" distL="0" distR="0">
                  <wp:extent cx="230400" cy="230400"/>
                  <wp:docPr id="65097516" name="name702360423594b1116" descr="green-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dot.png"/>
                          <pic:cNvPicPr/>
                        </pic:nvPicPr>
                        <pic:blipFill>
                          <a:blip r:embed="rId722660423594b1113" cstate="print"/>
                          <a:stretch>
                            <a:fillRect/>
                          </a:stretch>
                        </pic:blipFill>
                        <pic:spPr>
                          <a:xfrm>
                            <a:off x="0" y="0"/>
                            <a:ext cx="230400" cy="230400"/>
                          </a:xfrm>
                          <a:prstGeom prst="rect">
                            <a:avLst/>
                          </a:prstGeom>
                          <a:ln w="0">
                            <a:noFill/>
                          </a:ln>
                        </pic:spPr>
                      </pic:pic>
                    </a:graphicData>
                  </a:graphic>
                </wp:inline>
              </w:drawing>
            </w:r>
          </w:p>
        </w:tc>
        <w:tc>
          <w:tcPr>
            <w:tcMar>
              <w:top w:w="15" w:type="dxa"/>
              <w:bottom w:w="15" w:type="dxa"/>
            </w:tcMar>
            <w:vAlign w:val="center"/>
          </w:tcPr>
          <w:p>
            <w:pPr>
              <w:widowControl w:val="on"/>
              <w:pBdr/>
              <w:spacing w:before="0" w:after="0" w:line="240" w:lineRule="auto"/>
              <w:ind w:left="0" w:right="0"/>
              <w:jc w:val="left"/>
            </w:pPr>
            <w:r>
              <w:rPr>
                <w:color w:val="000000"/>
                <w:position w:val="-3"/>
                <w:sz w:val="24"/>
                <w:szCs w:val="24"/>
              </w:rPr>
              <w:t xml:space="preserve"> Srovnávaná nemovitost </w:t>
            </w:r>
          </w:p>
        </w:tc>
      </w:tr>
    </w:tbl>
    <w:p>
      <w:pPr>
        <w:widowControl w:val="on"/>
        <w:pBdr/>
        <w:spacing w:before="0" w:after="0" w:line="240" w:lineRule="auto"/>
        <w:ind w:left="0" w:right="0"/>
        <w:jc w:val="left"/>
      </w:pPr>
      <w:r>
        <w:rPr>
          <w:color w:val="000000"/>
          <w:sz w:val="24"/>
          <w:szCs w:val="24"/>
        </w:rPr>
        <w:t xml:space="preserve">  </w:t>
      </w:r>
    </w:p>
    <w:sectPr xmlns:w="http://schemas.openxmlformats.org/wordprocessingml/2006/main" w:rsidR="00AC197E" w:rsidRPr="00DF064E" w:rsidSect="000F6147">
      <w:footerReference xmlns:r="http://schemas.openxmlformats.org/officeDocument/2006/relationships" w:type="default" r:id="rId638560423594b455a"/>
      <w:pgSz w:w="11906" w:h="16838" w:orient="portrait" w:code="9"/>
      <w:pgMar w:top="1417" w:right="1701" w:bottom="1417" w:left="1701" w:header="708" w:footer="708" w:gutter="0"/>
      <w:cols w:space="708" w:num="1"/>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b w:val="on"/>
        <w:bCs w:val="on"/>
        <w:color w:val="000000"/>
        <w:sz w:val="20"/>
        <w:szCs w:val="20"/>
      </w:rPr>
    </w:pPr>
    <w:fldSimple w:instr="PAGE \* MERGEFORMAT">
      <w:r>
        <w:rPr>
          <w:b w:val="on"/>
          <w:bCs w:val="on"/>
          <w:color w:val="000000"/>
          <w:sz w:val="20"/>
          <w:szCs w:val="20"/>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488367">
    <w:multiLevelType w:val="hybridMultilevel"/>
    <w:lvl w:ilvl="0" w:tplc="74013511">
      <w:start w:val="1"/>
      <w:numFmt w:val="decimal"/>
      <w:lvlText w:val="%1."/>
      <w:lvlJc w:val="left"/>
      <w:pPr>
        <w:ind w:left="720" w:hanging="360"/>
      </w:pPr>
    </w:lvl>
    <w:lvl w:ilvl="1" w:tplc="74013511" w:tentative="1">
      <w:start w:val="1"/>
      <w:numFmt w:val="lowerLetter"/>
      <w:lvlText w:val="%2."/>
      <w:lvlJc w:val="left"/>
      <w:pPr>
        <w:ind w:left="1440" w:hanging="360"/>
      </w:pPr>
    </w:lvl>
    <w:lvl w:ilvl="2" w:tplc="74013511" w:tentative="1">
      <w:start w:val="1"/>
      <w:numFmt w:val="lowerRoman"/>
      <w:lvlText w:val="%3."/>
      <w:lvlJc w:val="right"/>
      <w:pPr>
        <w:ind w:left="2160" w:hanging="180"/>
      </w:pPr>
    </w:lvl>
    <w:lvl w:ilvl="3" w:tplc="74013511" w:tentative="1">
      <w:start w:val="1"/>
      <w:numFmt w:val="decimal"/>
      <w:lvlText w:val="%4."/>
      <w:lvlJc w:val="left"/>
      <w:pPr>
        <w:ind w:left="2880" w:hanging="360"/>
      </w:pPr>
    </w:lvl>
    <w:lvl w:ilvl="4" w:tplc="74013511" w:tentative="1">
      <w:start w:val="1"/>
      <w:numFmt w:val="lowerLetter"/>
      <w:lvlText w:val="%5."/>
      <w:lvlJc w:val="left"/>
      <w:pPr>
        <w:ind w:left="3600" w:hanging="360"/>
      </w:pPr>
    </w:lvl>
    <w:lvl w:ilvl="5" w:tplc="74013511" w:tentative="1">
      <w:start w:val="1"/>
      <w:numFmt w:val="lowerRoman"/>
      <w:lvlText w:val="%6."/>
      <w:lvlJc w:val="right"/>
      <w:pPr>
        <w:ind w:left="4320" w:hanging="180"/>
      </w:pPr>
    </w:lvl>
    <w:lvl w:ilvl="6" w:tplc="74013511" w:tentative="1">
      <w:start w:val="1"/>
      <w:numFmt w:val="decimal"/>
      <w:lvlText w:val="%7."/>
      <w:lvlJc w:val="left"/>
      <w:pPr>
        <w:ind w:left="5040" w:hanging="360"/>
      </w:pPr>
    </w:lvl>
    <w:lvl w:ilvl="7" w:tplc="74013511" w:tentative="1">
      <w:start w:val="1"/>
      <w:numFmt w:val="lowerLetter"/>
      <w:lvlText w:val="%8."/>
      <w:lvlJc w:val="left"/>
      <w:pPr>
        <w:ind w:left="5760" w:hanging="360"/>
      </w:pPr>
    </w:lvl>
    <w:lvl w:ilvl="8" w:tplc="74013511" w:tentative="1">
      <w:start w:val="1"/>
      <w:numFmt w:val="lowerRoman"/>
      <w:lvlText w:val="%9."/>
      <w:lvlJc w:val="right"/>
      <w:pPr>
        <w:ind w:left="6480" w:hanging="180"/>
      </w:pPr>
    </w:lvl>
  </w:abstractNum>
  <w:abstractNum w:abstractNumId="10488366">
    <w:multiLevelType w:val="hybridMultilevel"/>
    <w:lvl w:ilvl="0" w:tplc="819759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10488366">
    <w:abstractNumId w:val="10488366"/>
  </w:num>
  <w:num w:numId="10488367">
    <w:abstractNumId w:val="1048836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default="1" w:styleId="Normal">
    <w:name w:val="Normal"/>
    <w:qFormat/>
    <w:rsid w:val="000F6147"/>
  </w:style>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41526042358fb1bf5" Type="http://schemas.openxmlformats.org/officeDocument/2006/relationships/image" Target="media/imgrId41526042358fb1bf5.jpg"/><Relationship Id="rId43616042358fda2c5" Type="http://schemas.openxmlformats.org/officeDocument/2006/relationships/image" Target="media/imgrId43616042358fda2c5.jpg"/><Relationship Id="rId87236042358fee0b6" Type="http://schemas.openxmlformats.org/officeDocument/2006/relationships/image" Target="media/imgrId87236042358fee0b6.jpg"/><Relationship Id="rId6534604235907bd2a" Type="http://schemas.openxmlformats.org/officeDocument/2006/relationships/image" Target="media/imgrId6534604235907bd2a.jpg"/><Relationship Id="rId3454604235907c07f" Type="http://schemas.openxmlformats.org/officeDocument/2006/relationships/image" Target="media/imgrId3454604235907c07f.jpg"/><Relationship Id="rId554760423590d112e" Type="http://schemas.openxmlformats.org/officeDocument/2006/relationships/image" Target="media/imgrId554760423590d112e.jpg"/><Relationship Id="rId6882604235912c05a" Type="http://schemas.openxmlformats.org/officeDocument/2006/relationships/image" Target="media/imgrId6882604235912c05a.jpg"/><Relationship Id="rId1422604235912c296" Type="http://schemas.openxmlformats.org/officeDocument/2006/relationships/image" Target="media/imgrId1422604235912c296.jpg"/><Relationship Id="rId94586042359142248" Type="http://schemas.openxmlformats.org/officeDocument/2006/relationships/image" Target="media/imgrId94586042359142248.png"/><Relationship Id="rId847760423591537bc" Type="http://schemas.openxmlformats.org/officeDocument/2006/relationships/image" Target="media/imgrId847760423591537bc.png"/><Relationship Id="rId313560423591a3d5b" Type="http://schemas.openxmlformats.org/officeDocument/2006/relationships/image" Target="media/imgrId313560423591a3d5b.jpg"/><Relationship Id="rId570160423591a3fd4" Type="http://schemas.openxmlformats.org/officeDocument/2006/relationships/image" Target="media/imgrId570160423591a3fd4.jpg"/><Relationship Id="rId74876042359203356" Type="http://schemas.openxmlformats.org/officeDocument/2006/relationships/image" Target="media/imgrId74876042359203356.jpg"/><Relationship Id="rId5198604235925234d" Type="http://schemas.openxmlformats.org/officeDocument/2006/relationships/image" Target="media/imgrId5198604235925234d.jpg"/><Relationship Id="rId238560423592b3e79" Type="http://schemas.openxmlformats.org/officeDocument/2006/relationships/image" Target="media/imgrId238560423592b3e79.jpg"/><Relationship Id="rId481660423592b4297" Type="http://schemas.openxmlformats.org/officeDocument/2006/relationships/image" Target="media/imgrId481660423592b4297.jpg"/><Relationship Id="rId876760423592c5ded" Type="http://schemas.openxmlformats.org/officeDocument/2006/relationships/image" Target="media/imgrId876760423592c5ded.png"/><Relationship Id="rId172360423592d8606" Type="http://schemas.openxmlformats.org/officeDocument/2006/relationships/image" Target="media/imgrId172360423592d8606.png"/><Relationship Id="rId4616604235932c345" Type="http://schemas.openxmlformats.org/officeDocument/2006/relationships/image" Target="media/imgrId4616604235932c345.jpg"/><Relationship Id="rId8100604235932c62e" Type="http://schemas.openxmlformats.org/officeDocument/2006/relationships/image" Target="media/imgrId8100604235932c62e.jpg"/><Relationship Id="rId9707604235937a430" Type="http://schemas.openxmlformats.org/officeDocument/2006/relationships/image" Target="media/imgrId9707604235937a430.jpg"/><Relationship Id="rId128760423593d49ba" Type="http://schemas.openxmlformats.org/officeDocument/2006/relationships/image" Target="media/imgrId128760423593d49ba.jpg"/><Relationship Id="rId7018604235943e88d" Type="http://schemas.openxmlformats.org/officeDocument/2006/relationships/image" Target="media/imgrId7018604235943e88d.jpg"/><Relationship Id="rId8377604235948bb5c" Type="http://schemas.openxmlformats.org/officeDocument/2006/relationships/image" Target="media/imgrId8377604235948bb5c.jpg"/><Relationship Id="rId9174604235948be01" Type="http://schemas.openxmlformats.org/officeDocument/2006/relationships/image" Target="media/imgrId9174604235948be01.jpg"/><Relationship Id="rId7563604235949f080" Type="http://schemas.openxmlformats.org/officeDocument/2006/relationships/image" Target="media/imgrId7563604235949f080.png"/><Relationship Id="rId722660423594b1113" Type="http://schemas.openxmlformats.org/officeDocument/2006/relationships/image" Target="media/imgrId722660423594b1113.png"/><Relationship Id="rId638560423594b455a" Type="http://schemas.openxmlformats.org/officeDocument/2006/relationships/footer" Target="defaultFooter.xml"/></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Inem.cz</dc:creator>
  <cp:keywords/>
  <dc:description/>
  <cp:lastModifiedBy>Inem.cz</cp:lastModifiedBy>
  <cp:revision>6</cp:revision>
  <dcterms:created xsi:type="dcterms:W3CDTF">2012-01-10T09:29:00Z</dcterms:created>
  <dcterms:modified xsi:type="dcterms:W3CDTF">2012-02-06T10:43:00Z</dcterms:modified>
</cp:coreProperties>
</file>

<file path=docProps/custom.xml><?xml version="1.0" encoding="utf-8"?>
<Properties xmlns:vt="http://schemas.openxmlformats.org/officeDocument/2006/docPropsVTypes" xmlns="http://schemas.openxmlformats.org/officeDocument/2006/custom-properties">
                                        </Properties>
</file>