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3F0" w:rsidRPr="000F0D7F" w:rsidRDefault="000F0D7F" w:rsidP="000F0D7F">
      <w:pPr>
        <w:jc w:val="center"/>
        <w:rPr>
          <w:rFonts w:ascii="Times New Roman" w:eastAsia="Times New Roman" w:hAnsi="Times New Roman"/>
          <w:b/>
          <w:noProof/>
          <w:sz w:val="40"/>
          <w:szCs w:val="24"/>
          <w:lang w:eastAsia="es-ES"/>
        </w:rPr>
      </w:pPr>
      <w:r w:rsidRPr="000F0D7F">
        <w:rPr>
          <w:rFonts w:ascii="Times New Roman" w:eastAsia="Times New Roman" w:hAnsi="Times New Roman"/>
          <w:b/>
          <w:noProof/>
          <w:sz w:val="40"/>
          <w:szCs w:val="24"/>
          <w:lang w:eastAsia="es-ES"/>
        </w:rPr>
        <w:t xml:space="preserve">Plan docente del Master AII para el próximo </w:t>
      </w:r>
    </w:p>
    <w:p w:rsidR="000F0D7F" w:rsidRPr="005F68B5" w:rsidRDefault="000F0D7F" w:rsidP="005F68B5">
      <w:r w:rsidRPr="000F0D7F">
        <w:rPr>
          <w:rFonts w:ascii="Times New Roman" w:eastAsia="Times New Roman" w:hAnsi="Times New Roman"/>
          <w:noProof/>
          <w:sz w:val="24"/>
          <w:szCs w:val="24"/>
          <w:lang w:eastAsia="es-ES"/>
        </w:rPr>
        <w:drawing>
          <wp:inline distT="0" distB="0" distL="0" distR="0">
            <wp:extent cx="5400040" cy="4208181"/>
            <wp:effectExtent l="0" t="0" r="0" b="0"/>
            <wp:docPr id="2" name="Objeto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686800" cy="6768752"/>
                      <a:chOff x="457200" y="-243408"/>
                      <a:chExt cx="8686800" cy="6768752"/>
                    </a:xfrm>
                  </a:grpSpPr>
                  <a:sp>
                    <a:nvSpPr>
                      <a:cNvPr id="2" name="1 Título"/>
                      <a:cNvSpPr>
                        <a:spLocks noGrp="1"/>
                      </a:cNvSpPr>
                    </a:nvSpPr>
                    <a:spPr>
                      <a:xfrm>
                        <a:off x="457200" y="-243408"/>
                        <a:ext cx="8229600" cy="114300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 lIns="91440" tIns="45720" rIns="91440" bIns="45720" rtlCol="0" anchor="ctr">
                          <a:normAutofit/>
                        </a:bodyPr>
                        <a:lstStyle>
                          <a:lvl1pPr algn="ctr" defTabSz="914400" rtl="0" eaLnBrk="1" latinLnBrk="0" hangingPunct="1">
                            <a:spcBef>
                              <a:spcPct val="0"/>
                            </a:spcBef>
                            <a:buNone/>
                            <a:defRPr sz="4400" kern="1200">
                              <a:solidFill>
                                <a:schemeClr val="tx1"/>
                              </a:solidFill>
                              <a:latin typeface="+mj-lt"/>
                              <a:ea typeface="+mj-ea"/>
                              <a:cs typeface="+mj-cs"/>
                            </a:defRPr>
                          </a:lvl1pPr>
                        </a:lstStyle>
                        <a:p>
                          <a:r>
                            <a:rPr lang="es-ES" dirty="0" smtClean="0"/>
                            <a:t>Curso 2013-14</a:t>
                          </a:r>
                          <a:endParaRPr lang="es-ES" dirty="0"/>
                        </a:p>
                      </a:txBody>
                      <a:useSpRect/>
                    </a:txSp>
                  </a:sp>
                  <a:sp>
                    <a:nvSpPr>
                      <a:cNvPr id="3" name="2 Marcador de texto"/>
                      <a:cNvSpPr>
                        <a:spLocks noGrp="1"/>
                      </a:cNvSpPr>
                    </a:nvSpPr>
                    <a:spPr>
                      <a:xfrm>
                        <a:off x="457200" y="462682"/>
                        <a:ext cx="4040188" cy="639762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 lIns="91440" tIns="45720" rIns="91440" bIns="45720" rtlCol="0" anchor="b">
                          <a:normAutofit/>
                        </a:bodyPr>
                        <a:lstStyle>
                          <a:lvl1pPr marL="0" indent="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None/>
                            <a:defRPr sz="2400" b="1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indent="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None/>
                            <a:defRPr sz="2000" b="1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indent="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None/>
                            <a:defRPr sz="1800" b="1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indent="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None/>
                            <a:defRPr sz="1600" b="1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indent="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None/>
                            <a:defRPr sz="1600" b="1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indent="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None/>
                            <a:defRPr sz="1600" b="1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indent="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None/>
                            <a:defRPr sz="1600" b="1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indent="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None/>
                            <a:defRPr sz="1600" b="1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indent="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None/>
                            <a:defRPr sz="1600" b="1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s-ES" dirty="0" smtClean="0"/>
                            <a:t>Asignatura actual</a:t>
                          </a:r>
                          <a:endParaRPr lang="es-ES" dirty="0"/>
                        </a:p>
                      </a:txBody>
                      <a:useSpRect/>
                    </a:txSp>
                  </a:sp>
                  <a:sp>
                    <a:nvSpPr>
                      <a:cNvPr id="4" name="3 Marcador de contenido"/>
                      <a:cNvSpPr>
                        <a:spLocks noGrp="1"/>
                      </a:cNvSpPr>
                    </a:nvSpPr>
                    <a:spPr>
                      <a:xfrm>
                        <a:off x="457200" y="980728"/>
                        <a:ext cx="4040188" cy="2736304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 lIns="91440" tIns="45720" rIns="91440" bIns="45720" rtlCol="0">
                          <a:normAutofit/>
                        </a:bodyPr>
                        <a:lstStyle>
                          <a:lvl1pPr marL="342900" indent="-3429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•"/>
                            <a:defRPr sz="24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742950" indent="-28575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–"/>
                            <a:defRPr sz="20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1143000" indent="-2286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•"/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600200" indent="-2286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–"/>
                            <a:defRPr sz="16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2057400" indent="-2286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»"/>
                            <a:defRPr sz="16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514600" indent="-2286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•"/>
                            <a:defRPr sz="16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971800" indent="-2286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•"/>
                            <a:defRPr sz="16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429000" indent="-2286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•"/>
                            <a:defRPr sz="16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886200" indent="-2286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•"/>
                            <a:defRPr sz="16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s-ES" dirty="0" smtClean="0"/>
                            <a:t>My C Experimental</a:t>
                          </a:r>
                        </a:p>
                        <a:p>
                          <a:r>
                            <a:rPr lang="es-ES" dirty="0" smtClean="0"/>
                            <a:t>Control y </a:t>
                          </a:r>
                          <a:r>
                            <a:rPr lang="es-ES" dirty="0" err="1" smtClean="0"/>
                            <a:t>Prog</a:t>
                          </a:r>
                          <a:r>
                            <a:rPr lang="es-ES" dirty="0" smtClean="0"/>
                            <a:t> Robots</a:t>
                          </a:r>
                        </a:p>
                        <a:p>
                          <a:r>
                            <a:rPr lang="es-ES" dirty="0" smtClean="0"/>
                            <a:t>STR</a:t>
                          </a:r>
                        </a:p>
                        <a:p>
                          <a:r>
                            <a:rPr lang="es-ES" dirty="0" smtClean="0"/>
                            <a:t>S percepción</a:t>
                          </a:r>
                        </a:p>
                        <a:p>
                          <a:r>
                            <a:rPr lang="es-ES" dirty="0" smtClean="0"/>
                            <a:t>Modelado y simulación</a:t>
                          </a:r>
                        </a:p>
                        <a:p>
                          <a:r>
                            <a:rPr lang="es-ES" dirty="0" smtClean="0"/>
                            <a:t>Ingeniería de Control</a:t>
                          </a:r>
                          <a:endParaRPr lang="es-ES" dirty="0"/>
                        </a:p>
                      </a:txBody>
                      <a:useSpRect/>
                    </a:txSp>
                  </a:sp>
                  <a:sp>
                    <a:nvSpPr>
                      <a:cNvPr id="5" name="4 Marcador de texto"/>
                      <a:cNvSpPr>
                        <a:spLocks noGrp="1"/>
                      </a:cNvSpPr>
                    </a:nvSpPr>
                    <a:spPr>
                      <a:xfrm>
                        <a:off x="4645025" y="462682"/>
                        <a:ext cx="4041775" cy="639762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 lIns="91440" tIns="45720" rIns="91440" bIns="45720" rtlCol="0" anchor="b">
                          <a:normAutofit/>
                        </a:bodyPr>
                        <a:lstStyle>
                          <a:lvl1pPr marL="0" indent="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None/>
                            <a:defRPr sz="2400" b="1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indent="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None/>
                            <a:defRPr sz="2000" b="1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indent="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None/>
                            <a:defRPr sz="1800" b="1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indent="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None/>
                            <a:defRPr sz="1600" b="1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indent="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None/>
                            <a:defRPr sz="1600" b="1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indent="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None/>
                            <a:defRPr sz="1600" b="1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indent="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None/>
                            <a:defRPr sz="1600" b="1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indent="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None/>
                            <a:defRPr sz="1600" b="1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indent="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None/>
                            <a:defRPr sz="1600" b="1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s-ES" dirty="0" smtClean="0"/>
                            <a:t>Nueva asignatura</a:t>
                          </a:r>
                          <a:endParaRPr lang="es-ES" dirty="0"/>
                        </a:p>
                      </a:txBody>
                      <a:useSpRect/>
                    </a:txSp>
                  </a:sp>
                  <a:sp>
                    <a:nvSpPr>
                      <a:cNvPr id="6" name="5 Marcador de contenido"/>
                      <a:cNvSpPr>
                        <a:spLocks noGrp="1"/>
                      </a:cNvSpPr>
                    </a:nvSpPr>
                    <a:spPr>
                      <a:xfrm>
                        <a:off x="4645025" y="980728"/>
                        <a:ext cx="4319463" cy="3951288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 lIns="91440" tIns="45720" rIns="91440" bIns="45720" rtlCol="0">
                          <a:normAutofit/>
                        </a:bodyPr>
                        <a:lstStyle>
                          <a:lvl1pPr marL="342900" indent="-3429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•"/>
                            <a:defRPr sz="24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742950" indent="-28575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–"/>
                            <a:defRPr sz="20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1143000" indent="-2286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•"/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600200" indent="-2286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–"/>
                            <a:defRPr sz="16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2057400" indent="-2286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»"/>
                            <a:defRPr sz="16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514600" indent="-2286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•"/>
                            <a:defRPr sz="16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971800" indent="-2286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•"/>
                            <a:defRPr sz="16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429000" indent="-2286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•"/>
                            <a:defRPr sz="16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886200" indent="-228600" algn="l" defTabSz="914400" rtl="0" eaLnBrk="1" latinLnBrk="0" hangingPunct="1">
                            <a:spcBef>
                              <a:spcPct val="20000"/>
                            </a:spcBef>
                            <a:buFont typeface="Arial" pitchFamily="34" charset="0"/>
                            <a:buChar char="•"/>
                            <a:defRPr sz="16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s-ES" dirty="0" err="1" smtClean="0"/>
                            <a:t>Amp</a:t>
                          </a:r>
                          <a:r>
                            <a:rPr lang="es-ES" dirty="0" smtClean="0"/>
                            <a:t>. Automática (IAEI)</a:t>
                          </a:r>
                        </a:p>
                        <a:p>
                          <a:r>
                            <a:rPr lang="es-ES" dirty="0" smtClean="0"/>
                            <a:t>Robótica (I </a:t>
                          </a:r>
                          <a:r>
                            <a:rPr lang="es-ES" dirty="0" err="1" smtClean="0"/>
                            <a:t>Inf</a:t>
                          </a:r>
                          <a:r>
                            <a:rPr lang="es-ES" dirty="0" smtClean="0"/>
                            <a:t>)</a:t>
                          </a:r>
                        </a:p>
                        <a:p>
                          <a:r>
                            <a:rPr lang="es-ES" dirty="0" smtClean="0"/>
                            <a:t>STR (I </a:t>
                          </a:r>
                          <a:r>
                            <a:rPr lang="es-ES" dirty="0" err="1" smtClean="0"/>
                            <a:t>Inf</a:t>
                          </a:r>
                          <a:r>
                            <a:rPr lang="es-ES" dirty="0" smtClean="0"/>
                            <a:t>)</a:t>
                          </a:r>
                        </a:p>
                        <a:p>
                          <a:r>
                            <a:rPr lang="es-ES" dirty="0" smtClean="0"/>
                            <a:t>Instrumentación </a:t>
                          </a:r>
                          <a:r>
                            <a:rPr lang="es-ES" dirty="0" err="1" smtClean="0"/>
                            <a:t>Ind</a:t>
                          </a:r>
                          <a:r>
                            <a:rPr lang="es-ES" dirty="0" smtClean="0"/>
                            <a:t> (I </a:t>
                          </a:r>
                          <a:r>
                            <a:rPr lang="es-ES" dirty="0" err="1" smtClean="0"/>
                            <a:t>Inf</a:t>
                          </a:r>
                          <a:r>
                            <a:rPr lang="es-ES" dirty="0" smtClean="0"/>
                            <a:t>)</a:t>
                          </a:r>
                        </a:p>
                        <a:p>
                          <a:r>
                            <a:rPr lang="es-ES" dirty="0" smtClean="0"/>
                            <a:t>Control Industrial (I </a:t>
                          </a:r>
                          <a:r>
                            <a:rPr lang="es-ES" dirty="0" err="1" smtClean="0"/>
                            <a:t>Inf</a:t>
                          </a:r>
                          <a:r>
                            <a:rPr lang="es-ES" dirty="0" smtClean="0"/>
                            <a:t>)</a:t>
                          </a:r>
                        </a:p>
                        <a:p>
                          <a:r>
                            <a:rPr lang="es-ES" dirty="0" smtClean="0"/>
                            <a:t>Control Inteligente (IAEI)</a:t>
                          </a:r>
                        </a:p>
                        <a:p>
                          <a:r>
                            <a:rPr lang="es-ES" dirty="0" err="1" smtClean="0"/>
                            <a:t>Lab</a:t>
                          </a:r>
                          <a:r>
                            <a:rPr lang="es-ES" dirty="0" smtClean="0"/>
                            <a:t>. De Robótica y </a:t>
                          </a:r>
                          <a:r>
                            <a:rPr lang="es-ES" dirty="0" err="1" smtClean="0"/>
                            <a:t>Autom</a:t>
                          </a:r>
                          <a:r>
                            <a:rPr lang="es-ES" dirty="0" smtClean="0"/>
                            <a:t>. (II)</a:t>
                          </a:r>
                          <a:endParaRPr lang="es-ES" dirty="0"/>
                        </a:p>
                      </a:txBody>
                      <a:useSpRect/>
                    </a:txSp>
                  </a:sp>
                  <a:sp>
                    <a:nvSpPr>
                      <a:cNvPr id="9" name="2 Marcador de texto"/>
                      <a:cNvSpPr txBox="1">
                        <a:spLocks/>
                      </a:cNvSpPr>
                    </a:nvSpPr>
                    <a:spPr>
                      <a:xfrm>
                        <a:off x="609600" y="3896742"/>
                        <a:ext cx="4040188" cy="639762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 lIns="91440" tIns="45720" rIns="91440" bIns="45720" rtlCol="0" anchor="b">
                          <a:normAutofit/>
                        </a:bodyPr>
                        <a:lstStyle>
                          <a:defPPr>
                            <a:defRPr lang="es-E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0" marR="0" lvl="0" indent="0" algn="l" defTabSz="914400" rtl="0" eaLnBrk="1" fontAlgn="auto" latinLnBrk="0" hangingPunct="1">
                            <a:lnSpc>
                              <a:spcPct val="100000"/>
                            </a:lnSpc>
                            <a:spcBef>
                              <a:spcPct val="20000"/>
                            </a:spcBef>
                            <a:spcAft>
                              <a:spcPts val="0"/>
                            </a:spcAft>
                            <a:buClrTx/>
                            <a:buSzTx/>
                            <a:buFont typeface="Arial" pitchFamily="34" charset="0"/>
                            <a:buNone/>
                            <a:tabLst/>
                            <a:defRPr/>
                          </a:pPr>
                          <a:r>
                            <a:rPr kumimoji="0" lang="es-ES" sz="2400" b="1" i="0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+mn-lt"/>
                              <a:ea typeface="+mn-ea"/>
                              <a:cs typeface="+mn-cs"/>
                            </a:rPr>
                            <a:t>Asignaturas que se mantienen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0" name="3 Marcador de contenido"/>
                      <a:cNvSpPr txBox="1">
                        <a:spLocks/>
                      </a:cNvSpPr>
                    </a:nvSpPr>
                    <a:spPr>
                      <a:xfrm>
                        <a:off x="609600" y="4384178"/>
                        <a:ext cx="4040188" cy="1664494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 lIns="91440" tIns="45720" rIns="91440" bIns="45720" rtlCol="0">
                          <a:noAutofit/>
                        </a:bodyPr>
                        <a:lstStyle>
                          <a:defPPr>
                            <a:defRPr lang="es-E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342900" marR="0" lvl="0" indent="-342900" algn="l" defTabSz="914400" rtl="0" eaLnBrk="1" fontAlgn="auto" latinLnBrk="0" hangingPunct="1">
                            <a:lnSpc>
                              <a:spcPct val="100000"/>
                            </a:lnSpc>
                            <a:spcBef>
                              <a:spcPct val="20000"/>
                            </a:spcBef>
                            <a:spcAft>
                              <a:spcPts val="0"/>
                            </a:spcAft>
                            <a:buClrTx/>
                            <a:buSzTx/>
                            <a:buFont typeface="Arial" pitchFamily="34" charset="0"/>
                            <a:buChar char="•"/>
                            <a:tabLst/>
                            <a:defRPr/>
                          </a:pPr>
                          <a:r>
                            <a:rPr kumimoji="0" lang="es-ES" sz="2400" b="0" i="0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+mn-lt"/>
                              <a:ea typeface="+mn-ea"/>
                              <a:cs typeface="+mn-cs"/>
                            </a:rPr>
                            <a:t>Informática Industrial</a:t>
                          </a:r>
                        </a:p>
                        <a:p>
                          <a:pPr marL="342900" marR="0" lvl="0" indent="-342900" algn="l" defTabSz="914400" rtl="0" eaLnBrk="1" fontAlgn="auto" latinLnBrk="0" hangingPunct="1">
                            <a:lnSpc>
                              <a:spcPct val="100000"/>
                            </a:lnSpc>
                            <a:spcBef>
                              <a:spcPct val="20000"/>
                            </a:spcBef>
                            <a:spcAft>
                              <a:spcPts val="0"/>
                            </a:spcAft>
                            <a:buClrTx/>
                            <a:buSzTx/>
                            <a:buFont typeface="Arial" pitchFamily="34" charset="0"/>
                            <a:buChar char="•"/>
                            <a:tabLst/>
                            <a:defRPr/>
                          </a:pPr>
                          <a:r>
                            <a:rPr lang="es-ES" sz="2400" dirty="0" smtClean="0"/>
                            <a:t>Optimización y c o</a:t>
                          </a:r>
                        </a:p>
                        <a:p>
                          <a:pPr marL="342900" marR="0" lvl="0" indent="-342900" algn="l" defTabSz="914400" rtl="0" eaLnBrk="1" fontAlgn="auto" latinLnBrk="0" hangingPunct="1">
                            <a:lnSpc>
                              <a:spcPct val="100000"/>
                            </a:lnSpc>
                            <a:spcBef>
                              <a:spcPct val="20000"/>
                            </a:spcBef>
                            <a:spcAft>
                              <a:spcPts val="0"/>
                            </a:spcAft>
                            <a:buClrTx/>
                            <a:buSzTx/>
                            <a:buFont typeface="Arial" pitchFamily="34" charset="0"/>
                            <a:buChar char="•"/>
                            <a:tabLst/>
                            <a:defRPr/>
                          </a:pPr>
                          <a:r>
                            <a:rPr kumimoji="0" lang="es-ES" sz="2400" b="0" i="0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+mn-lt"/>
                              <a:ea typeface="+mn-ea"/>
                              <a:cs typeface="+mn-cs"/>
                            </a:rPr>
                            <a:t>Redes Neuronales</a:t>
                          </a:r>
                        </a:p>
                        <a:p>
                          <a:pPr marL="342900" marR="0" lvl="0" indent="-342900" algn="l" defTabSz="914400" rtl="0" eaLnBrk="1" fontAlgn="auto" latinLnBrk="0" hangingPunct="1">
                            <a:lnSpc>
                              <a:spcPct val="100000"/>
                            </a:lnSpc>
                            <a:spcBef>
                              <a:spcPct val="20000"/>
                            </a:spcBef>
                            <a:spcAft>
                              <a:spcPts val="0"/>
                            </a:spcAft>
                            <a:buClrTx/>
                            <a:buSzTx/>
                            <a:buFont typeface="Arial" pitchFamily="34" charset="0"/>
                            <a:buChar char="•"/>
                            <a:tabLst/>
                            <a:defRPr/>
                          </a:pPr>
                          <a:r>
                            <a:rPr lang="es-ES" sz="2400" dirty="0" smtClean="0"/>
                            <a:t>Arquitecturas de control</a:t>
                          </a:r>
                        </a:p>
                        <a:p>
                          <a:pPr marL="342900" marR="0" lvl="0" indent="-342900" algn="l" defTabSz="914400" rtl="0" eaLnBrk="1" fontAlgn="auto" latinLnBrk="0" hangingPunct="1">
                            <a:lnSpc>
                              <a:spcPct val="100000"/>
                            </a:lnSpc>
                            <a:spcBef>
                              <a:spcPct val="20000"/>
                            </a:spcBef>
                            <a:spcAft>
                              <a:spcPts val="0"/>
                            </a:spcAft>
                            <a:buClrTx/>
                            <a:buSzTx/>
                            <a:buFont typeface="Arial" pitchFamily="34" charset="0"/>
                            <a:buChar char="•"/>
                            <a:tabLst/>
                            <a:defRPr/>
                          </a:pPr>
                          <a:r>
                            <a:rPr kumimoji="0" lang="es-ES" sz="2400" b="0" i="0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+mn-lt"/>
                              <a:ea typeface="+mn-ea"/>
                              <a:cs typeface="+mn-cs"/>
                            </a:rPr>
                            <a:t>Redes locales industriales</a:t>
                          </a:r>
                        </a:p>
                      </a:txBody>
                      <a:useSpRect/>
                    </a:txSp>
                  </a:sp>
                  <a:sp>
                    <a:nvSpPr>
                      <a:cNvPr id="12" name="5 Marcador de contenido"/>
                      <a:cNvSpPr txBox="1">
                        <a:spLocks/>
                      </a:cNvSpPr>
                    </a:nvSpPr>
                    <a:spPr>
                      <a:xfrm>
                        <a:off x="4797425" y="4672210"/>
                        <a:ext cx="4346575" cy="1853134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 lIns="91440" tIns="45720" rIns="91440" bIns="45720" rtlCol="0">
                          <a:normAutofit/>
                        </a:bodyPr>
                        <a:lstStyle>
                          <a:defPPr>
                            <a:defRPr lang="es-E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marL="342900" marR="0" lvl="0" indent="-342900" algn="l" defTabSz="914400" rtl="0" eaLnBrk="1" fontAlgn="auto" latinLnBrk="0" hangingPunct="1">
                            <a:lnSpc>
                              <a:spcPct val="100000"/>
                            </a:lnSpc>
                            <a:spcBef>
                              <a:spcPct val="20000"/>
                            </a:spcBef>
                            <a:spcAft>
                              <a:spcPts val="0"/>
                            </a:spcAft>
                            <a:buClrTx/>
                            <a:buSzTx/>
                            <a:buFont typeface="Arial" pitchFamily="34" charset="0"/>
                            <a:buChar char="•"/>
                            <a:tabLst/>
                            <a:defRPr/>
                          </a:pPr>
                          <a:r>
                            <a:rPr kumimoji="0" lang="es-ES" sz="2400" b="0" i="0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+mn-lt"/>
                              <a:ea typeface="+mn-ea"/>
                              <a:cs typeface="+mn-cs"/>
                            </a:rPr>
                            <a:t>Sistemas distribuidos</a:t>
                          </a:r>
                        </a:p>
                        <a:p>
                          <a:pPr marL="342900" marR="0" lvl="0" indent="-342900" algn="l" defTabSz="914400" rtl="0" eaLnBrk="1" fontAlgn="auto" latinLnBrk="0" hangingPunct="1">
                            <a:lnSpc>
                              <a:spcPct val="100000"/>
                            </a:lnSpc>
                            <a:spcBef>
                              <a:spcPct val="20000"/>
                            </a:spcBef>
                            <a:spcAft>
                              <a:spcPts val="0"/>
                            </a:spcAft>
                            <a:buClrTx/>
                            <a:buSzTx/>
                            <a:buFont typeface="Arial" pitchFamily="34" charset="0"/>
                            <a:buChar char="•"/>
                            <a:tabLst/>
                            <a:defRPr/>
                          </a:pPr>
                          <a:r>
                            <a:rPr lang="es-ES" sz="2400" dirty="0" smtClean="0"/>
                            <a:t>Sistemas de Producción </a:t>
                          </a:r>
                          <a:r>
                            <a:rPr lang="es-ES" sz="2400" dirty="0" err="1" smtClean="0"/>
                            <a:t>Integ</a:t>
                          </a:r>
                          <a:r>
                            <a:rPr lang="es-ES" sz="2400" dirty="0" smtClean="0"/>
                            <a:t>.</a:t>
                          </a:r>
                        </a:p>
                        <a:p>
                          <a:pPr marL="342900" marR="0" lvl="0" indent="-342900" algn="l" defTabSz="914400" rtl="0" eaLnBrk="1" fontAlgn="auto" latinLnBrk="0" hangingPunct="1">
                            <a:lnSpc>
                              <a:spcPct val="100000"/>
                            </a:lnSpc>
                            <a:spcBef>
                              <a:spcPct val="20000"/>
                            </a:spcBef>
                            <a:spcAft>
                              <a:spcPts val="0"/>
                            </a:spcAft>
                            <a:buClrTx/>
                            <a:buSzTx/>
                            <a:buFont typeface="Arial" pitchFamily="34" charset="0"/>
                            <a:buChar char="•"/>
                            <a:tabLst/>
                            <a:defRPr/>
                          </a:pPr>
                          <a:r>
                            <a:rPr kumimoji="0" lang="es-ES" sz="2400" b="0" i="0" u="none" strike="noStrike" kern="1200" cap="none" spc="0" normalizeH="0" baseline="0" noProof="0" dirty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uLnTx/>
                              <a:uFillTx/>
                              <a:latin typeface="+mn-lt"/>
                              <a:ea typeface="+mn-ea"/>
                              <a:cs typeface="+mn-cs"/>
                            </a:rPr>
                            <a:t>Fabricación AC</a:t>
                          </a:r>
                        </a:p>
                        <a:p>
                          <a:pPr marL="342900" marR="0" lvl="0" indent="-342900" algn="l" defTabSz="914400" rtl="0" eaLnBrk="1" fontAlgn="auto" latinLnBrk="0" hangingPunct="1">
                            <a:lnSpc>
                              <a:spcPct val="100000"/>
                            </a:lnSpc>
                            <a:spcBef>
                              <a:spcPct val="20000"/>
                            </a:spcBef>
                            <a:spcAft>
                              <a:spcPts val="0"/>
                            </a:spcAft>
                            <a:buClrTx/>
                            <a:buSzTx/>
                            <a:buFont typeface="Arial" pitchFamily="34" charset="0"/>
                            <a:buChar char="•"/>
                            <a:tabLst/>
                            <a:defRPr/>
                          </a:pPr>
                          <a:r>
                            <a:rPr lang="es-ES" sz="2400" dirty="0" smtClean="0"/>
                            <a:t>Trabajo Dirigido de 1º</a:t>
                          </a:r>
                          <a:endParaRPr kumimoji="0" lang="es-ES" sz="2400" b="0" i="0" u="none" strike="noStrike" kern="1200" cap="none" spc="0" normalizeH="0" baseline="0" noProof="0" dirty="0" smtClean="0">
                            <a:ln>
                              <a:noFill/>
                            </a:ln>
                            <a:solidFill>
                              <a:schemeClr val="tx1"/>
                            </a:solidFill>
                            <a:effectLst/>
                            <a:uLnTx/>
                            <a:uFillTx/>
                            <a:latin typeface="+mn-lt"/>
                            <a:ea typeface="+mn-ea"/>
                            <a:cs typeface="+mn-cs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sectPr w:rsidR="000F0D7F" w:rsidRPr="005F68B5" w:rsidSect="00F123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E2D11"/>
    <w:multiLevelType w:val="multilevel"/>
    <w:tmpl w:val="30DA9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435401"/>
    <w:multiLevelType w:val="multilevel"/>
    <w:tmpl w:val="E932C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3B74EA"/>
    <w:multiLevelType w:val="multilevel"/>
    <w:tmpl w:val="1C7AF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814583"/>
    <w:multiLevelType w:val="multilevel"/>
    <w:tmpl w:val="FF422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055C6E"/>
    <w:multiLevelType w:val="multilevel"/>
    <w:tmpl w:val="4E462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50651A"/>
    <w:multiLevelType w:val="multilevel"/>
    <w:tmpl w:val="E788D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77441D"/>
    <w:multiLevelType w:val="multilevel"/>
    <w:tmpl w:val="93861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280A9B"/>
    <w:multiLevelType w:val="multilevel"/>
    <w:tmpl w:val="399E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311F19"/>
    <w:multiLevelType w:val="multilevel"/>
    <w:tmpl w:val="8C0A0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E754C7"/>
    <w:multiLevelType w:val="multilevel"/>
    <w:tmpl w:val="295E6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945B2C"/>
    <w:multiLevelType w:val="multilevel"/>
    <w:tmpl w:val="E83A8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6366FF3"/>
    <w:multiLevelType w:val="multilevel"/>
    <w:tmpl w:val="FC088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DE527B"/>
    <w:multiLevelType w:val="multilevel"/>
    <w:tmpl w:val="E912F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D8A2819"/>
    <w:multiLevelType w:val="multilevel"/>
    <w:tmpl w:val="F962A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37E744A"/>
    <w:multiLevelType w:val="multilevel"/>
    <w:tmpl w:val="0CBE5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7AC508E"/>
    <w:multiLevelType w:val="multilevel"/>
    <w:tmpl w:val="1F069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7A0E90"/>
    <w:multiLevelType w:val="multilevel"/>
    <w:tmpl w:val="BB4A8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F2C0959"/>
    <w:multiLevelType w:val="multilevel"/>
    <w:tmpl w:val="A8680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7"/>
  </w:num>
  <w:num w:numId="3">
    <w:abstractNumId w:val="4"/>
  </w:num>
  <w:num w:numId="4">
    <w:abstractNumId w:val="8"/>
  </w:num>
  <w:num w:numId="5">
    <w:abstractNumId w:val="11"/>
  </w:num>
  <w:num w:numId="6">
    <w:abstractNumId w:val="5"/>
  </w:num>
  <w:num w:numId="7">
    <w:abstractNumId w:val="3"/>
  </w:num>
  <w:num w:numId="8">
    <w:abstractNumId w:val="2"/>
  </w:num>
  <w:num w:numId="9">
    <w:abstractNumId w:val="13"/>
  </w:num>
  <w:num w:numId="10">
    <w:abstractNumId w:val="9"/>
  </w:num>
  <w:num w:numId="11">
    <w:abstractNumId w:val="14"/>
  </w:num>
  <w:num w:numId="12">
    <w:abstractNumId w:val="6"/>
  </w:num>
  <w:num w:numId="13">
    <w:abstractNumId w:val="7"/>
  </w:num>
  <w:num w:numId="14">
    <w:abstractNumId w:val="15"/>
  </w:num>
  <w:num w:numId="15">
    <w:abstractNumId w:val="16"/>
  </w:num>
  <w:num w:numId="16">
    <w:abstractNumId w:val="10"/>
  </w:num>
  <w:num w:numId="17">
    <w:abstractNumId w:val="1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092F"/>
    <w:rsid w:val="000F0D7F"/>
    <w:rsid w:val="005F68B5"/>
    <w:rsid w:val="007B092F"/>
    <w:rsid w:val="00F12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3F0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ar"/>
    <w:uiPriority w:val="9"/>
    <w:qFormat/>
    <w:rsid w:val="007B09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7B09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7B092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link w:val="Ttulo4Car"/>
    <w:uiPriority w:val="9"/>
    <w:qFormat/>
    <w:rsid w:val="007B09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B092F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7B092F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7B092F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7B092F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7B092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B09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bookingref">
    <w:name w:val="bookingref"/>
    <w:basedOn w:val="Normal"/>
    <w:rsid w:val="007B09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highlightprice">
    <w:name w:val="highlightprice"/>
    <w:basedOn w:val="Fuentedeprrafopredeter"/>
    <w:rsid w:val="007B092F"/>
  </w:style>
  <w:style w:type="character" w:customStyle="1" w:styleId="bookingicon">
    <w:name w:val="bookingicon"/>
    <w:basedOn w:val="Fuentedeprrafopredeter"/>
    <w:rsid w:val="007B092F"/>
  </w:style>
  <w:style w:type="paragraph" w:customStyle="1" w:styleId="info">
    <w:name w:val="info"/>
    <w:basedOn w:val="Normal"/>
    <w:rsid w:val="007B09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7B092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6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3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9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6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1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00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62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513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66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173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42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406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364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480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276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397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46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6861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0018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36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20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473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497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664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661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173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9123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14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461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0281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26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797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301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733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843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90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406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04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621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4697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17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42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1400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69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930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92934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551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124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7090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954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49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358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5926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99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097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570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419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899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262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6566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8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803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637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069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249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4489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430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485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7251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065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937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</Company>
  <LinksUpToDate>false</LinksUpToDate>
  <CharactersWithSpaces>46</CharactersWithSpaces>
  <SharedDoc>false</SharedDoc>
  <HLinks>
    <vt:vector size="90" baseType="variant">
      <vt:variant>
        <vt:i4>2752621</vt:i4>
      </vt:variant>
      <vt:variant>
        <vt:i4>42</vt:i4>
      </vt:variant>
      <vt:variant>
        <vt:i4>0</vt:i4>
      </vt:variant>
      <vt:variant>
        <vt:i4>5</vt:i4>
      </vt:variant>
      <vt:variant>
        <vt:lpwstr>javascript:window.close();</vt:lpwstr>
      </vt:variant>
      <vt:variant>
        <vt:lpwstr/>
      </vt:variant>
      <vt:variant>
        <vt:i4>7995488</vt:i4>
      </vt:variant>
      <vt:variant>
        <vt:i4>39</vt:i4>
      </vt:variant>
      <vt:variant>
        <vt:i4>0</vt:i4>
      </vt:variant>
      <vt:variant>
        <vt:i4>5</vt:i4>
      </vt:variant>
      <vt:variant>
        <vt:lpwstr>javascript:blur();</vt:lpwstr>
      </vt:variant>
      <vt:variant>
        <vt:lpwstr/>
      </vt:variant>
      <vt:variant>
        <vt:i4>589867</vt:i4>
      </vt:variant>
      <vt:variant>
        <vt:i4>36</vt:i4>
      </vt:variant>
      <vt:variant>
        <vt:i4>0</vt:i4>
      </vt:variant>
      <vt:variant>
        <vt:i4>5</vt:i4>
      </vt:variant>
      <vt:variant>
        <vt:lpwstr>javascript:popUpScrolling('https://www.britishairways.com/travel/ba6.jsp/bagchk/public/es_es?USDOT=OpenBagCharges','620','650')</vt:lpwstr>
      </vt:variant>
      <vt:variant>
        <vt:lpwstr/>
      </vt:variant>
      <vt:variant>
        <vt:i4>6094958</vt:i4>
      </vt:variant>
      <vt:variant>
        <vt:i4>33</vt:i4>
      </vt:variant>
      <vt:variant>
        <vt:i4>0</vt:i4>
      </vt:variant>
      <vt:variant>
        <vt:i4>5</vt:i4>
      </vt:variant>
      <vt:variant>
        <vt:lpwstr>https://www.britishairways.com/travel/ba6.jsp/baggag/public/es_es</vt:lpwstr>
      </vt:variant>
      <vt:variant>
        <vt:lpwstr/>
      </vt:variant>
      <vt:variant>
        <vt:i4>589867</vt:i4>
      </vt:variant>
      <vt:variant>
        <vt:i4>30</vt:i4>
      </vt:variant>
      <vt:variant>
        <vt:i4>0</vt:i4>
      </vt:variant>
      <vt:variant>
        <vt:i4>5</vt:i4>
      </vt:variant>
      <vt:variant>
        <vt:lpwstr>javascript:popUpScrolling('https://www.britishairways.com/travel/ba6.jsp/bagchk/public/es_es?USDOT=OpenBagCharges','620','650')</vt:lpwstr>
      </vt:variant>
      <vt:variant>
        <vt:lpwstr/>
      </vt:variant>
      <vt:variant>
        <vt:i4>6094958</vt:i4>
      </vt:variant>
      <vt:variant>
        <vt:i4>27</vt:i4>
      </vt:variant>
      <vt:variant>
        <vt:i4>0</vt:i4>
      </vt:variant>
      <vt:variant>
        <vt:i4>5</vt:i4>
      </vt:variant>
      <vt:variant>
        <vt:lpwstr>https://www.britishairways.com/travel/ba6.jsp/baggag/public/es_es</vt:lpwstr>
      </vt:variant>
      <vt:variant>
        <vt:lpwstr/>
      </vt:variant>
      <vt:variant>
        <vt:i4>589867</vt:i4>
      </vt:variant>
      <vt:variant>
        <vt:i4>24</vt:i4>
      </vt:variant>
      <vt:variant>
        <vt:i4>0</vt:i4>
      </vt:variant>
      <vt:variant>
        <vt:i4>5</vt:i4>
      </vt:variant>
      <vt:variant>
        <vt:lpwstr>javascript:popUpScrolling('https://www.britishairways.com/travel/ba6.jsp/bagchk/public/es_es?USDOT=OpenBagCharges','620','650')</vt:lpwstr>
      </vt:variant>
      <vt:variant>
        <vt:lpwstr/>
      </vt:variant>
      <vt:variant>
        <vt:i4>6094958</vt:i4>
      </vt:variant>
      <vt:variant>
        <vt:i4>21</vt:i4>
      </vt:variant>
      <vt:variant>
        <vt:i4>0</vt:i4>
      </vt:variant>
      <vt:variant>
        <vt:i4>5</vt:i4>
      </vt:variant>
      <vt:variant>
        <vt:lpwstr>https://www.britishairways.com/travel/ba6.jsp/baggag/public/es_es</vt:lpwstr>
      </vt:variant>
      <vt:variant>
        <vt:lpwstr/>
      </vt:variant>
      <vt:variant>
        <vt:i4>589867</vt:i4>
      </vt:variant>
      <vt:variant>
        <vt:i4>18</vt:i4>
      </vt:variant>
      <vt:variant>
        <vt:i4>0</vt:i4>
      </vt:variant>
      <vt:variant>
        <vt:i4>5</vt:i4>
      </vt:variant>
      <vt:variant>
        <vt:lpwstr>javascript:popUpScrolling('https://www.britishairways.com/travel/ba6.jsp/bagchk/public/es_es?USDOT=OpenBagCharges','620','650')</vt:lpwstr>
      </vt:variant>
      <vt:variant>
        <vt:lpwstr/>
      </vt:variant>
      <vt:variant>
        <vt:i4>6094958</vt:i4>
      </vt:variant>
      <vt:variant>
        <vt:i4>15</vt:i4>
      </vt:variant>
      <vt:variant>
        <vt:i4>0</vt:i4>
      </vt:variant>
      <vt:variant>
        <vt:i4>5</vt:i4>
      </vt:variant>
      <vt:variant>
        <vt:lpwstr>https://www.britishairways.com/travel/ba6.jsp/baggag/public/es_es</vt:lpwstr>
      </vt:variant>
      <vt:variant>
        <vt:lpwstr/>
      </vt:variant>
      <vt:variant>
        <vt:i4>589867</vt:i4>
      </vt:variant>
      <vt:variant>
        <vt:i4>12</vt:i4>
      </vt:variant>
      <vt:variant>
        <vt:i4>0</vt:i4>
      </vt:variant>
      <vt:variant>
        <vt:i4>5</vt:i4>
      </vt:variant>
      <vt:variant>
        <vt:lpwstr>javascript:popUpScrolling('https://www.britishairways.com/travel/ba6.jsp/bagchk/public/es_es?USDOT=OpenBagCharges','620','650')</vt:lpwstr>
      </vt:variant>
      <vt:variant>
        <vt:lpwstr/>
      </vt:variant>
      <vt:variant>
        <vt:i4>6094958</vt:i4>
      </vt:variant>
      <vt:variant>
        <vt:i4>9</vt:i4>
      </vt:variant>
      <vt:variant>
        <vt:i4>0</vt:i4>
      </vt:variant>
      <vt:variant>
        <vt:i4>5</vt:i4>
      </vt:variant>
      <vt:variant>
        <vt:lpwstr>https://www.britishairways.com/travel/ba6.jsp/baggag/public/es_es</vt:lpwstr>
      </vt:variant>
      <vt:variant>
        <vt:lpwstr/>
      </vt:variant>
      <vt:variant>
        <vt:i4>589867</vt:i4>
      </vt:variant>
      <vt:variant>
        <vt:i4>6</vt:i4>
      </vt:variant>
      <vt:variant>
        <vt:i4>0</vt:i4>
      </vt:variant>
      <vt:variant>
        <vt:i4>5</vt:i4>
      </vt:variant>
      <vt:variant>
        <vt:lpwstr>javascript:popUpScrolling('https://www.britishairways.com/travel/ba6.jsp/bagchk/public/es_es?USDOT=OpenBagCharges','620','650')</vt:lpwstr>
      </vt:variant>
      <vt:variant>
        <vt:lpwstr/>
      </vt:variant>
      <vt:variant>
        <vt:i4>6094958</vt:i4>
      </vt:variant>
      <vt:variant>
        <vt:i4>3</vt:i4>
      </vt:variant>
      <vt:variant>
        <vt:i4>0</vt:i4>
      </vt:variant>
      <vt:variant>
        <vt:i4>5</vt:i4>
      </vt:variant>
      <vt:variant>
        <vt:lpwstr>https://www.britishairways.com/travel/ba6.jsp/baggag/public/es_es</vt:lpwstr>
      </vt:variant>
      <vt:variant>
        <vt:lpwstr/>
      </vt:variant>
      <vt:variant>
        <vt:i4>7995488</vt:i4>
      </vt:variant>
      <vt:variant>
        <vt:i4>0</vt:i4>
      </vt:variant>
      <vt:variant>
        <vt:i4>0</vt:i4>
      </vt:variant>
      <vt:variant>
        <vt:i4>5</vt:i4>
      </vt:variant>
      <vt:variant>
        <vt:lpwstr>javascript:blur();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</dc:creator>
  <cp:lastModifiedBy>pedro</cp:lastModifiedBy>
  <cp:revision>4</cp:revision>
  <dcterms:created xsi:type="dcterms:W3CDTF">2012-12-17T08:55:00Z</dcterms:created>
  <dcterms:modified xsi:type="dcterms:W3CDTF">2012-12-17T08:57:00Z</dcterms:modified>
</cp:coreProperties>
</file>