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Test 1 Formulas</w:t>
      </w:r>
    </w:p>
    <w:p>
      <w:pPr>
        <w:pStyle w:val="style0"/>
        <w:jc w:val="left"/>
      </w:pPr>
      <w:r>
        <w:rPr/>
      </w:r>
    </w:p>
    <w:tbl>
      <w:tblPr>
        <w:jc w:val="left"/>
        <w:tblInd w:type="dxa" w:w="-417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5006"/>
        <w:gridCol w:w="5460"/>
      </w:tblGrid>
      <w:tr>
        <w:trPr>
          <w:cantSplit w:val="false"/>
        </w:trPr>
        <w:tc>
          <w:tcPr>
            <w:tcW w:type="dxa" w:w="5006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b/>
                <w:bCs/>
                <w:i w:val="false"/>
                <w:iCs w:val="false"/>
                <w:u w:val="none"/>
              </w:rPr>
              <w:t>Sample Size Estimation:</w:t>
              <w:br/>
            </w:r>
          </w:p>
          <w:p>
            <w:pPr>
              <w:pStyle w:val="style0"/>
              <w:jc w:val="left"/>
            </w:pPr>
            <w:r>
              <w:rPr/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n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o</m:t>
                  </m:r>
                </m:sub>
              </m:sSub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Z</m:t>
                      </m:r>
                    </m:e>
                    <m:sub>
                      <m:f>
                        <m:fPr>
                          <m:type m:val="lin"/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den>
                      </m:f>
                    </m:sub>
                  </m:sSub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</m:den>
              </m:f>
            </m:oMath>
            <w:r>
              <w:rPr/>
              <w:t xml:space="preserve"> </w:t>
            </w:r>
          </w:p>
        </w:tc>
        <w:tc>
          <w:tcPr>
            <w:tcW w:type="dxa" w:w="5460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0"/>
              <w:jc w:val="left"/>
            </w:pPr>
            <w:r>
              <w:rPr>
                <w:b/>
                <w:bCs/>
              </w:rPr>
              <w:t>Sample size estimation 'double check'</w:t>
              <w:br/>
            </w:r>
          </w:p>
          <w:p>
            <w:pPr>
              <w:pStyle w:val="style20"/>
              <w:jc w:val="left"/>
            </w:pPr>
            <w:r>
              <w:rPr/>
              <w:t xml:space="preserve">n = </w:t>
            </w:r>
            <w:r>
              <w:rPr/>
            </w:r>
            <m:oMath xmlns:m="http://schemas.openxmlformats.org/officeDocument/2006/math">
              <m:f>
                <m:num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o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f>
                    <m:num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o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den>
                  </m:f>
                </m:den>
              </m:f>
            </m:oMath>
            <w:r>
              <w:rPr/>
              <w:br/>
            </w:r>
          </w:p>
        </w:tc>
      </w:tr>
      <w:tr>
        <w:trPr>
          <w:cantSplit w:val="false"/>
        </w:trPr>
        <w:tc>
          <w:tcPr>
            <w:tcW w:type="dxa" w:w="5006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b/>
                <w:bCs/>
                <w:i w:val="false"/>
                <w:iCs w:val="false"/>
                <w:u w:val="none"/>
              </w:rPr>
              <w:t>Sample Size Estimation Using Proportions:</w:t>
            </w:r>
          </w:p>
          <w:p>
            <w:pPr>
              <w:pStyle w:val="style0"/>
              <w:jc w:val="left"/>
            </w:pPr>
            <w:r>
              <w:rPr/>
            </w:r>
          </w:p>
          <w:p>
            <w:pPr>
              <w:pStyle w:val="style0"/>
              <w:jc w:val="left"/>
            </w:pPr>
            <w:r>
              <w:rPr>
                <w:b/>
                <w:bCs/>
                <w:i w:val="false"/>
                <w:iCs w:val="false"/>
                <w:u w:val="none"/>
              </w:rPr>
              <w:t xml:space="preserve">For Differences: </w:t>
            </w:r>
            <w:r>
              <w:rPr/>
            </w:r>
            <m:oMath xmlns:m="http://schemas.openxmlformats.org/officeDocument/2006/math">
              <m:d>
                <m:dPr>
                  <m:begChr m:val="("/>
                  <m:endChr m:val=")"/>
                </m:dPr>
                <m:e>
                  <m:acc>
                    <m:accPr>
                      <m:chr m:val="̄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</m:acc>
                  <m:r>
                    <w:rPr>
                      <w:rFonts w:ascii="Cambria Math" w:hAnsi="Cambria Math"/>
                    </w:rPr>
                    <m:t xml:space="preserve">−</m:t>
                  </m:r>
                  <m:acc>
                    <m:accPr>
                      <m:chr m:val="̄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</m:acc>
                </m:e>
              </m:d>
            </m:oMath>
          </w:p>
          <w:p>
            <w:pPr>
              <w:pStyle w:val="style0"/>
              <w:jc w:val="left"/>
            </w:pPr>
            <w:r>
              <w:rPr/>
            </w:r>
          </w:p>
          <w:p>
            <w:pPr>
              <w:pStyle w:val="style0"/>
              <w:jc w:val="left"/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 xml:space="preserve">n = </w:t>
            </w:r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N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Z</m:t>
                      </m:r>
                    </m:e>
                    <m:sub>
                      <m:f>
                        <m:fPr>
                          <m:type m:val="lin"/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den>
                      </m:f>
                    </m:sub>
                  </m:sSub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PQ</m:t>
                  </m:r>
                </m:num>
                <m:den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e>
                  </m:d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</m:t>
                  </m:r>
                  <m:sSubSup>
                    <m:e>
                      <m:r>
                        <w:rPr>
                          <w:rFonts w:ascii="Cambria Math" w:hAnsi="Cambria Math"/>
                        </w:rPr>
                        <m:t xml:space="preserve">z</m:t>
                      </m:r>
                    </m:e>
                    <m:sub>
                      <m:f>
                        <m:fPr>
                          <m:type m:val="lin"/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alpha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 xml:space="preserve">∗</m:t>
                  </m:r>
                  <m:r>
                    <w:rPr>
                      <w:rFonts w:ascii="Cambria Math" w:hAnsi="Cambria Math"/>
                    </w:rPr>
                    <m:t xml:space="preserve">PQ</m:t>
                  </m:r>
                </m:den>
              </m:f>
            </m:oMath>
          </w:p>
          <w:p>
            <w:pPr>
              <w:pStyle w:val="style0"/>
              <w:jc w:val="left"/>
            </w:pPr>
            <w:r>
              <w:rPr/>
            </w:r>
          </w:p>
          <w:p>
            <w:pPr>
              <w:pStyle w:val="style0"/>
              <w:jc w:val="left"/>
            </w:pPr>
            <w:r>
              <w:rPr/>
            </w:r>
          </w:p>
        </w:tc>
        <w:tc>
          <w:tcPr>
            <w:tcW w:type="dxa" w:w="54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left"/>
            </w:pPr>
            <w:r>
              <w:rPr>
                <w:b/>
                <w:bCs/>
                <w:i w:val="false"/>
                <w:iCs w:val="false"/>
                <w:u w:val="none"/>
              </w:rPr>
              <w:t xml:space="preserve">Sample Size Estimation Using </w:t>
            </w:r>
          </w:p>
          <w:p>
            <w:pPr>
              <w:pStyle w:val="style0"/>
              <w:jc w:val="left"/>
            </w:pPr>
            <w:r>
              <w:rPr>
                <w:b/>
                <w:bCs/>
                <w:i w:val="false"/>
                <w:iCs w:val="false"/>
                <w:u w:val="none"/>
              </w:rPr>
              <w:t>Proportions:</w:t>
            </w:r>
          </w:p>
          <w:p>
            <w:pPr>
              <w:pStyle w:val="style0"/>
              <w:jc w:val="left"/>
            </w:pPr>
            <w:r>
              <w:rPr/>
            </w:r>
          </w:p>
          <w:p>
            <w:pPr>
              <w:pStyle w:val="style0"/>
              <w:jc w:val="left"/>
            </w:pPr>
            <w:r>
              <w:rPr>
                <w:b/>
                <w:bCs/>
                <w:i w:val="false"/>
                <w:iCs w:val="false"/>
                <w:u w:val="none"/>
              </w:rPr>
              <w:t xml:space="preserve">For Relative Differences: </w:t>
            </w:r>
            <w:r>
              <w:rPr/>
            </w:r>
            <m:oMath xmlns:m="http://schemas.openxmlformats.org/officeDocument/2006/math">
              <m:f>
                <m:num>
                  <m:d>
                    <m:dPr>
                      <m:begChr m:val="("/>
                      <m:endChr m:val=")"/>
                    </m:dPr>
                    <m:e>
                      <m:acc>
                        <m:accPr>
                          <m:chr m:val="̄"/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y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acc>
                        <m:accPr>
                          <m:chr m:val="̄"/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Y</m:t>
                          </m:r>
                        </m:e>
                      </m:acc>
                    </m:e>
                  </m:d>
                </m:num>
                <m:den>
                  <m:acc>
                    <m:accPr>
                      <m:chr m:val="̄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</m:acc>
                </m:den>
              </m:f>
            </m:oMath>
          </w:p>
          <w:p>
            <w:pPr>
              <w:pStyle w:val="style0"/>
              <w:jc w:val="left"/>
            </w:pPr>
            <w:r>
              <w:rPr/>
            </w:r>
          </w:p>
          <w:p>
            <w:pPr>
              <w:pStyle w:val="style0"/>
              <w:jc w:val="left"/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 xml:space="preserve">n = </w:t>
            </w:r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N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Z</m:t>
                      </m:r>
                    </m:e>
                    <m:sub>
                      <m:f>
                        <m:fPr>
                          <m:type m:val="lin"/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den>
                      </m:f>
                    </m:sub>
                  </m:sSub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PQ</m:t>
                  </m:r>
                </m:num>
                <m:den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e>
                  </m:d>
                  <m:sSup>
                    <m:e>
                      <m:d>
                        <m:dPr>
                          <m:begChr m:val="("/>
                          <m:endChr m:val=")"/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eP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+</m:t>
                  </m:r>
                  <m:sSubSup>
                    <m:e>
                      <m:r>
                        <w:rPr>
                          <w:rFonts w:ascii="Cambria Math" w:hAnsi="Cambria Math"/>
                        </w:rPr>
                        <m:t xml:space="preserve">z</m:t>
                      </m:r>
                    </m:e>
                    <m:sub>
                      <m:f>
                        <m:fPr>
                          <m:type m:val="lin"/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 xml:space="preserve">alpha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 xml:space="preserve">∗</m:t>
                  </m:r>
                  <m:r>
                    <w:rPr>
                      <w:rFonts w:ascii="Cambria Math" w:hAnsi="Cambria Math"/>
                    </w:rPr>
                    <m:t xml:space="preserve">PQ</m:t>
                  </m:r>
                </m:den>
              </m:f>
            </m:oMath>
          </w:p>
        </w:tc>
      </w:tr>
      <w:tr>
        <w:trPr>
          <w:cantSplit w:val="false"/>
        </w:trPr>
        <w:tc>
          <w:tcPr>
            <w:tcW w:type="dxa" w:w="5233"/>
            <w:gridSpan w:val="2"/>
            <w:vMerge w:val="restart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0"/>
              <w:jc w:val="left"/>
            </w:pPr>
            <w:r>
              <w:rPr>
                <w:b/>
                <w:bCs/>
              </w:rPr>
              <w:t>Weighted samples: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>Step 1:</w:t>
            </w:r>
            <w:r>
              <w:rPr/>
            </w:r>
            <m:oMath xmlns:m="http://schemas.openxmlformats.org/officeDocument/2006/math">
              <m:acc>
                <m:accPr>
                  <m:chr m:val="̄"/>
                </m:accPr>
                <m:e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w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nary>
                    <m:naryPr>
                      <m:chr m:val="∑"/>
                      <m:subHide m:val="1"/>
                      <m:supHide m:val="1"/>
                    </m:naryPr>
                    <m:sub/>
                    <m:sup/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i</m:t>
                          </m:r>
                        </m:sub>
                      </m:sSub>
                    </m:e>
                  </m:nary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i</m:t>
                      </m:r>
                    </m:sub>
                  </m:sSub>
                </m:num>
                <m:den>
                  <m:nary>
                    <m:naryPr>
                      <m:chr m:val="∑"/>
                      <m:subHide m:val="1"/>
                      <m:supHide m:val="1"/>
                    </m:naryPr>
                    <m:sub/>
                    <m:sup/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i</m:t>
                          </m:r>
                        </m:sub>
                      </m:sSub>
                    </m:e>
                  </m:nary>
                </m:den>
              </m:f>
            </m:oMath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 xml:space="preserve">Step 2: Calculate 'n.tilde': </w:t>
            </w:r>
            <w:r>
              <w:rPr/>
            </w:r>
            <m:oMath xmlns:m="http://schemas.openxmlformats.org/officeDocument/2006/math">
              <m:acc>
                <m:accPr>
                  <m:chr m:val="̃"/>
                </m:accPr>
                <m:e>
                  <m:r>
                    <w:rPr>
                      <w:rFonts w:ascii="Cambria Math" w:hAnsi="Cambria Math"/>
                    </w:rPr>
                    <m:t xml:space="preserve">n</m:t>
                  </m:r>
                </m:e>
              </m:acc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sSup>
                    <m:e>
                      <m:d>
                        <m:dPr>
                          <m:begChr m:val="("/>
                          <m:endChr m:val=")"/>
                        </m:dPr>
                        <m:e>
                          <m:nary>
                            <m:naryPr>
                              <m:chr m:val="∑"/>
                              <m:subHide m:val="1"/>
                              <m:supHide m:val="1"/>
                            </m:naryPr>
                            <m:sub/>
                            <m:sup/>
                            <m:e>
                              <m:sSub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i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</m:num>
                <m:den>
                  <m:nary>
                    <m:naryPr>
                      <m:chr m:val="∑"/>
                      <m:subHide m:val="1"/>
                      <m:supHide m:val="1"/>
                    </m:naryPr>
                    <m:sub/>
                    <m:sup/>
                    <m:e>
                      <m:sSubSup>
                        <m:e>
                          <m:r>
                            <w:rPr>
                              <w:rFonts w:ascii="Cambria Math" w:hAnsi="Cambria Math"/>
                            </w:rPr>
                            <m:t xml:space="preserve"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sup>
                      </m:sSubSup>
                    </m:e>
                  </m:nary>
                </m:den>
              </m:f>
            </m:oMath>
          </w:p>
          <w:p>
            <w:pPr>
              <w:pStyle w:val="style20"/>
              <w:jc w:val="left"/>
            </w:pPr>
            <w:r>
              <w:rPr/>
              <w:t xml:space="preserve">            </w:t>
            </w:r>
            <w:r>
              <w:rPr/>
              <w:t>{Used throughout}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 xml:space="preserve">Step 2: Calculate 'w star i': </w:t>
            </w:r>
            <w:r>
              <w:rPr/>
            </w:r>
            <m:oMath xmlns:m="http://schemas.openxmlformats.org/officeDocument/2006/math">
              <m:sSub>
                <m:e>
                  <m:r>
                    <w:rPr>
                      <w:rFonts w:ascii="Cambria Math" w:hAnsi="Cambria Math"/>
                    </w:rPr>
                    <m:t xml:space="preserve">w.star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  <m:r>
                <w:rPr>
                  <w:rFonts w:ascii="Cambria Math" w:hAnsi="Cambria Math"/>
                </w:rPr>
                <m:t xml:space="preserve">=</m:t>
              </m:r>
              <m:acc>
                <m:accPr>
                  <m:chr m:val="̃"/>
                </m:accPr>
                <m:e>
                  <m:r>
                    <w:rPr>
                      <w:rFonts w:ascii="Cambria Math" w:hAnsi="Cambria Math"/>
                    </w:rPr>
                    <m:t xml:space="preserve">n</m:t>
                  </m:r>
                </m:e>
              </m:acc>
              <m:f>
                <m:num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i</m:t>
                      </m:r>
                    </m:sub>
                  </m:sSub>
                </m:num>
                <m:den>
                  <m:d>
                    <m:dPr>
                      <m:begChr m:val="("/>
                      <m:endChr m:val=")"/>
                    </m:dPr>
                    <m:e>
                      <m:nary>
                        <m:naryPr>
                          <m:chr m:val="∑"/>
                          <m:subHide m:val="1"/>
                          <m:supHide m:val="1"/>
                        </m:naryPr>
                        <m:sub/>
                        <m:sup/>
                        <m:e>
                          <m:sSub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 xml:space="preserve">i</m:t>
                              </m:r>
                            </m:sub>
                          </m:sSub>
                        </m:e>
                      </m:nary>
                    </m:e>
                  </m:d>
                </m:den>
              </m:f>
            </m:oMath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 xml:space="preserve">Step 3: Calculate: </w:t>
            </w:r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FPC</m:t>
                  </m:r>
                </m:num>
                <m:den>
                  <m:acc>
                    <m:accPr>
                      <m:chr m:val="̃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e>
                  </m:acc>
                </m:den>
              </m:f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f</m:t>
                      </m:r>
                    </m:e>
                  </m:d>
                </m:num>
                <m:den>
                  <m:acc>
                    <m:accPr>
                      <m:chr m:val="̃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e>
                  </m:acc>
                </m:den>
              </m:f>
            </m:oMath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 xml:space="preserve">Step 4: Calculate </w:t>
            </w:r>
            <w:r>
              <w:rPr/>
            </w:r>
            <m:oMath xmlns:m="http://schemas.openxmlformats.org/officeDocument/2006/math">
              <m:acc>
                <m:accPr>
                  <m:chr m:val="̂"/>
                </m:accPr>
                <m:e>
                  <m:r>
                    <w:rPr>
                      <w:rFonts w:ascii="Cambria Math" w:hAnsi="Cambria Math"/>
                    </w:rPr>
                    <m:t xml:space="preserve">var</m:t>
                  </m:r>
                </m:e>
              </m:acc>
              <m:d>
                <m:dPr>
                  <m:begChr m:val="("/>
                  <m:endChr m:val=")"/>
                </m:dPr>
                <m:e>
                  <m:acc>
                    <m:accPr>
                      <m:chr m:val="̄"/>
                    </m:accPr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w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FPC</m:t>
                  </m:r>
                </m:num>
                <m:den>
                  <m:acc>
                    <m:accPr>
                      <m:chr m:val="̃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e>
                  </m:acc>
                </m:den>
              </m:f>
              <m:d>
                <m:dPr>
                  <m:begChr m:val="["/>
                  <m:endChr m:val="]"/>
                </m:dPr>
                <m:e>
                  <m:f>
                    <m:num>
                      <m:nary>
                        <m:naryPr>
                          <m:chr m:val="∑"/>
                          <m:subHide m:val="1"/>
                          <m:supHide m:val="1"/>
                        </m:naryPr>
                        <m:sub/>
                        <m:sup/>
                        <m:e>
                          <m:sSub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w.star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 xml:space="preserve">i</m:t>
                              </m:r>
                            </m:sub>
                          </m:sSub>
                        </m:e>
                      </m:nary>
                      <m:sSup>
                        <m:e>
                          <m:d>
                            <m:dPr>
                              <m:begChr m:val="("/>
                              <m:endChr m:val=")"/>
                            </m:dPr>
                            <m:e>
                              <m:sSub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−</m:t>
                              </m:r>
                              <m:acc>
                                <m:accPr>
                                  <m:chr m:val="̄"/>
                                </m:accPr>
                                <m:e>
                                  <m:sSub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w</m:t>
                                      </m:r>
                                    </m:sub>
                                  </m:sSub>
                                </m:e>
                              </m:ac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nary>
                        <m:naryPr>
                          <m:chr m:val="∑"/>
                          <m:subHide m:val="1"/>
                          <m:supHide m:val="1"/>
                        </m:naryPr>
                        <m:sub/>
                        <m:sup/>
                        <m:e>
                          <m:sSub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w.star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 xml:space="preserve">i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den>
                  </m:f>
                </m:e>
              </m:d>
            </m:oMath>
          </w:p>
          <w:p>
            <w:pPr>
              <w:pStyle w:val="style20"/>
              <w:jc w:val="left"/>
            </w:pPr>
            <w:r>
              <w:rPr/>
            </w:r>
          </w:p>
        </w:tc>
        <w:tc>
          <w:tcPr>
            <w:tcW w:type="dxa" w:w="5233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0"/>
              <w:jc w:val="left"/>
            </w:pPr>
            <w:r>
              <w:rPr>
                <w:b/>
                <w:bCs/>
              </w:rPr>
              <w:t>Fisher's Exact Test: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>P</w:t>
            </w:r>
            <w:r>
              <w:rPr>
                <w:b/>
                <w:bCs/>
                <w:sz w:val="28"/>
                <w:szCs w:val="28"/>
                <w:vertAlign w:val="subscript"/>
              </w:rPr>
              <w:t>cutoff</w:t>
            </w:r>
            <w:r>
              <w:rPr/>
              <w:t xml:space="preserve"> = </w:t>
            </w:r>
            <w:r>
              <w:rPr/>
            </w:r>
            <m:oMath xmlns:m="http://schemas.openxmlformats.org/officeDocument/2006/math">
              <m:f>
                <m:num>
                  <m:d>
                    <m:dPr>
                      <m:begChr m:val="("/>
                      <m:endChr m:val=")"/>
                    </m:dPr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!</m:t>
                      </m:r>
                      <m:r>
                        <w:rPr>
                          <w:rFonts w:ascii="Cambria Math" w:hAnsi="Cambria Math"/>
                        </w:rPr>
                        <m:t xml:space="preserve">,</m:t>
                      </m:r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!</m:t>
                      </m:r>
                      <m:r>
                        <w:rPr>
                          <w:rFonts w:ascii="Cambria Math" w:hAnsi="Cambria Math"/>
                        </w:rPr>
                        <m:t xml:space="preserve">,</m:t>
                      </m:r>
                      <m:r>
                        <w:rPr>
                          <w:rFonts w:ascii="Cambria Math" w:hAnsi="Cambria Math"/>
                        </w:rPr>
                        <m:t xml:space="preserve">...</m:t>
                      </m:r>
                      <m:r>
                        <w:rPr>
                          <w:rFonts w:ascii="Cambria Math" w:hAnsi="Cambria Math"/>
                        </w:rPr>
                        <m:t xml:space="preserve">,</m:t>
                      </m:r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m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!</m:t>
                      </m:r>
                    </m:e>
                  </m:d>
                  <m:d>
                    <m:dPr>
                      <m:begChr m:val="("/>
                      <m:endChr m:val=")"/>
                    </m:dPr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!</m:t>
                      </m:r>
                      <m:r>
                        <w:rPr>
                          <w:rFonts w:ascii="Cambria Math" w:hAnsi="Cambria Math"/>
                        </w:rPr>
                        <m:t xml:space="preserve">,</m:t>
                      </m:r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!</m:t>
                      </m:r>
                      <m:r>
                        <w:rPr>
                          <w:rFonts w:ascii="Cambria Math" w:hAnsi="Cambria Math"/>
                        </w:rPr>
                        <m:t xml:space="preserve">,</m:t>
                      </m:r>
                      <m:r>
                        <w:rPr>
                          <w:rFonts w:ascii="Cambria Math" w:hAnsi="Cambria Math"/>
                        </w:rPr>
                        <m:t xml:space="preserve">...</m:t>
                      </m:r>
                      <m:r>
                        <w:rPr>
                          <w:rFonts w:ascii="Cambria Math" w:hAnsi="Cambria Math"/>
                        </w:rPr>
                        <m:t xml:space="preserve">,</m:t>
                      </m:r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!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 xml:space="preserve">N</m:t>
                  </m:r>
                  <m:r>
                    <w:rPr>
                      <w:rFonts w:ascii="Cambria Math" w:hAnsi="Cambria Math"/>
                    </w:rPr>
                    <m:t xml:space="preserve">!</m:t>
                  </m:r>
                  <m:nary>
                    <m:naryPr>
                      <m:chr m:val="∏"/>
                      <m:supHide m:val="1"/>
                    </m:naryPr>
                    <m:sub>
                      <m:r>
                        <w:rPr>
                          <w:rFonts w:ascii="Cambria Math" w:hAnsi="Cambria Math"/>
                        </w:rPr>
                        <m:t xml:space="preserve">i</m:t>
                      </m:r>
                      <m:r>
                        <w:rPr>
                          <w:rFonts w:ascii="Cambria Math" w:hAnsi="Cambria Math"/>
                        </w:rPr>
                        <m:t xml:space="preserve">,</m:t>
                      </m:r>
                      <m:r>
                        <w:rPr>
                          <w:rFonts w:ascii="Cambria Math" w:hAnsi="Cambria Math"/>
                        </w:rPr>
                        <m:t xml:space="preserve">j</m:t>
                      </m:r>
                    </m:sub>
                    <m:sup/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i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,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j</m:t>
                          </m:r>
                        </m:sub>
                      </m:sSub>
                    </m:e>
                  </m:nary>
                </m:den>
              </m:f>
            </m:oMath>
          </w:p>
          <w:p>
            <w:pPr>
              <w:pStyle w:val="style20"/>
              <w:jc w:val="left"/>
            </w:pPr>
            <w:r>
              <w:rPr/>
            </w:r>
          </w:p>
          <w:tbl>
            <w:tblPr>
              <w:jc w:val="left"/>
              <w:tblInd w:type="dxa" w:w="46"/>
              <w:tblBorders>
                <w:top w:color="000001" w:space="0" w:sz="2" w:val="single"/>
                <w:left w:color="000001" w:space="0" w:sz="2" w:val="single"/>
                <w:bottom w:color="000001" w:space="0" w:sz="2" w:val="single"/>
              </w:tblBorders>
            </w:tblPr>
            <w:tblGrid>
              <w:gridCol w:w="1100"/>
              <w:gridCol w:w="1100"/>
              <w:gridCol w:w="1100"/>
            </w:tblGrid>
            <w:tr>
              <w:trPr>
                <w:cantSplit w:val="false"/>
              </w:trPr>
              <w:tc>
                <w:tcPr>
                  <w:tcW w:type="dxa" w:w="1100"/>
                  <w:tcBorders>
                    <w:top w:color="000001" w:space="0" w:sz="2" w:val="single"/>
                    <w:left w:color="000001" w:space="0" w:sz="2" w:val="single"/>
                    <w:bottom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ai,j</w:t>
                  </w:r>
                </w:p>
              </w:tc>
              <w:tc>
                <w:tcPr>
                  <w:tcW w:type="dxa" w:w="1100"/>
                  <w:tcBorders>
                    <w:top w:color="000001" w:space="0" w:sz="2" w:val="single"/>
                    <w:left w:color="000001" w:space="0" w:sz="2" w:val="single"/>
                    <w:bottom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ai,j</w:t>
                  </w:r>
                </w:p>
              </w:tc>
              <w:tc>
                <w:tcPr>
                  <w:tcW w:type="dxa" w:w="1100"/>
                  <w:tcBorders>
                    <w:top w:color="000001" w:space="0" w:sz="2" w:val="single"/>
                    <w:left w:color="000001" w:space="0" w:sz="2" w:val="single"/>
                    <w:bottom w:color="000001" w:space="0" w:sz="2" w:val="single"/>
                    <w:right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R1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type="dxa" w:w="1100"/>
                  <w:tcBorders>
                    <w:left w:color="000001" w:space="0" w:sz="2" w:val="single"/>
                    <w:bottom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ai,j</w:t>
                  </w:r>
                </w:p>
              </w:tc>
              <w:tc>
                <w:tcPr>
                  <w:tcW w:type="dxa" w:w="1100"/>
                  <w:tcBorders>
                    <w:left w:color="000001" w:space="0" w:sz="2" w:val="single"/>
                    <w:bottom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ai,j</w:t>
                  </w:r>
                </w:p>
              </w:tc>
              <w:tc>
                <w:tcPr>
                  <w:tcW w:type="dxa" w:w="1100"/>
                  <w:tcBorders>
                    <w:left w:color="000001" w:space="0" w:sz="2" w:val="single"/>
                    <w:bottom w:color="000001" w:space="0" w:sz="2" w:val="single"/>
                    <w:right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R2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type="dxa" w:w="1100"/>
                  <w:tcBorders>
                    <w:left w:color="000001" w:space="0" w:sz="2" w:val="single"/>
                    <w:bottom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C1</w:t>
                  </w:r>
                </w:p>
              </w:tc>
              <w:tc>
                <w:tcPr>
                  <w:tcW w:type="dxa" w:w="1100"/>
                  <w:tcBorders>
                    <w:left w:color="000001" w:space="0" w:sz="2" w:val="single"/>
                    <w:bottom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C2</w:t>
                  </w:r>
                </w:p>
              </w:tc>
              <w:tc>
                <w:tcPr>
                  <w:tcW w:type="dxa" w:w="1100"/>
                  <w:tcBorders>
                    <w:left w:color="000001" w:space="0" w:sz="2" w:val="single"/>
                    <w:bottom w:color="000001" w:space="0" w:sz="2" w:val="single"/>
                    <w:right w:color="000001" w:space="0" w:sz="2" w:val="single"/>
                  </w:tcBorders>
                  <w:shd w:fill="FFFFFF" w:val="clear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>
                  <w:pPr>
                    <w:pStyle w:val="style20"/>
                    <w:jc w:val="left"/>
                  </w:pPr>
                  <w:r>
                    <w:rPr/>
                    <w:t>N</w:t>
                  </w:r>
                </w:p>
              </w:tc>
            </w:tr>
          </w:tbl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006"/>
            <w:vMerge w:val="continue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0"/>
              <w:jc w:val="left"/>
            </w:pPr>
            <w:r>
              <w:rPr/>
            </w:r>
          </w:p>
        </w:tc>
        <w:tc>
          <w:tcPr>
            <w:tcW w:type="dxa" w:w="54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0"/>
              <w:jc w:val="left"/>
            </w:pPr>
            <w:r>
              <w:rPr>
                <w:b/>
                <w:bCs/>
              </w:rPr>
              <w:t>Population portions: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 xml:space="preserve">var (p) = </w:t>
            </w:r>
            <w:r>
              <w:rPr/>
            </w:r>
            <m:oMath xmlns:m="http://schemas.openxmlformats.org/officeDocument/2006/math"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f</m:t>
                  </m:r>
                </m:e>
              </m:d>
              <m:f>
                <m:num>
                  <m:r>
                    <w:rPr>
                      <w:rFonts w:ascii="Cambria Math" w:hAnsi="Cambria Math"/>
                    </w:rPr>
                    <m:t xml:space="preserve">pq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n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den>
              </m:f>
            </m:oMath>
            <w:r>
              <w:rPr/>
              <w:t>: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 xml:space="preserve">p </w:t>
            </w:r>
            <w:r>
              <w:rPr>
                <w:u w:val="single"/>
              </w:rPr>
              <w:t>+</w:t>
            </w:r>
            <w:r>
              <w:rPr/>
              <w:t xml:space="preserve"> 1.96 x </w:t>
            </w:r>
            <w:r>
              <w:rPr/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f</m:t>
                      </m:r>
                    </m:e>
                  </m:d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pq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den>
                  </m:f>
                </m:e>
              </m:rad>
            </m:oMath>
          </w:p>
          <w:p>
            <w:pPr>
              <w:pStyle w:val="style20"/>
              <w:jc w:val="left"/>
            </w:pPr>
            <w:r>
              <w:rPr/>
            </w:r>
          </w:p>
        </w:tc>
      </w:tr>
      <w:tr>
        <w:trPr>
          <w:trHeight w:hRule="atLeast" w:val="2323"/>
          <w:cantSplit w:val="false"/>
        </w:trPr>
        <w:tc>
          <w:tcPr>
            <w:tcW w:type="dxa" w:w="5006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0"/>
              <w:jc w:val="left"/>
            </w:pPr>
            <w:r>
              <w:rPr>
                <w:b/>
                <w:bCs/>
              </w:rPr>
              <w:t>Coefficient of Variation:</w:t>
              <w:br/>
            </w:r>
          </w:p>
          <w:p>
            <w:pPr>
              <w:pStyle w:val="style20"/>
              <w:jc w:val="left"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cv</m:t>
              </m:r>
              <m:d>
                <m:dPr>
                  <m:begChr m:val="("/>
                  <m:endChr m:val=")"/>
                </m:dPr>
                <m:e>
                  <m:acc>
                    <m:accPr>
                      <m:chr m:val="̄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</m:acc>
                </m:e>
              </m:d>
              <m:r>
                <w:rPr>
                  <w:rFonts w:ascii="Cambria Math" w:hAnsi="Cambria Math"/>
                </w:rPr>
                <m:t xml:space="preserve">=</m:t>
              </m:r>
              <m:rad>
                <m:radPr>
                  <m:degHide m:val="1"/>
                </m:radPr>
                <m:deg/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f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×</m:t>
              </m:r>
              <m:f>
                <m:num>
                  <m:r>
                    <w:rPr>
                      <w:rFonts w:ascii="Cambria Math" w:hAnsi="Cambria Math"/>
                    </w:rPr>
                    <m:t xml:space="preserve">s</m:t>
                  </m:r>
                </m:num>
                <m:den>
                  <m:acc>
                    <m:accPr>
                      <m:chr m:val="̄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</m:acc>
                </m:den>
              </m:f>
            </m:oMath>
            <w:r>
              <w:rPr/>
              <w:br/>
              <w:br/>
              <w:t>95% Confidence Interval:</w:t>
            </w:r>
          </w:p>
          <w:p>
            <w:pPr>
              <w:pStyle w:val="style20"/>
              <w:jc w:val="left"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cv</m:t>
              </m:r>
              <m:d>
                <m:dPr>
                  <m:begChr m:val="("/>
                  <m:endChr m:val=")"/>
                </m:dPr>
                <m:e>
                  <m:acc>
                    <m:accPr>
                      <m:chr m:val="̄"/>
                    </m:accPr>
                    <m:e>
                      <m:r>
                        <w:rPr>
                          <w:rFonts w:ascii="Cambria Math" w:hAnsi="Cambria Math"/>
                        </w:rPr>
                        <m:t xml:space="preserve">y</m:t>
                      </m:r>
                    </m:e>
                  </m:acc>
                </m:e>
              </m:d>
              <m:r>
                <w:rPr>
                  <w:rFonts w:ascii="Cambria Math" w:hAnsi="Cambria Math"/>
                </w:rPr>
                <m:t xml:space="preserve">±</m:t>
              </m:r>
              <m:r>
                <w:rPr>
                  <w:rFonts w:ascii="Cambria Math" w:hAnsi="Cambria Math"/>
                </w:rPr>
                <m:t xml:space="preserve">1.96</m:t>
              </m:r>
              <m:r>
                <w:rPr>
                  <w:rFonts w:ascii="Cambria Math" w:hAnsi="Cambria Math"/>
                </w:rPr>
                <m:t xml:space="preserve">×</m:t>
              </m:r>
              <m:sSup>
                <m:e>
                  <m:d>
                    <m:dPr>
                      <m:begChr m:val="("/>
                      <m:endChr m:val=")"/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cv</m:t>
                      </m:r>
                      <m:d>
                        <m:dPr>
                          <m:begChr m:val="("/>
                          <m:endChr m:val=")"/>
                        </m:dPr>
                        <m:e>
                          <m:acc>
                            <m:accPr>
                              <m:chr m:val="̄"/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y</m:t>
                              </m:r>
                            </m:e>
                          </m:acc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oMath>
          </w:p>
        </w:tc>
        <w:tc>
          <w:tcPr>
            <w:tcW w:type="dxa" w:w="54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0"/>
              <w:jc w:val="left"/>
            </w:pPr>
            <w:r>
              <w:rPr>
                <w:b/>
                <w:bCs/>
              </w:rPr>
              <w:t>Simple Random Sample: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>var</w:t>
            </w:r>
            <w:r>
              <w:rPr>
                <w:b/>
                <w:bCs/>
                <w:vertAlign w:val="subscript"/>
              </w:rPr>
              <w:t>s</w:t>
            </w:r>
            <w:r>
              <w:rPr/>
              <w:t xml:space="preserve"> (y.bar) = (1 – f) * s</w:t>
            </w:r>
            <w:r>
              <w:rPr>
                <w:vertAlign w:val="superscript"/>
              </w:rPr>
              <w:t>2</w:t>
            </w:r>
            <w:r>
              <w:rPr/>
              <w:t xml:space="preserve"> / n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>95% Confidence Interval:</w:t>
            </w:r>
          </w:p>
          <w:p>
            <w:pPr>
              <w:pStyle w:val="style20"/>
              <w:jc w:val="left"/>
            </w:pPr>
            <w:r>
              <w:rPr/>
            </w:r>
          </w:p>
          <w:p>
            <w:pPr>
              <w:pStyle w:val="style20"/>
              <w:jc w:val="left"/>
            </w:pPr>
            <w:r>
              <w:rPr/>
              <w:t xml:space="preserve">sd (y.bar) </w:t>
            </w:r>
            <w:r>
              <w:rPr>
                <w:u w:val="single"/>
              </w:rPr>
              <w:t>+</w:t>
            </w:r>
            <w:r>
              <w:rPr/>
              <w:t xml:space="preserve"> 1.96 x </w:t>
            </w:r>
            <w:r>
              <w:rPr/>
            </w:r>
            <m:oMath xmlns:m="http://schemas.openxmlformats.org/officeDocument/2006/math">
              <m:rad>
                <m:radPr>
                  <m:degHide m:val="1"/>
                </m:radPr>
                <m:deg/>
                <m:e>
                  <m:f>
                    <m:num>
                      <m:d>
                        <m:dPr>
                          <m:begChr m:val="("/>
                          <m:endChr m:val=")"/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1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−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f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n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s</m:t>
              </m:r>
            </m:oMath>
          </w:p>
          <w:p>
            <w:pPr>
              <w:pStyle w:val="style20"/>
              <w:jc w:val="left"/>
            </w:pPr>
            <w:r>
              <w:rPr/>
            </w:r>
          </w:p>
        </w:tc>
      </w:tr>
    </w:tbl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Arial" w:cs="FreeSans" w:eastAsia="Droid Sans" w:hAnsi="Arial"/>
      <w:color w:val="00000A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FreeSans" w:eastAsia="Droid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ascii="Arial" w:cs="FreeSans" w:hAnsi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ascii="Arial" w:cs="FreeSans" w:hAnsi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ascii="Arial" w:cs="FreeSans" w:hAnsi="Arial"/>
    </w:rPr>
  </w:style>
  <w:style w:styleId="style20" w:type="paragraph">
    <w:name w:val="Table Contents"/>
    <w:basedOn w:val="style0"/>
    <w:next w:val="style20"/>
    <w:pPr>
      <w:suppressLineNumbers/>
    </w:pPr>
    <w:rPr/>
  </w:style>
  <w:style w:styleId="style21" w:type="paragraph">
    <w:name w:val="Table Heading"/>
    <w:basedOn w:val="style20"/>
    <w:next w:val="style2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2013-02-22T11:33:09.00Z</dcterms:created>
  <cp:revision>0</cp:revision>
</cp:coreProperties>
</file>