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102A6B" w14:textId="71888542" w:rsidR="00C20A7E" w:rsidRDefault="00C20A7E" w:rsidP="00C668EE">
      <w:pPr>
        <w:jc w:val="center"/>
        <w:rPr>
          <w:rFonts w:ascii="Times New Roman" w:hAnsi="Times New Roman" w:cs="Times New Roman"/>
          <w:sz w:val="28"/>
          <w:szCs w:val="28"/>
          <w:u w:val="single"/>
        </w:rPr>
      </w:pPr>
    </w:p>
    <w:p w14:paraId="1D6D2CCA" w14:textId="005C05F2" w:rsidR="00C668EE" w:rsidRDefault="00C668EE" w:rsidP="00C668EE">
      <w:pPr>
        <w:jc w:val="center"/>
        <w:rPr>
          <w:rFonts w:ascii="Times New Roman" w:hAnsi="Times New Roman" w:cs="Times New Roman"/>
          <w:sz w:val="28"/>
          <w:szCs w:val="28"/>
          <w:u w:val="single"/>
        </w:rPr>
      </w:pPr>
    </w:p>
    <w:p w14:paraId="655CD01B" w14:textId="34A888AF" w:rsidR="00C668EE" w:rsidRDefault="00C668EE" w:rsidP="00C668EE">
      <w:pPr>
        <w:jc w:val="center"/>
        <w:rPr>
          <w:rFonts w:ascii="Times New Roman" w:hAnsi="Times New Roman" w:cs="Times New Roman"/>
          <w:sz w:val="28"/>
          <w:szCs w:val="28"/>
          <w:u w:val="single"/>
        </w:rPr>
      </w:pPr>
    </w:p>
    <w:p w14:paraId="40906084" w14:textId="7DD3719B" w:rsidR="00C668EE" w:rsidRDefault="00C668EE" w:rsidP="00C668EE">
      <w:pPr>
        <w:jc w:val="center"/>
        <w:rPr>
          <w:rFonts w:ascii="Times New Roman" w:hAnsi="Times New Roman" w:cs="Times New Roman"/>
          <w:sz w:val="28"/>
          <w:szCs w:val="28"/>
          <w:u w:val="single"/>
        </w:rPr>
      </w:pPr>
    </w:p>
    <w:p w14:paraId="33BA365A" w14:textId="09C3FC08" w:rsidR="00C668EE" w:rsidRDefault="00C668EE" w:rsidP="00C668EE">
      <w:pPr>
        <w:jc w:val="center"/>
        <w:rPr>
          <w:rFonts w:ascii="Times New Roman" w:hAnsi="Times New Roman" w:cs="Times New Roman"/>
          <w:sz w:val="28"/>
          <w:szCs w:val="28"/>
          <w:u w:val="single"/>
        </w:rPr>
      </w:pPr>
    </w:p>
    <w:p w14:paraId="3EA87082" w14:textId="5EF10E81" w:rsidR="00C668EE" w:rsidRDefault="00C668EE" w:rsidP="00C668EE">
      <w:pPr>
        <w:jc w:val="center"/>
        <w:rPr>
          <w:rFonts w:ascii="Times New Roman" w:hAnsi="Times New Roman" w:cs="Times New Roman"/>
          <w:sz w:val="28"/>
          <w:szCs w:val="28"/>
          <w:u w:val="single"/>
        </w:rPr>
      </w:pPr>
    </w:p>
    <w:p w14:paraId="60C65E8D" w14:textId="35263272" w:rsidR="00C668EE" w:rsidRDefault="00C668EE" w:rsidP="00C668EE">
      <w:pPr>
        <w:jc w:val="center"/>
        <w:rPr>
          <w:rFonts w:ascii="Times New Roman" w:hAnsi="Times New Roman" w:cs="Times New Roman"/>
          <w:sz w:val="28"/>
          <w:szCs w:val="28"/>
          <w:u w:val="single"/>
        </w:rPr>
      </w:pPr>
    </w:p>
    <w:p w14:paraId="156A167C" w14:textId="21ED4913" w:rsidR="00C668EE" w:rsidRDefault="00C668EE" w:rsidP="00C668EE">
      <w:pPr>
        <w:jc w:val="center"/>
        <w:rPr>
          <w:rFonts w:ascii="Times New Roman" w:hAnsi="Times New Roman" w:cs="Times New Roman"/>
          <w:sz w:val="28"/>
          <w:szCs w:val="28"/>
          <w:u w:val="single"/>
        </w:rPr>
      </w:pPr>
    </w:p>
    <w:p w14:paraId="27190FF5" w14:textId="0785EA5F" w:rsidR="00C668EE" w:rsidRDefault="00C668EE" w:rsidP="00C668EE">
      <w:pPr>
        <w:jc w:val="center"/>
        <w:rPr>
          <w:rFonts w:ascii="Times New Roman" w:hAnsi="Times New Roman" w:cs="Times New Roman"/>
          <w:sz w:val="28"/>
          <w:szCs w:val="28"/>
          <w:u w:val="single"/>
        </w:rPr>
      </w:pPr>
    </w:p>
    <w:p w14:paraId="377CF31D" w14:textId="4F8766A4" w:rsidR="00C668EE" w:rsidRDefault="00C668EE" w:rsidP="00C668EE">
      <w:pPr>
        <w:jc w:val="center"/>
        <w:rPr>
          <w:rFonts w:ascii="Times New Roman" w:hAnsi="Times New Roman" w:cs="Times New Roman"/>
          <w:sz w:val="28"/>
          <w:szCs w:val="28"/>
          <w:u w:val="single"/>
        </w:rPr>
      </w:pPr>
    </w:p>
    <w:p w14:paraId="187989E2" w14:textId="50C9C3E5" w:rsidR="00C668EE" w:rsidRPr="00C668EE" w:rsidRDefault="00C668EE" w:rsidP="00C668EE">
      <w:pPr>
        <w:jc w:val="center"/>
        <w:rPr>
          <w:rFonts w:ascii="Times New Roman" w:hAnsi="Times New Roman" w:cs="Times New Roman"/>
          <w:sz w:val="36"/>
          <w:szCs w:val="36"/>
          <w:u w:val="single"/>
        </w:rPr>
      </w:pPr>
      <w:r w:rsidRPr="00C668EE">
        <w:rPr>
          <w:rFonts w:ascii="Times New Roman" w:hAnsi="Times New Roman" w:cs="Times New Roman"/>
          <w:sz w:val="36"/>
          <w:szCs w:val="36"/>
          <w:u w:val="single"/>
        </w:rPr>
        <w:t xml:space="preserve">Express Trusts </w:t>
      </w:r>
    </w:p>
    <w:p w14:paraId="676CFAAF" w14:textId="5ADA0B40" w:rsidR="00C668EE" w:rsidRDefault="00C668EE" w:rsidP="00C668EE">
      <w:pPr>
        <w:jc w:val="center"/>
        <w:rPr>
          <w:rFonts w:ascii="Times New Roman" w:hAnsi="Times New Roman" w:cs="Times New Roman"/>
          <w:sz w:val="28"/>
          <w:szCs w:val="28"/>
          <w:u w:val="single"/>
        </w:rPr>
      </w:pPr>
    </w:p>
    <w:p w14:paraId="79EE83DE" w14:textId="4E45D1E2" w:rsidR="00C668EE" w:rsidRDefault="00C668EE" w:rsidP="00C668EE">
      <w:pPr>
        <w:jc w:val="center"/>
        <w:rPr>
          <w:rFonts w:ascii="Times New Roman" w:hAnsi="Times New Roman" w:cs="Times New Roman"/>
          <w:sz w:val="28"/>
          <w:szCs w:val="28"/>
          <w:u w:val="single"/>
        </w:rPr>
      </w:pPr>
    </w:p>
    <w:p w14:paraId="6791BD37" w14:textId="5D14D952" w:rsidR="00C668EE" w:rsidRDefault="00C668EE" w:rsidP="00C668EE">
      <w:pPr>
        <w:jc w:val="center"/>
        <w:rPr>
          <w:rFonts w:ascii="Times New Roman" w:hAnsi="Times New Roman" w:cs="Times New Roman"/>
          <w:sz w:val="28"/>
          <w:szCs w:val="28"/>
          <w:u w:val="single"/>
        </w:rPr>
      </w:pPr>
    </w:p>
    <w:p w14:paraId="03E1FFAD" w14:textId="101A3E02" w:rsidR="00C668EE" w:rsidRDefault="00C668EE" w:rsidP="00C668EE">
      <w:pPr>
        <w:jc w:val="center"/>
        <w:rPr>
          <w:rFonts w:ascii="Times New Roman" w:hAnsi="Times New Roman" w:cs="Times New Roman"/>
          <w:sz w:val="28"/>
          <w:szCs w:val="28"/>
          <w:u w:val="single"/>
        </w:rPr>
      </w:pPr>
    </w:p>
    <w:p w14:paraId="59C98201" w14:textId="228D51CF" w:rsidR="00C668EE" w:rsidRDefault="00C668EE" w:rsidP="00C668EE">
      <w:pPr>
        <w:jc w:val="center"/>
        <w:rPr>
          <w:rFonts w:ascii="Times New Roman" w:hAnsi="Times New Roman" w:cs="Times New Roman"/>
          <w:sz w:val="28"/>
          <w:szCs w:val="28"/>
          <w:u w:val="single"/>
        </w:rPr>
      </w:pPr>
    </w:p>
    <w:p w14:paraId="228825D4" w14:textId="5C1FEF42" w:rsidR="00C668EE" w:rsidRDefault="00C668EE" w:rsidP="00C668EE">
      <w:pPr>
        <w:jc w:val="center"/>
        <w:rPr>
          <w:rFonts w:ascii="Times New Roman" w:hAnsi="Times New Roman" w:cs="Times New Roman"/>
          <w:sz w:val="28"/>
          <w:szCs w:val="28"/>
          <w:u w:val="single"/>
        </w:rPr>
      </w:pPr>
    </w:p>
    <w:p w14:paraId="502AAE7D" w14:textId="1074C063" w:rsidR="00C668EE" w:rsidRDefault="00C668EE" w:rsidP="00C668EE">
      <w:pPr>
        <w:jc w:val="center"/>
        <w:rPr>
          <w:rFonts w:ascii="Times New Roman" w:hAnsi="Times New Roman" w:cs="Times New Roman"/>
          <w:sz w:val="28"/>
          <w:szCs w:val="28"/>
          <w:u w:val="single"/>
        </w:rPr>
      </w:pPr>
    </w:p>
    <w:p w14:paraId="6A055AAC" w14:textId="6A7467FA" w:rsidR="00C668EE" w:rsidRDefault="00C668EE" w:rsidP="00C668EE">
      <w:pPr>
        <w:rPr>
          <w:rFonts w:ascii="Times New Roman" w:hAnsi="Times New Roman" w:cs="Times New Roman"/>
          <w:sz w:val="28"/>
          <w:szCs w:val="28"/>
          <w:u w:val="single"/>
        </w:rPr>
      </w:pPr>
    </w:p>
    <w:p w14:paraId="0EC5C674" w14:textId="545B0171" w:rsidR="00C668EE" w:rsidRDefault="00C668EE" w:rsidP="00C668EE">
      <w:pPr>
        <w:rPr>
          <w:rFonts w:ascii="Times New Roman" w:hAnsi="Times New Roman" w:cs="Times New Roman"/>
          <w:sz w:val="28"/>
          <w:szCs w:val="28"/>
          <w:u w:val="single"/>
        </w:rPr>
      </w:pPr>
    </w:p>
    <w:p w14:paraId="425339D2" w14:textId="0DDE0B1A" w:rsidR="00C668EE" w:rsidRDefault="00C668EE" w:rsidP="00C668EE">
      <w:pPr>
        <w:rPr>
          <w:rFonts w:ascii="Times New Roman" w:hAnsi="Times New Roman" w:cs="Times New Roman"/>
          <w:sz w:val="28"/>
          <w:szCs w:val="28"/>
          <w:u w:val="single"/>
        </w:rPr>
      </w:pPr>
    </w:p>
    <w:p w14:paraId="1A5CA7CF" w14:textId="6F9E6EFD" w:rsidR="00C668EE" w:rsidRDefault="00C668EE" w:rsidP="00C668EE">
      <w:pPr>
        <w:rPr>
          <w:rFonts w:ascii="Times New Roman" w:hAnsi="Times New Roman" w:cs="Times New Roman"/>
          <w:sz w:val="28"/>
          <w:szCs w:val="28"/>
          <w:u w:val="single"/>
        </w:rPr>
      </w:pPr>
    </w:p>
    <w:p w14:paraId="2C14C1FE" w14:textId="3362FE46" w:rsidR="00C668EE" w:rsidRDefault="00C668EE" w:rsidP="00C668EE">
      <w:pPr>
        <w:rPr>
          <w:rFonts w:ascii="Times New Roman" w:hAnsi="Times New Roman" w:cs="Times New Roman"/>
          <w:sz w:val="28"/>
          <w:szCs w:val="28"/>
          <w:u w:val="single"/>
        </w:rPr>
      </w:pPr>
    </w:p>
    <w:p w14:paraId="77C18477" w14:textId="5603BC8B" w:rsidR="00C668EE" w:rsidRDefault="00C668EE" w:rsidP="00C668EE">
      <w:pPr>
        <w:rPr>
          <w:rFonts w:ascii="Times New Roman" w:hAnsi="Times New Roman" w:cs="Times New Roman"/>
          <w:sz w:val="28"/>
          <w:szCs w:val="28"/>
          <w:u w:val="single"/>
        </w:rPr>
      </w:pPr>
    </w:p>
    <w:p w14:paraId="68650F50" w14:textId="080962B5" w:rsidR="00C668EE" w:rsidRDefault="00C668EE" w:rsidP="00C668EE">
      <w:pPr>
        <w:rPr>
          <w:rFonts w:ascii="Times New Roman" w:hAnsi="Times New Roman" w:cs="Times New Roman"/>
          <w:sz w:val="28"/>
          <w:szCs w:val="28"/>
          <w:u w:val="single"/>
        </w:rPr>
      </w:pPr>
    </w:p>
    <w:p w14:paraId="6B1C69C8" w14:textId="1213AD0E" w:rsidR="00C668EE" w:rsidRPr="00C668EE" w:rsidRDefault="00C668EE" w:rsidP="00C668EE">
      <w:pPr>
        <w:rPr>
          <w:rFonts w:ascii="Times New Roman" w:hAnsi="Times New Roman" w:cs="Times New Roman"/>
          <w:sz w:val="28"/>
          <w:szCs w:val="28"/>
          <w:u w:val="single"/>
        </w:rPr>
      </w:pPr>
      <w:r>
        <w:rPr>
          <w:rFonts w:ascii="Times New Roman" w:hAnsi="Times New Roman" w:cs="Times New Roman"/>
          <w:sz w:val="28"/>
          <w:szCs w:val="28"/>
          <w:u w:val="single"/>
        </w:rPr>
        <w:t xml:space="preserve">Course Code: LS3030 </w:t>
      </w:r>
      <w:r>
        <w:rPr>
          <w:rFonts w:ascii="Times New Roman" w:hAnsi="Times New Roman" w:cs="Times New Roman"/>
          <w:sz w:val="28"/>
          <w:szCs w:val="28"/>
        </w:rPr>
        <w:t xml:space="preserve">                                                               </w:t>
      </w:r>
      <w:r>
        <w:rPr>
          <w:rFonts w:ascii="Times New Roman" w:hAnsi="Times New Roman" w:cs="Times New Roman"/>
          <w:sz w:val="28"/>
          <w:szCs w:val="28"/>
          <w:u w:val="single"/>
        </w:rPr>
        <w:t>Word Count:</w:t>
      </w:r>
      <w:r w:rsidR="00B65CF4">
        <w:rPr>
          <w:rFonts w:ascii="Times New Roman" w:hAnsi="Times New Roman" w:cs="Times New Roman"/>
          <w:sz w:val="28"/>
          <w:szCs w:val="28"/>
          <w:u w:val="single"/>
        </w:rPr>
        <w:t>1200</w:t>
      </w:r>
    </w:p>
    <w:p w14:paraId="263DC504" w14:textId="77777777" w:rsidR="009A5970" w:rsidRDefault="00C668EE" w:rsidP="00C668EE">
      <w:pPr>
        <w:rPr>
          <w:rFonts w:ascii="Times New Roman" w:hAnsi="Times New Roman" w:cs="Times New Roman"/>
          <w:sz w:val="28"/>
          <w:szCs w:val="28"/>
          <w:u w:val="single"/>
        </w:rPr>
      </w:pPr>
      <w:r>
        <w:rPr>
          <w:rFonts w:ascii="Times New Roman" w:hAnsi="Times New Roman" w:cs="Times New Roman"/>
          <w:sz w:val="28"/>
          <w:szCs w:val="28"/>
          <w:u w:val="single"/>
        </w:rPr>
        <w:t>Student ID: 51769295</w:t>
      </w:r>
      <w:r w:rsidR="009A5970">
        <w:rPr>
          <w:rFonts w:ascii="Times New Roman" w:hAnsi="Times New Roman" w:cs="Times New Roman"/>
          <w:sz w:val="28"/>
          <w:szCs w:val="28"/>
          <w:u w:val="single"/>
        </w:rPr>
        <w:t xml:space="preserve"> </w:t>
      </w:r>
    </w:p>
    <w:p w14:paraId="7AE25640" w14:textId="1090B5A5" w:rsidR="00C668EE" w:rsidRDefault="00901232" w:rsidP="0090123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This</w:t>
      </w:r>
      <w:r w:rsidR="009A5970">
        <w:rPr>
          <w:rFonts w:ascii="Times New Roman" w:hAnsi="Times New Roman" w:cs="Times New Roman"/>
          <w:sz w:val="24"/>
          <w:szCs w:val="24"/>
        </w:rPr>
        <w:t xml:space="preserve"> essay will discuss why the law regarding certainty of objects for discretionary trusts is not sufficiently clear or satisfactory</w:t>
      </w:r>
      <w:r w:rsidR="00E217A4">
        <w:rPr>
          <w:rFonts w:ascii="Times New Roman" w:hAnsi="Times New Roman" w:cs="Times New Roman"/>
          <w:sz w:val="24"/>
          <w:szCs w:val="24"/>
        </w:rPr>
        <w:t>, but is, at best; vague.</w:t>
      </w:r>
    </w:p>
    <w:p w14:paraId="275F3057" w14:textId="77777777" w:rsidR="001145FD" w:rsidRDefault="001145FD" w:rsidP="00901232">
      <w:pPr>
        <w:spacing w:line="360" w:lineRule="auto"/>
        <w:rPr>
          <w:rFonts w:ascii="Times New Roman" w:hAnsi="Times New Roman" w:cs="Times New Roman"/>
          <w:sz w:val="24"/>
          <w:szCs w:val="24"/>
        </w:rPr>
      </w:pPr>
    </w:p>
    <w:p w14:paraId="67D840B6" w14:textId="6C6DCCC7" w:rsidR="009332C3" w:rsidRDefault="001F72FB" w:rsidP="00901232">
      <w:pPr>
        <w:spacing w:line="360" w:lineRule="auto"/>
        <w:rPr>
          <w:rFonts w:ascii="Times New Roman" w:hAnsi="Times New Roman" w:cs="Times New Roman"/>
          <w:sz w:val="24"/>
          <w:szCs w:val="24"/>
        </w:rPr>
      </w:pPr>
      <w:r>
        <w:rPr>
          <w:rFonts w:ascii="Times New Roman" w:hAnsi="Times New Roman" w:cs="Times New Roman"/>
          <w:sz w:val="24"/>
          <w:szCs w:val="24"/>
        </w:rPr>
        <w:t xml:space="preserve">Discretionary trusts look much like fiduciary powers, in as such that the trustees are able to choose from a large and varying class of objects. </w:t>
      </w:r>
      <w:r w:rsidR="009332C3">
        <w:rPr>
          <w:rFonts w:ascii="Times New Roman" w:hAnsi="Times New Roman" w:cs="Times New Roman"/>
          <w:sz w:val="24"/>
          <w:szCs w:val="24"/>
        </w:rPr>
        <w:t xml:space="preserve">With a discretionary trust, a trustee is given the discretion to decide which objects should benefit from the distribution of property and to what proportion. </w:t>
      </w:r>
      <w:r w:rsidR="00964C1C">
        <w:rPr>
          <w:rFonts w:ascii="Times New Roman" w:hAnsi="Times New Roman" w:cs="Times New Roman"/>
          <w:sz w:val="24"/>
          <w:szCs w:val="24"/>
        </w:rPr>
        <w:t xml:space="preserve">The shares are not pre-determined by the person who creates the trust. </w:t>
      </w:r>
      <w:r w:rsidR="009332C3">
        <w:rPr>
          <w:rFonts w:ascii="Times New Roman" w:hAnsi="Times New Roman" w:cs="Times New Roman"/>
          <w:sz w:val="24"/>
          <w:szCs w:val="24"/>
        </w:rPr>
        <w:t xml:space="preserve">This, to add to the already confusing nature of discretionary trusts is at times, described as ‘trust power’, as there is an </w:t>
      </w:r>
      <w:r w:rsidR="0067048E">
        <w:rPr>
          <w:rFonts w:ascii="Times New Roman" w:hAnsi="Times New Roman" w:cs="Times New Roman"/>
          <w:sz w:val="24"/>
          <w:szCs w:val="24"/>
        </w:rPr>
        <w:t>obligation,</w:t>
      </w:r>
      <w:r w:rsidR="009332C3">
        <w:rPr>
          <w:rFonts w:ascii="Times New Roman" w:hAnsi="Times New Roman" w:cs="Times New Roman"/>
          <w:sz w:val="24"/>
          <w:szCs w:val="24"/>
        </w:rPr>
        <w:t xml:space="preserve"> but the trustee has the discretion to carry it out his way</w:t>
      </w:r>
      <w:r w:rsidR="00964C1C">
        <w:rPr>
          <w:rFonts w:ascii="Times New Roman" w:hAnsi="Times New Roman" w:cs="Times New Roman"/>
          <w:sz w:val="24"/>
          <w:szCs w:val="24"/>
        </w:rPr>
        <w:t xml:space="preserve"> if at all</w:t>
      </w:r>
      <w:r w:rsidR="009332C3">
        <w:rPr>
          <w:rFonts w:ascii="Times New Roman" w:hAnsi="Times New Roman" w:cs="Times New Roman"/>
          <w:sz w:val="24"/>
          <w:szCs w:val="24"/>
        </w:rPr>
        <w:t xml:space="preserve">. </w:t>
      </w:r>
      <w:r w:rsidR="0067048E">
        <w:rPr>
          <w:rFonts w:ascii="Times New Roman" w:hAnsi="Times New Roman" w:cs="Times New Roman"/>
          <w:sz w:val="24"/>
          <w:szCs w:val="24"/>
        </w:rPr>
        <w:t>This power has got to be exercised by the trustees and if not,</w:t>
      </w:r>
      <w:r w:rsidR="001145FD">
        <w:rPr>
          <w:rFonts w:ascii="Times New Roman" w:hAnsi="Times New Roman" w:cs="Times New Roman"/>
          <w:sz w:val="24"/>
          <w:szCs w:val="24"/>
        </w:rPr>
        <w:t xml:space="preserve"> in the event of a trustee’s capricious refusal to do so,</w:t>
      </w:r>
      <w:r w:rsidR="0067048E">
        <w:rPr>
          <w:rFonts w:ascii="Times New Roman" w:hAnsi="Times New Roman" w:cs="Times New Roman"/>
          <w:sz w:val="24"/>
          <w:szCs w:val="24"/>
        </w:rPr>
        <w:t xml:space="preserve"> it </w:t>
      </w:r>
      <w:r w:rsidR="001145FD">
        <w:rPr>
          <w:rFonts w:ascii="Times New Roman" w:hAnsi="Times New Roman" w:cs="Times New Roman"/>
          <w:sz w:val="24"/>
          <w:szCs w:val="24"/>
        </w:rPr>
        <w:t>will be done</w:t>
      </w:r>
      <w:r w:rsidR="0067048E">
        <w:rPr>
          <w:rFonts w:ascii="Times New Roman" w:hAnsi="Times New Roman" w:cs="Times New Roman"/>
          <w:sz w:val="24"/>
          <w:szCs w:val="24"/>
        </w:rPr>
        <w:t xml:space="preserve"> by the court</w:t>
      </w:r>
      <w:r w:rsidR="001145FD">
        <w:rPr>
          <w:rStyle w:val="FootnoteReference"/>
          <w:rFonts w:ascii="Times New Roman" w:hAnsi="Times New Roman" w:cs="Times New Roman"/>
          <w:sz w:val="24"/>
          <w:szCs w:val="24"/>
        </w:rPr>
        <w:footnoteReference w:id="1"/>
      </w:r>
      <w:r w:rsidR="0067048E">
        <w:rPr>
          <w:rFonts w:ascii="Times New Roman" w:hAnsi="Times New Roman" w:cs="Times New Roman"/>
          <w:sz w:val="24"/>
          <w:szCs w:val="24"/>
        </w:rPr>
        <w:t xml:space="preserve">. </w:t>
      </w:r>
      <w:r w:rsidR="00BF3F8C">
        <w:rPr>
          <w:rFonts w:ascii="Times New Roman" w:hAnsi="Times New Roman" w:cs="Times New Roman"/>
          <w:sz w:val="24"/>
          <w:szCs w:val="24"/>
        </w:rPr>
        <w:t>There is a difficulty in that</w:t>
      </w:r>
      <w:r w:rsidR="001145FD">
        <w:rPr>
          <w:rFonts w:ascii="Times New Roman" w:hAnsi="Times New Roman" w:cs="Times New Roman"/>
          <w:sz w:val="24"/>
          <w:szCs w:val="24"/>
        </w:rPr>
        <w:t>,</w:t>
      </w:r>
      <w:r w:rsidR="00BF3F8C">
        <w:rPr>
          <w:rFonts w:ascii="Times New Roman" w:hAnsi="Times New Roman" w:cs="Times New Roman"/>
          <w:sz w:val="24"/>
          <w:szCs w:val="24"/>
        </w:rPr>
        <w:t xml:space="preserve"> for the object</w:t>
      </w:r>
      <w:r w:rsidR="001145FD">
        <w:rPr>
          <w:rFonts w:ascii="Times New Roman" w:hAnsi="Times New Roman" w:cs="Times New Roman"/>
          <w:sz w:val="24"/>
          <w:szCs w:val="24"/>
        </w:rPr>
        <w:t>s,</w:t>
      </w:r>
      <w:r w:rsidR="00BF3F8C">
        <w:rPr>
          <w:rFonts w:ascii="Times New Roman" w:hAnsi="Times New Roman" w:cs="Times New Roman"/>
          <w:sz w:val="24"/>
          <w:szCs w:val="24"/>
        </w:rPr>
        <w:t xml:space="preserve"> who want to claim a defined interest, or any interest at all</w:t>
      </w:r>
      <w:r w:rsidR="00BF3F8C">
        <w:rPr>
          <w:rStyle w:val="FootnoteReference"/>
          <w:rFonts w:ascii="Times New Roman" w:hAnsi="Times New Roman" w:cs="Times New Roman"/>
          <w:sz w:val="24"/>
          <w:szCs w:val="24"/>
        </w:rPr>
        <w:footnoteReference w:id="2"/>
      </w:r>
      <w:r w:rsidR="00BF3F8C">
        <w:rPr>
          <w:rFonts w:ascii="Times New Roman" w:hAnsi="Times New Roman" w:cs="Times New Roman"/>
          <w:sz w:val="24"/>
          <w:szCs w:val="24"/>
        </w:rPr>
        <w:t>; until the trustee has exercised his power and elected the individual as a party to the cause</w:t>
      </w:r>
      <w:r w:rsidR="001145FD">
        <w:rPr>
          <w:rFonts w:ascii="Times New Roman" w:hAnsi="Times New Roman" w:cs="Times New Roman"/>
          <w:sz w:val="24"/>
          <w:szCs w:val="24"/>
        </w:rPr>
        <w:t xml:space="preserve"> the object has no rights</w:t>
      </w:r>
      <w:r w:rsidR="00BF3F8C">
        <w:rPr>
          <w:rFonts w:ascii="Times New Roman" w:hAnsi="Times New Roman" w:cs="Times New Roman"/>
          <w:sz w:val="24"/>
          <w:szCs w:val="24"/>
        </w:rPr>
        <w:t xml:space="preserve">. </w:t>
      </w:r>
      <w:r w:rsidR="0067048E">
        <w:rPr>
          <w:rFonts w:ascii="Times New Roman" w:hAnsi="Times New Roman" w:cs="Times New Roman"/>
          <w:sz w:val="24"/>
          <w:szCs w:val="24"/>
        </w:rPr>
        <w:t>Due to the nature of the obligations, it is a requirement that the trustee is aware of who the beneficiaries are or might be from the start, if this is not the case, the trust will be void for uncertainty</w:t>
      </w:r>
      <w:r w:rsidR="0067048E">
        <w:rPr>
          <w:rStyle w:val="FootnoteReference"/>
          <w:rFonts w:ascii="Times New Roman" w:hAnsi="Times New Roman" w:cs="Times New Roman"/>
          <w:sz w:val="24"/>
          <w:szCs w:val="24"/>
        </w:rPr>
        <w:footnoteReference w:id="3"/>
      </w:r>
      <w:r w:rsidR="0067048E">
        <w:rPr>
          <w:rFonts w:ascii="Times New Roman" w:hAnsi="Times New Roman" w:cs="Times New Roman"/>
          <w:sz w:val="24"/>
          <w:szCs w:val="24"/>
        </w:rPr>
        <w:t xml:space="preserve"> </w:t>
      </w:r>
      <w:r w:rsidR="00E21E37">
        <w:rPr>
          <w:rFonts w:ascii="Times New Roman" w:hAnsi="Times New Roman" w:cs="Times New Roman"/>
          <w:sz w:val="24"/>
          <w:szCs w:val="24"/>
        </w:rPr>
        <w:t xml:space="preserve">Which sounds a lot like a fixed trust. </w:t>
      </w:r>
      <w:r w:rsidR="00964C1C">
        <w:rPr>
          <w:rFonts w:ascii="Times New Roman" w:hAnsi="Times New Roman" w:cs="Times New Roman"/>
          <w:sz w:val="24"/>
          <w:szCs w:val="24"/>
        </w:rPr>
        <w:t xml:space="preserve">The appropriate test for discretionary trusts is the individual ascertainability test. Or the </w:t>
      </w:r>
      <w:r w:rsidR="00A768D9">
        <w:rPr>
          <w:rFonts w:ascii="Times New Roman" w:hAnsi="Times New Roman" w:cs="Times New Roman"/>
          <w:sz w:val="24"/>
          <w:szCs w:val="24"/>
        </w:rPr>
        <w:t>‘any given postulant’ test</w:t>
      </w:r>
      <w:r w:rsidR="00964C1C">
        <w:rPr>
          <w:rFonts w:ascii="Times New Roman" w:hAnsi="Times New Roman" w:cs="Times New Roman"/>
          <w:sz w:val="24"/>
          <w:szCs w:val="24"/>
        </w:rPr>
        <w:t xml:space="preserve">.  </w:t>
      </w:r>
      <w:r w:rsidR="0067048E">
        <w:rPr>
          <w:rFonts w:ascii="Times New Roman" w:hAnsi="Times New Roman" w:cs="Times New Roman"/>
          <w:sz w:val="24"/>
          <w:szCs w:val="24"/>
        </w:rPr>
        <w:t xml:space="preserve">In the beginning there was no real separation drawn in regards to </w:t>
      </w:r>
      <w:r w:rsidR="00AE0346">
        <w:rPr>
          <w:rFonts w:ascii="Times New Roman" w:hAnsi="Times New Roman" w:cs="Times New Roman"/>
          <w:sz w:val="24"/>
          <w:szCs w:val="24"/>
        </w:rPr>
        <w:t>fixed trusts and discretionary trusts by the courts, so the same complete list test was used</w:t>
      </w:r>
      <w:r w:rsidR="00AE0346">
        <w:rPr>
          <w:rStyle w:val="FootnoteReference"/>
          <w:rFonts w:ascii="Times New Roman" w:hAnsi="Times New Roman" w:cs="Times New Roman"/>
          <w:sz w:val="24"/>
          <w:szCs w:val="24"/>
        </w:rPr>
        <w:footnoteReference w:id="4"/>
      </w:r>
      <w:r w:rsidR="00AE0346">
        <w:rPr>
          <w:rFonts w:ascii="Times New Roman" w:hAnsi="Times New Roman" w:cs="Times New Roman"/>
          <w:sz w:val="24"/>
          <w:szCs w:val="24"/>
        </w:rPr>
        <w:t xml:space="preserve"> This was thought to be a requisite element in order to carry out the distribution by the court if the trustee failed to make the necessary selection in a breach of trust. In such a circumstance it would be assumed that the court would seek to apply the equitable maxim that ‘equity is equality’ therefore distributing the trust equally amongst the objects</w:t>
      </w:r>
      <w:r w:rsidR="00AE0346">
        <w:rPr>
          <w:rStyle w:val="FootnoteReference"/>
          <w:rFonts w:ascii="Times New Roman" w:hAnsi="Times New Roman" w:cs="Times New Roman"/>
          <w:sz w:val="24"/>
          <w:szCs w:val="24"/>
        </w:rPr>
        <w:footnoteReference w:id="5"/>
      </w:r>
      <w:r w:rsidR="003260A7">
        <w:rPr>
          <w:rFonts w:ascii="Times New Roman" w:hAnsi="Times New Roman" w:cs="Times New Roman"/>
          <w:sz w:val="24"/>
          <w:szCs w:val="24"/>
        </w:rPr>
        <w:t>. This significance of this maxi</w:t>
      </w:r>
      <w:r w:rsidR="001145FD">
        <w:rPr>
          <w:rFonts w:ascii="Times New Roman" w:hAnsi="Times New Roman" w:cs="Times New Roman"/>
          <w:sz w:val="24"/>
          <w:szCs w:val="24"/>
        </w:rPr>
        <w:t>m</w:t>
      </w:r>
      <w:r w:rsidR="003260A7">
        <w:rPr>
          <w:rFonts w:ascii="Times New Roman" w:hAnsi="Times New Roman" w:cs="Times New Roman"/>
          <w:sz w:val="24"/>
          <w:szCs w:val="24"/>
        </w:rPr>
        <w:t xml:space="preserve"> was looked upon with scepticism by Lord Wilberforce in McPhail v Doulton</w:t>
      </w:r>
      <w:r w:rsidR="003260A7">
        <w:rPr>
          <w:rStyle w:val="FootnoteReference"/>
          <w:rFonts w:ascii="Times New Roman" w:hAnsi="Times New Roman" w:cs="Times New Roman"/>
          <w:sz w:val="24"/>
          <w:szCs w:val="24"/>
        </w:rPr>
        <w:footnoteReference w:id="6"/>
      </w:r>
      <w:r w:rsidR="003260A7">
        <w:rPr>
          <w:rFonts w:ascii="Times New Roman" w:hAnsi="Times New Roman" w:cs="Times New Roman"/>
          <w:sz w:val="24"/>
          <w:szCs w:val="24"/>
        </w:rPr>
        <w:t xml:space="preserve">. </w:t>
      </w:r>
      <w:r w:rsidR="00E21E37">
        <w:rPr>
          <w:rFonts w:ascii="Times New Roman" w:hAnsi="Times New Roman" w:cs="Times New Roman"/>
          <w:sz w:val="24"/>
          <w:szCs w:val="24"/>
        </w:rPr>
        <w:t xml:space="preserve">He stated that there was indeed a difference and yet to this day it is almost difficult to see one. </w:t>
      </w:r>
      <w:r w:rsidR="005713A8">
        <w:rPr>
          <w:rFonts w:ascii="Times New Roman" w:hAnsi="Times New Roman" w:cs="Times New Roman"/>
          <w:sz w:val="24"/>
          <w:szCs w:val="24"/>
        </w:rPr>
        <w:t>T</w:t>
      </w:r>
      <w:r w:rsidR="007C002D">
        <w:rPr>
          <w:rFonts w:ascii="Times New Roman" w:hAnsi="Times New Roman" w:cs="Times New Roman"/>
          <w:sz w:val="24"/>
          <w:szCs w:val="24"/>
        </w:rPr>
        <w:t>his type of distribution could of course, only be carried out with the aid of a complete list</w:t>
      </w:r>
      <w:r w:rsidR="003260A7">
        <w:rPr>
          <w:rFonts w:ascii="Times New Roman" w:hAnsi="Times New Roman" w:cs="Times New Roman"/>
          <w:sz w:val="24"/>
          <w:szCs w:val="24"/>
        </w:rPr>
        <w:t xml:space="preserve">. However, the complete list test is far more difficult to carry out with discretionary trusts than it is for fixed trusts because fixed trusts usually </w:t>
      </w:r>
      <w:r w:rsidR="003260A7">
        <w:rPr>
          <w:rFonts w:ascii="Times New Roman" w:hAnsi="Times New Roman" w:cs="Times New Roman"/>
          <w:sz w:val="24"/>
          <w:szCs w:val="24"/>
        </w:rPr>
        <w:lastRenderedPageBreak/>
        <w:t>only cater for a small number of objects whereas a discretionary trust could involve a large number, i.e.  anyone who could win the tennis tournament, this is an issue because the nature of the class will be highly likely to fluctuate given the criteria established by whomever deems a person ‘likely’ to win. It was held by the house of Lords in McPhail v Doulton</w:t>
      </w:r>
      <w:r w:rsidR="003260A7">
        <w:rPr>
          <w:rStyle w:val="FootnoteReference"/>
          <w:rFonts w:ascii="Times New Roman" w:hAnsi="Times New Roman" w:cs="Times New Roman"/>
          <w:sz w:val="24"/>
          <w:szCs w:val="24"/>
        </w:rPr>
        <w:footnoteReference w:id="7"/>
      </w:r>
      <w:r w:rsidR="003260A7">
        <w:rPr>
          <w:rFonts w:ascii="Times New Roman" w:hAnsi="Times New Roman" w:cs="Times New Roman"/>
          <w:sz w:val="24"/>
          <w:szCs w:val="24"/>
        </w:rPr>
        <w:t xml:space="preserve"> that the fixed list test should be rejected for discretionary trusts</w:t>
      </w:r>
      <w:r w:rsidR="00A11E25">
        <w:rPr>
          <w:rFonts w:ascii="Times New Roman" w:hAnsi="Times New Roman" w:cs="Times New Roman"/>
          <w:sz w:val="24"/>
          <w:szCs w:val="24"/>
        </w:rPr>
        <w:t xml:space="preserve">. </w:t>
      </w:r>
      <w:r w:rsidR="00BA3632" w:rsidRPr="00BA3632">
        <w:rPr>
          <w:rFonts w:ascii="Times New Roman" w:hAnsi="Times New Roman" w:cs="Times New Roman"/>
          <w:sz w:val="24"/>
          <w:szCs w:val="24"/>
        </w:rPr>
        <w:t xml:space="preserve">On the facts, it was held that it was </w:t>
      </w:r>
      <w:r w:rsidR="00BA3632">
        <w:rPr>
          <w:rFonts w:ascii="Times New Roman" w:hAnsi="Times New Roman" w:cs="Times New Roman"/>
          <w:sz w:val="24"/>
          <w:szCs w:val="24"/>
        </w:rPr>
        <w:t xml:space="preserve">in fact </w:t>
      </w:r>
      <w:r w:rsidR="00BA3632" w:rsidRPr="00BA3632">
        <w:rPr>
          <w:rFonts w:ascii="Times New Roman" w:hAnsi="Times New Roman" w:cs="Times New Roman"/>
          <w:sz w:val="24"/>
          <w:szCs w:val="24"/>
        </w:rPr>
        <w:t xml:space="preserve">possible to say </w:t>
      </w:r>
      <w:r w:rsidR="00BA3632">
        <w:rPr>
          <w:rFonts w:ascii="Times New Roman" w:hAnsi="Times New Roman" w:cs="Times New Roman"/>
          <w:sz w:val="24"/>
          <w:szCs w:val="24"/>
        </w:rPr>
        <w:t xml:space="preserve"> when </w:t>
      </w:r>
      <w:r w:rsidR="00BA3632" w:rsidRPr="00BA3632">
        <w:rPr>
          <w:rFonts w:ascii="Times New Roman" w:hAnsi="Times New Roman" w:cs="Times New Roman"/>
          <w:sz w:val="24"/>
          <w:szCs w:val="24"/>
        </w:rPr>
        <w:t xml:space="preserve">looking at </w:t>
      </w:r>
      <w:r w:rsidR="00BA3632">
        <w:rPr>
          <w:rFonts w:ascii="Times New Roman" w:hAnsi="Times New Roman" w:cs="Times New Roman"/>
          <w:sz w:val="24"/>
          <w:szCs w:val="24"/>
        </w:rPr>
        <w:t>the</w:t>
      </w:r>
      <w:r w:rsidR="00BA3632" w:rsidRPr="00BA3632">
        <w:rPr>
          <w:rFonts w:ascii="Times New Roman" w:hAnsi="Times New Roman" w:cs="Times New Roman"/>
          <w:sz w:val="24"/>
          <w:szCs w:val="24"/>
        </w:rPr>
        <w:t xml:space="preserve"> individual whether they were either an officer or employee, an ex-officer or ex-employee, or a relative or dependent of one</w:t>
      </w:r>
      <w:r w:rsidR="00BA3632">
        <w:rPr>
          <w:rFonts w:ascii="Times New Roman" w:hAnsi="Times New Roman" w:cs="Times New Roman"/>
          <w:sz w:val="24"/>
          <w:szCs w:val="24"/>
        </w:rPr>
        <w:t xml:space="preserve"> of the above</w:t>
      </w:r>
      <w:r w:rsidR="00BA3632" w:rsidRPr="00BA3632">
        <w:rPr>
          <w:rFonts w:ascii="Times New Roman" w:hAnsi="Times New Roman" w:cs="Times New Roman"/>
          <w:sz w:val="24"/>
          <w:szCs w:val="24"/>
        </w:rPr>
        <w:t>, and the validity of the trust was upheld</w:t>
      </w:r>
      <w:r w:rsidR="00BA3632">
        <w:rPr>
          <w:rFonts w:ascii="Times New Roman" w:hAnsi="Times New Roman" w:cs="Times New Roman"/>
          <w:sz w:val="24"/>
          <w:szCs w:val="24"/>
        </w:rPr>
        <w:t xml:space="preserve">. The two major criticisms with the ‘in or out’ test is that it therefore means that a trustee can only perform his duty properly if he has considered every possible claimant, as with the case of McPhail, it is easy enough to do in this situation, but as already stated, discretionary trusts are wider than just that. The other key criticism is that the court can only carry out execution of the trust if the trustee failed to do so, with a percentage division of the assets. Lord Wilberforce held, </w:t>
      </w:r>
      <w:r w:rsidR="00A768D9">
        <w:rPr>
          <w:rFonts w:ascii="Times New Roman" w:hAnsi="Times New Roman" w:cs="Times New Roman"/>
          <w:sz w:val="24"/>
          <w:szCs w:val="24"/>
        </w:rPr>
        <w:t>“</w:t>
      </w:r>
      <w:r w:rsidR="00A768D9" w:rsidRPr="00BA3632">
        <w:rPr>
          <w:rFonts w:ascii="Times New Roman" w:hAnsi="Times New Roman" w:cs="Times New Roman"/>
          <w:sz w:val="24"/>
          <w:szCs w:val="24"/>
        </w:rPr>
        <w:t>to</w:t>
      </w:r>
      <w:r w:rsidR="00BA3632" w:rsidRPr="00BA3632">
        <w:rPr>
          <w:rFonts w:ascii="Times New Roman" w:hAnsi="Times New Roman" w:cs="Times New Roman"/>
          <w:sz w:val="24"/>
          <w:szCs w:val="24"/>
        </w:rPr>
        <w:t xml:space="preserve"> consider every possible claimant, if one was fully distributing the fund, i.e., essentially winding it up. In such cases he would necessarily make a wider and more systematic survey in deciding to make grants. But there was no requirement to draw up a complete list of names, as indeed the law did not require for the exercise of a discretionary power. Further he felt that the court being called upon to execute the trust if the trustee would not do so was a theoretical rather than a practical difficulty. He pointed out that in cases that had reached the courts, there were no examples of a trustee refusing to act in that manner. But in any event, the court had powers to remove and replace trustees, who could then act properly. Further, it was not the case, in his view, that distribution was impossible unless there was an equal division, and he cited several older cases, prior to 1801, in which the court exercised discretion in relation to the making of distributions</w:t>
      </w:r>
      <w:r w:rsidR="00BA3632">
        <w:rPr>
          <w:rFonts w:ascii="Times New Roman" w:hAnsi="Times New Roman" w:cs="Times New Roman"/>
          <w:sz w:val="24"/>
          <w:szCs w:val="24"/>
        </w:rPr>
        <w:t>”</w:t>
      </w:r>
      <w:r w:rsidR="00BA3632" w:rsidRPr="00BA3632">
        <w:rPr>
          <w:rFonts w:ascii="Times New Roman" w:hAnsi="Times New Roman" w:cs="Times New Roman"/>
          <w:sz w:val="24"/>
          <w:szCs w:val="24"/>
        </w:rPr>
        <w:t>.</w:t>
      </w:r>
      <w:r w:rsidR="00BA3632">
        <w:rPr>
          <w:rFonts w:ascii="Times New Roman" w:hAnsi="Times New Roman" w:cs="Times New Roman"/>
          <w:sz w:val="24"/>
          <w:szCs w:val="24"/>
        </w:rPr>
        <w:t xml:space="preserve"> The case was remanded to the Court of Appeal under the name Re Badens Deed Trusts (no 2)</w:t>
      </w:r>
      <w:r w:rsidR="00964C1C">
        <w:rPr>
          <w:rFonts w:ascii="Times New Roman" w:hAnsi="Times New Roman" w:cs="Times New Roman"/>
          <w:sz w:val="24"/>
          <w:szCs w:val="24"/>
        </w:rPr>
        <w:t xml:space="preserve"> which in some regards has made things yet more confusing as the three judges all stated differing opinions of what the test should be, albeit in arguing that the trust was indeed valid</w:t>
      </w:r>
      <w:r w:rsidR="00512B96">
        <w:rPr>
          <w:rFonts w:ascii="Times New Roman" w:hAnsi="Times New Roman" w:cs="Times New Roman"/>
          <w:sz w:val="24"/>
          <w:szCs w:val="24"/>
        </w:rPr>
        <w:t>, and clarifying family and relatives and creating</w:t>
      </w:r>
      <w:r w:rsidR="00BA3632">
        <w:rPr>
          <w:rFonts w:ascii="Times New Roman" w:hAnsi="Times New Roman" w:cs="Times New Roman"/>
          <w:sz w:val="24"/>
          <w:szCs w:val="24"/>
        </w:rPr>
        <w:t xml:space="preserve"> </w:t>
      </w:r>
      <w:r w:rsidR="00512B96">
        <w:rPr>
          <w:rFonts w:ascii="Times New Roman" w:hAnsi="Times New Roman" w:cs="Times New Roman"/>
          <w:sz w:val="24"/>
          <w:szCs w:val="24"/>
        </w:rPr>
        <w:t xml:space="preserve">diverse tests to satisfy these instances. Although it was Sachs LJ’s reasoning that was preferred. </w:t>
      </w:r>
      <w:r w:rsidR="001145FD">
        <w:rPr>
          <w:rFonts w:ascii="Times New Roman" w:hAnsi="Times New Roman" w:cs="Times New Roman"/>
          <w:sz w:val="24"/>
          <w:szCs w:val="24"/>
        </w:rPr>
        <w:t xml:space="preserve"> </w:t>
      </w:r>
      <w:r w:rsidR="00A768D9">
        <w:rPr>
          <w:rFonts w:ascii="Times New Roman" w:hAnsi="Times New Roman" w:cs="Times New Roman"/>
          <w:sz w:val="24"/>
          <w:szCs w:val="24"/>
        </w:rPr>
        <w:t>Even in cases in which the discretionary trust passes the individual ascertainability test, the trust can still fail on the back of administrative unworkability, in such circumstances that the beneficiary group is too wide.</w:t>
      </w:r>
      <w:r w:rsidR="00867A07">
        <w:rPr>
          <w:rFonts w:ascii="Times New Roman" w:hAnsi="Times New Roman" w:cs="Times New Roman"/>
          <w:sz w:val="24"/>
          <w:szCs w:val="24"/>
        </w:rPr>
        <w:t xml:space="preserve"> So therefore the requirements to satisfy just one test isn’t quite the case.</w:t>
      </w:r>
      <w:r w:rsidR="00A768D9">
        <w:rPr>
          <w:rFonts w:ascii="Times New Roman" w:hAnsi="Times New Roman" w:cs="Times New Roman"/>
          <w:sz w:val="24"/>
          <w:szCs w:val="24"/>
        </w:rPr>
        <w:t xml:space="preserve"> It seems </w:t>
      </w:r>
      <w:r w:rsidR="00A768D9">
        <w:rPr>
          <w:rFonts w:ascii="Times New Roman" w:hAnsi="Times New Roman" w:cs="Times New Roman"/>
          <w:sz w:val="24"/>
          <w:szCs w:val="24"/>
        </w:rPr>
        <w:lastRenderedPageBreak/>
        <w:t>discretionary trust, although in the first instance appear to be wide and open,</w:t>
      </w:r>
      <w:r w:rsidR="00867A07">
        <w:rPr>
          <w:rFonts w:ascii="Times New Roman" w:hAnsi="Times New Roman" w:cs="Times New Roman"/>
          <w:sz w:val="24"/>
          <w:szCs w:val="24"/>
        </w:rPr>
        <w:t xml:space="preserve"> are actually </w:t>
      </w:r>
      <w:r w:rsidR="00A768D9">
        <w:rPr>
          <w:rFonts w:ascii="Times New Roman" w:hAnsi="Times New Roman" w:cs="Times New Roman"/>
          <w:sz w:val="24"/>
          <w:szCs w:val="24"/>
        </w:rPr>
        <w:t xml:space="preserve">in reality, narrow and cautionary. </w:t>
      </w:r>
    </w:p>
    <w:p w14:paraId="791FB533" w14:textId="50775C10" w:rsidR="00512B96" w:rsidRDefault="00512B96" w:rsidP="00901232">
      <w:pPr>
        <w:spacing w:line="360" w:lineRule="auto"/>
        <w:rPr>
          <w:rFonts w:ascii="Times New Roman" w:hAnsi="Times New Roman" w:cs="Times New Roman"/>
          <w:sz w:val="24"/>
          <w:szCs w:val="24"/>
        </w:rPr>
      </w:pPr>
    </w:p>
    <w:p w14:paraId="0E13B971" w14:textId="2EE01C68" w:rsidR="00512B96" w:rsidRDefault="00512B96" w:rsidP="00901232">
      <w:pPr>
        <w:spacing w:line="360" w:lineRule="auto"/>
        <w:rPr>
          <w:rFonts w:ascii="Times New Roman" w:hAnsi="Times New Roman" w:cs="Times New Roman"/>
          <w:sz w:val="24"/>
          <w:szCs w:val="24"/>
        </w:rPr>
      </w:pPr>
      <w:r>
        <w:rPr>
          <w:rFonts w:ascii="Times New Roman" w:hAnsi="Times New Roman" w:cs="Times New Roman"/>
          <w:sz w:val="24"/>
          <w:szCs w:val="24"/>
        </w:rPr>
        <w:t>In conclusion, the law regarding certainty of objects for discretionary trust needs to be further clarified. Although on the surface it seems simple and easy to understand what the requirements are, it is not. Once you scratch the surface of the case law, you soon see a wide open space of issues that will no doubt be brought to court</w:t>
      </w:r>
      <w:r w:rsidR="00CD7AB5">
        <w:rPr>
          <w:rFonts w:ascii="Times New Roman" w:hAnsi="Times New Roman" w:cs="Times New Roman"/>
          <w:sz w:val="24"/>
          <w:szCs w:val="24"/>
        </w:rPr>
        <w:t xml:space="preserve">, such as what is wide but not too wide when deciding who can be an object, what is the actual limit and how do we keep the distinction between discretionary and fixed trusts. </w:t>
      </w:r>
      <w:r w:rsidR="00CD7AB5" w:rsidRPr="00CD7AB5">
        <w:rPr>
          <w:rFonts w:ascii="Times New Roman" w:hAnsi="Times New Roman" w:cs="Times New Roman"/>
          <w:sz w:val="24"/>
          <w:szCs w:val="24"/>
        </w:rPr>
        <w:t>In each case the exact words must be scrutinised to work out whether the test is fulfilled.</w:t>
      </w:r>
      <w:r w:rsidR="00CD7AB5">
        <w:rPr>
          <w:rFonts w:ascii="Times New Roman" w:hAnsi="Times New Roman" w:cs="Times New Roman"/>
          <w:sz w:val="24"/>
          <w:szCs w:val="24"/>
        </w:rPr>
        <w:t xml:space="preserve"> C</w:t>
      </w:r>
      <w:r w:rsidR="00CD7AB5" w:rsidRPr="00CD7AB5">
        <w:rPr>
          <w:rFonts w:ascii="Times New Roman" w:hAnsi="Times New Roman" w:cs="Times New Roman"/>
          <w:sz w:val="24"/>
          <w:szCs w:val="24"/>
        </w:rPr>
        <w:t xml:space="preserve">ertain categories of beneficiaries have been disallowed on the basis that they are clearly not conceptually </w:t>
      </w:r>
      <w:r w:rsidR="00CD7AB5" w:rsidRPr="00CD7AB5">
        <w:rPr>
          <w:rFonts w:ascii="Times New Roman" w:hAnsi="Times New Roman" w:cs="Times New Roman"/>
          <w:sz w:val="24"/>
          <w:szCs w:val="24"/>
        </w:rPr>
        <w:t>certain,</w:t>
      </w:r>
      <w:r w:rsidR="00CD7AB5">
        <w:rPr>
          <w:rFonts w:ascii="Times New Roman" w:hAnsi="Times New Roman" w:cs="Times New Roman"/>
          <w:sz w:val="24"/>
          <w:szCs w:val="24"/>
        </w:rPr>
        <w:t xml:space="preserve"> but one struggles to see the difference between conceptually certain and fixed. </w:t>
      </w:r>
      <w:r w:rsidR="00CD7AB5" w:rsidRPr="00CD7AB5">
        <w:rPr>
          <w:rFonts w:ascii="Times New Roman" w:hAnsi="Times New Roman" w:cs="Times New Roman"/>
          <w:sz w:val="24"/>
          <w:szCs w:val="24"/>
        </w:rPr>
        <w:t>In Re Barlow’s Will Trusts,</w:t>
      </w:r>
      <w:r w:rsidR="00CD7AB5">
        <w:rPr>
          <w:rFonts w:ascii="Times New Roman" w:hAnsi="Times New Roman" w:cs="Times New Roman"/>
          <w:sz w:val="24"/>
          <w:szCs w:val="24"/>
        </w:rPr>
        <w:t xml:space="preserve"> </w:t>
      </w:r>
      <w:r w:rsidR="00CD7AB5" w:rsidRPr="00CD7AB5">
        <w:rPr>
          <w:rFonts w:ascii="Times New Roman" w:hAnsi="Times New Roman" w:cs="Times New Roman"/>
          <w:sz w:val="24"/>
          <w:szCs w:val="24"/>
        </w:rPr>
        <w:t>the court ruled that ‘friends’ was not sufficiently certain because it would not be possible for a court to adjudicate on such a concept, given its subjectivity.</w:t>
      </w:r>
      <w:r w:rsidR="00CD7AB5">
        <w:rPr>
          <w:rFonts w:ascii="Times New Roman" w:hAnsi="Times New Roman" w:cs="Times New Roman"/>
          <w:sz w:val="24"/>
          <w:szCs w:val="24"/>
        </w:rPr>
        <w:t xml:space="preserve"> Therefore, it is not clear enough, however, if ‘friends’ was any clearer it would be fixed. In opposition to this, family can be identified </w:t>
      </w:r>
      <w:r w:rsidR="00E21E37">
        <w:rPr>
          <w:rFonts w:ascii="Times New Roman" w:hAnsi="Times New Roman" w:cs="Times New Roman"/>
          <w:sz w:val="24"/>
          <w:szCs w:val="24"/>
        </w:rPr>
        <w:t xml:space="preserve">as conceptually certain because they can be identified with recourse to a family tree, therefore, in all but name this is fixed. The law seems to be flexible but is somewhat vague, it is necessary to draw a line in the distinction and lay out a definitive instruction on how to satisfy a discretionary trust. This argument shows that the law here must be clearer and more specific. </w:t>
      </w:r>
    </w:p>
    <w:p w14:paraId="13099DB7" w14:textId="72F4382A" w:rsidR="0067048E" w:rsidRDefault="0067048E" w:rsidP="00901232">
      <w:pPr>
        <w:spacing w:line="360" w:lineRule="auto"/>
        <w:rPr>
          <w:rFonts w:ascii="Times New Roman" w:hAnsi="Times New Roman" w:cs="Times New Roman"/>
          <w:sz w:val="24"/>
          <w:szCs w:val="24"/>
        </w:rPr>
      </w:pPr>
    </w:p>
    <w:p w14:paraId="1E1B966D" w14:textId="23668E1E" w:rsidR="0067048E" w:rsidRDefault="0067048E" w:rsidP="00901232">
      <w:pPr>
        <w:spacing w:line="360" w:lineRule="auto"/>
        <w:rPr>
          <w:rFonts w:ascii="Times New Roman" w:hAnsi="Times New Roman" w:cs="Times New Roman"/>
          <w:sz w:val="24"/>
          <w:szCs w:val="24"/>
        </w:rPr>
      </w:pPr>
    </w:p>
    <w:p w14:paraId="3066E96B" w14:textId="77777777" w:rsidR="0067048E" w:rsidRPr="00901232" w:rsidRDefault="0067048E" w:rsidP="00901232">
      <w:pPr>
        <w:spacing w:line="360" w:lineRule="auto"/>
        <w:rPr>
          <w:rFonts w:ascii="Times New Roman" w:hAnsi="Times New Roman" w:cs="Times New Roman"/>
          <w:sz w:val="24"/>
          <w:szCs w:val="24"/>
        </w:rPr>
      </w:pPr>
    </w:p>
    <w:sectPr w:rsidR="0067048E" w:rsidRPr="00901232" w:rsidSect="005713A8">
      <w:footerReference w:type="default" r:id="rId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9E98B" w14:textId="77777777" w:rsidR="00E821C4" w:rsidRDefault="00E821C4" w:rsidP="00CB4FE8">
      <w:pPr>
        <w:spacing w:after="0" w:line="240" w:lineRule="auto"/>
      </w:pPr>
      <w:r>
        <w:separator/>
      </w:r>
    </w:p>
  </w:endnote>
  <w:endnote w:type="continuationSeparator" w:id="0">
    <w:p w14:paraId="0031EF93" w14:textId="77777777" w:rsidR="00E821C4" w:rsidRDefault="00E821C4" w:rsidP="00CB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0275602"/>
      <w:docPartObj>
        <w:docPartGallery w:val="Page Numbers (Bottom of Page)"/>
        <w:docPartUnique/>
      </w:docPartObj>
    </w:sdtPr>
    <w:sdtEndPr>
      <w:rPr>
        <w:noProof/>
      </w:rPr>
    </w:sdtEndPr>
    <w:sdtContent>
      <w:p w14:paraId="57473F61" w14:textId="77777777" w:rsidR="005713A8" w:rsidRDefault="005713A8">
        <w:pPr>
          <w:pStyle w:val="Footer"/>
          <w:jc w:val="right"/>
        </w:pPr>
      </w:p>
      <w:p w14:paraId="3997EB7A" w14:textId="77777777" w:rsidR="005713A8" w:rsidRDefault="005713A8">
        <w:pPr>
          <w:pStyle w:val="Footer"/>
          <w:jc w:val="right"/>
        </w:pPr>
      </w:p>
      <w:p w14:paraId="027D0F14" w14:textId="475F99B1" w:rsidR="005713A8" w:rsidRDefault="005713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57CA9E" w14:textId="77777777" w:rsidR="005713A8" w:rsidRDefault="00571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48AEC3" w14:textId="77777777" w:rsidR="00E821C4" w:rsidRDefault="00E821C4" w:rsidP="00CB4FE8">
      <w:pPr>
        <w:spacing w:after="0" w:line="240" w:lineRule="auto"/>
      </w:pPr>
      <w:r>
        <w:separator/>
      </w:r>
    </w:p>
  </w:footnote>
  <w:footnote w:type="continuationSeparator" w:id="0">
    <w:p w14:paraId="1C57FE4A" w14:textId="77777777" w:rsidR="00E821C4" w:rsidRDefault="00E821C4" w:rsidP="00CB4FE8">
      <w:pPr>
        <w:spacing w:after="0" w:line="240" w:lineRule="auto"/>
      </w:pPr>
      <w:r>
        <w:continuationSeparator/>
      </w:r>
    </w:p>
  </w:footnote>
  <w:footnote w:id="1">
    <w:p w14:paraId="4F8D9431" w14:textId="31A2032D" w:rsidR="001145FD" w:rsidRPr="001145FD" w:rsidRDefault="001145FD">
      <w:pPr>
        <w:pStyle w:val="FootnoteText"/>
        <w:rPr>
          <w:rFonts w:ascii="Times New Roman" w:hAnsi="Times New Roman" w:cs="Times New Roman"/>
          <w:sz w:val="16"/>
          <w:szCs w:val="16"/>
        </w:rPr>
      </w:pPr>
      <w:r>
        <w:rPr>
          <w:rStyle w:val="FootnoteReference"/>
        </w:rPr>
        <w:footnoteRef/>
      </w:r>
      <w:r>
        <w:t xml:space="preserve"> </w:t>
      </w:r>
      <w:r w:rsidRPr="001145FD">
        <w:rPr>
          <w:rFonts w:ascii="Times New Roman" w:hAnsi="Times New Roman" w:cs="Times New Roman"/>
          <w:i/>
          <w:iCs/>
          <w:sz w:val="16"/>
          <w:szCs w:val="16"/>
        </w:rPr>
        <w:t>Re Murphy’s settlements</w:t>
      </w:r>
      <w:r>
        <w:rPr>
          <w:rFonts w:ascii="Times New Roman" w:hAnsi="Times New Roman" w:cs="Times New Roman"/>
          <w:sz w:val="16"/>
          <w:szCs w:val="16"/>
        </w:rPr>
        <w:t xml:space="preserve"> [1998] 3 All ER 1</w:t>
      </w:r>
    </w:p>
  </w:footnote>
  <w:footnote w:id="2">
    <w:p w14:paraId="01802514" w14:textId="1E54D6AB" w:rsidR="00BF3F8C" w:rsidRDefault="00BF3F8C">
      <w:pPr>
        <w:pStyle w:val="FootnoteText"/>
      </w:pPr>
      <w:r>
        <w:rPr>
          <w:rStyle w:val="FootnoteReference"/>
        </w:rPr>
        <w:footnoteRef/>
      </w:r>
      <w:r>
        <w:t xml:space="preserve"> </w:t>
      </w:r>
      <w:r w:rsidRPr="00BF3F8C">
        <w:rPr>
          <w:rFonts w:ascii="Times New Roman" w:hAnsi="Times New Roman" w:cs="Times New Roman"/>
          <w:sz w:val="16"/>
          <w:szCs w:val="16"/>
        </w:rPr>
        <w:t>Todd P &amp; Wilson S, ‘</w:t>
      </w:r>
      <w:r w:rsidRPr="00BF3F8C">
        <w:rPr>
          <w:rFonts w:ascii="Times New Roman" w:hAnsi="Times New Roman" w:cs="Times New Roman"/>
          <w:i/>
          <w:iCs/>
          <w:sz w:val="16"/>
          <w:szCs w:val="16"/>
        </w:rPr>
        <w:t>Textbook on Trusts’</w:t>
      </w:r>
      <w:r w:rsidRPr="00BF3F8C">
        <w:rPr>
          <w:rFonts w:ascii="Times New Roman" w:hAnsi="Times New Roman" w:cs="Times New Roman"/>
          <w:sz w:val="16"/>
          <w:szCs w:val="16"/>
        </w:rPr>
        <w:t>, (6</w:t>
      </w:r>
      <w:r w:rsidRPr="00BF3F8C">
        <w:rPr>
          <w:rFonts w:ascii="Times New Roman" w:hAnsi="Times New Roman" w:cs="Times New Roman"/>
          <w:sz w:val="16"/>
          <w:szCs w:val="16"/>
          <w:vertAlign w:val="superscript"/>
        </w:rPr>
        <w:t>th</w:t>
      </w:r>
      <w:r w:rsidRPr="00BF3F8C">
        <w:rPr>
          <w:rFonts w:ascii="Times New Roman" w:hAnsi="Times New Roman" w:cs="Times New Roman"/>
          <w:sz w:val="16"/>
          <w:szCs w:val="16"/>
        </w:rPr>
        <w:t xml:space="preserve"> Edition, 2003) P.125</w:t>
      </w:r>
    </w:p>
  </w:footnote>
  <w:footnote w:id="3">
    <w:p w14:paraId="053E2E45" w14:textId="6951B356" w:rsidR="0067048E" w:rsidRPr="0067048E" w:rsidRDefault="0067048E">
      <w:pPr>
        <w:pStyle w:val="FootnoteText"/>
        <w:rPr>
          <w:rFonts w:ascii="Times New Roman" w:hAnsi="Times New Roman" w:cs="Times New Roman"/>
          <w:sz w:val="16"/>
          <w:szCs w:val="16"/>
        </w:rPr>
      </w:pPr>
      <w:r>
        <w:rPr>
          <w:rStyle w:val="FootnoteReference"/>
        </w:rPr>
        <w:footnoteRef/>
      </w:r>
      <w:r>
        <w:t xml:space="preserve"> </w:t>
      </w:r>
      <w:r w:rsidRPr="0067048E">
        <w:rPr>
          <w:rFonts w:ascii="Times New Roman" w:hAnsi="Times New Roman" w:cs="Times New Roman"/>
          <w:i/>
          <w:iCs/>
          <w:sz w:val="16"/>
          <w:szCs w:val="16"/>
        </w:rPr>
        <w:t>Sprange v Barnard</w:t>
      </w:r>
      <w:r>
        <w:rPr>
          <w:rFonts w:ascii="Times New Roman" w:hAnsi="Times New Roman" w:cs="Times New Roman"/>
          <w:sz w:val="16"/>
          <w:szCs w:val="16"/>
        </w:rPr>
        <w:t xml:space="preserve"> [1789] 2 Bro cc 585</w:t>
      </w:r>
    </w:p>
  </w:footnote>
  <w:footnote w:id="4">
    <w:p w14:paraId="0ED3D97D" w14:textId="2B5410C5" w:rsidR="00AE0346" w:rsidRPr="00AE0346" w:rsidRDefault="00AE0346">
      <w:pPr>
        <w:pStyle w:val="FootnoteText"/>
        <w:rPr>
          <w:rFonts w:ascii="Times New Roman" w:hAnsi="Times New Roman" w:cs="Times New Roman"/>
          <w:sz w:val="16"/>
          <w:szCs w:val="16"/>
        </w:rPr>
      </w:pPr>
      <w:r>
        <w:rPr>
          <w:rStyle w:val="FootnoteReference"/>
        </w:rPr>
        <w:footnoteRef/>
      </w:r>
      <w:r>
        <w:t xml:space="preserve"> </w:t>
      </w:r>
      <w:r w:rsidRPr="00AE0346">
        <w:rPr>
          <w:rFonts w:ascii="Times New Roman" w:hAnsi="Times New Roman" w:cs="Times New Roman"/>
          <w:i/>
          <w:iCs/>
          <w:sz w:val="16"/>
          <w:szCs w:val="16"/>
        </w:rPr>
        <w:t>IRC v Broadway Cottages Trust</w:t>
      </w:r>
      <w:r>
        <w:rPr>
          <w:rFonts w:ascii="Times New Roman" w:hAnsi="Times New Roman" w:cs="Times New Roman"/>
          <w:sz w:val="16"/>
          <w:szCs w:val="16"/>
        </w:rPr>
        <w:t xml:space="preserve"> [1955] Ch 20</w:t>
      </w:r>
    </w:p>
  </w:footnote>
  <w:footnote w:id="5">
    <w:p w14:paraId="4FD6F219" w14:textId="2D3F1B29" w:rsidR="00AE0346" w:rsidRPr="00AE0346" w:rsidRDefault="00AE0346">
      <w:pPr>
        <w:pStyle w:val="FootnoteText"/>
        <w:rPr>
          <w:rFonts w:ascii="Times New Roman" w:hAnsi="Times New Roman" w:cs="Times New Roman"/>
          <w:sz w:val="16"/>
          <w:szCs w:val="16"/>
        </w:rPr>
      </w:pPr>
      <w:r>
        <w:rPr>
          <w:rStyle w:val="FootnoteReference"/>
        </w:rPr>
        <w:footnoteRef/>
      </w:r>
      <w:r>
        <w:t xml:space="preserve"> </w:t>
      </w:r>
      <w:r w:rsidRPr="00AE0346">
        <w:rPr>
          <w:rFonts w:ascii="Times New Roman" w:hAnsi="Times New Roman" w:cs="Times New Roman"/>
          <w:i/>
          <w:iCs/>
          <w:sz w:val="16"/>
          <w:szCs w:val="16"/>
        </w:rPr>
        <w:t>Burrogh v Philcox</w:t>
      </w:r>
      <w:r>
        <w:rPr>
          <w:rFonts w:ascii="Times New Roman" w:hAnsi="Times New Roman" w:cs="Times New Roman"/>
          <w:sz w:val="16"/>
          <w:szCs w:val="16"/>
        </w:rPr>
        <w:t xml:space="preserve"> [1840] 5 My &amp; Cr 72</w:t>
      </w:r>
    </w:p>
  </w:footnote>
  <w:footnote w:id="6">
    <w:p w14:paraId="57E77D02" w14:textId="69DE7F9F" w:rsidR="003260A7" w:rsidRDefault="003260A7">
      <w:pPr>
        <w:pStyle w:val="FootnoteText"/>
      </w:pPr>
      <w:r>
        <w:rPr>
          <w:rStyle w:val="FootnoteReference"/>
        </w:rPr>
        <w:footnoteRef/>
      </w:r>
      <w:r>
        <w:t xml:space="preserve"> </w:t>
      </w:r>
      <w:r w:rsidRPr="003260A7">
        <w:rPr>
          <w:rFonts w:ascii="Times New Roman" w:hAnsi="Times New Roman" w:cs="Times New Roman"/>
          <w:i/>
          <w:iCs/>
          <w:sz w:val="16"/>
          <w:szCs w:val="16"/>
        </w:rPr>
        <w:t>McPhail v Doulton</w:t>
      </w:r>
      <w:r w:rsidRPr="003260A7">
        <w:rPr>
          <w:rFonts w:ascii="Times New Roman" w:hAnsi="Times New Roman" w:cs="Times New Roman"/>
          <w:sz w:val="16"/>
          <w:szCs w:val="16"/>
        </w:rPr>
        <w:t xml:space="preserve"> [1971] AC 424</w:t>
      </w:r>
    </w:p>
  </w:footnote>
  <w:footnote w:id="7">
    <w:p w14:paraId="7D18AD6F" w14:textId="6364F5AE" w:rsidR="005713A8" w:rsidRDefault="003260A7">
      <w:pPr>
        <w:pStyle w:val="FootnoteText"/>
        <w:rPr>
          <w:rFonts w:ascii="Times New Roman" w:hAnsi="Times New Roman" w:cs="Times New Roman"/>
          <w:sz w:val="16"/>
          <w:szCs w:val="16"/>
        </w:rPr>
      </w:pPr>
      <w:r>
        <w:rPr>
          <w:rStyle w:val="FootnoteReference"/>
        </w:rPr>
        <w:footnoteRef/>
      </w:r>
      <w:r>
        <w:t xml:space="preserve"> </w:t>
      </w:r>
      <w:r w:rsidR="005713A8" w:rsidRPr="005713A8">
        <w:rPr>
          <w:rFonts w:ascii="Times New Roman" w:hAnsi="Times New Roman" w:cs="Times New Roman"/>
          <w:sz w:val="16"/>
          <w:szCs w:val="16"/>
        </w:rPr>
        <w:t xml:space="preserve">Ibid, </w:t>
      </w:r>
      <w:r w:rsidR="005713A8">
        <w:rPr>
          <w:rFonts w:ascii="Times New Roman" w:hAnsi="Times New Roman" w:cs="Times New Roman"/>
          <w:sz w:val="16"/>
          <w:szCs w:val="16"/>
        </w:rPr>
        <w:t>2</w:t>
      </w:r>
    </w:p>
    <w:p w14:paraId="33364C93" w14:textId="1F924D25" w:rsidR="003260A7" w:rsidRPr="003260A7" w:rsidRDefault="005713A8">
      <w:pPr>
        <w:pStyle w:val="FootnoteTex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BIBLIOGRAPHY  \l 2057 </w:instrText>
      </w:r>
      <w:r>
        <w:rPr>
          <w:rFonts w:ascii="Times New Roman" w:hAnsi="Times New Roman" w:cs="Times New Roman"/>
          <w:sz w:val="16"/>
          <w:szCs w:val="16"/>
        </w:rPr>
        <w:fldChar w:fldCharType="separate"/>
      </w:r>
      <w:r>
        <w:rPr>
          <w:rFonts w:ascii="Times New Roman" w:hAnsi="Times New Roman" w:cs="Times New Roman"/>
          <w:sz w:val="16"/>
          <w:szCs w:val="16"/>
        </w:rPr>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EE"/>
    <w:rsid w:val="001145FD"/>
    <w:rsid w:val="00197E0D"/>
    <w:rsid w:val="001F72FB"/>
    <w:rsid w:val="003260A7"/>
    <w:rsid w:val="00512B96"/>
    <w:rsid w:val="005713A8"/>
    <w:rsid w:val="0067048E"/>
    <w:rsid w:val="007C002D"/>
    <w:rsid w:val="007D5F49"/>
    <w:rsid w:val="00867A07"/>
    <w:rsid w:val="008D1455"/>
    <w:rsid w:val="00901232"/>
    <w:rsid w:val="009332C3"/>
    <w:rsid w:val="00964C1C"/>
    <w:rsid w:val="009A5970"/>
    <w:rsid w:val="00A11E25"/>
    <w:rsid w:val="00A768D9"/>
    <w:rsid w:val="00AE0346"/>
    <w:rsid w:val="00B65CF4"/>
    <w:rsid w:val="00BA3632"/>
    <w:rsid w:val="00BF3F8C"/>
    <w:rsid w:val="00C20A7E"/>
    <w:rsid w:val="00C668EE"/>
    <w:rsid w:val="00CB4FE8"/>
    <w:rsid w:val="00CD7AB5"/>
    <w:rsid w:val="00E217A4"/>
    <w:rsid w:val="00E21E37"/>
    <w:rsid w:val="00E82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3FC6E"/>
  <w15:chartTrackingRefBased/>
  <w15:docId w15:val="{F5FF694C-BA73-442F-A01E-C83230231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B4F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4FE8"/>
    <w:rPr>
      <w:sz w:val="20"/>
      <w:szCs w:val="20"/>
    </w:rPr>
  </w:style>
  <w:style w:type="character" w:styleId="FootnoteReference">
    <w:name w:val="footnote reference"/>
    <w:basedOn w:val="DefaultParagraphFont"/>
    <w:uiPriority w:val="99"/>
    <w:semiHidden/>
    <w:unhideWhenUsed/>
    <w:rsid w:val="00CB4FE8"/>
    <w:rPr>
      <w:vertAlign w:val="superscript"/>
    </w:rPr>
  </w:style>
  <w:style w:type="paragraph" w:styleId="Header">
    <w:name w:val="header"/>
    <w:basedOn w:val="Normal"/>
    <w:link w:val="HeaderChar"/>
    <w:uiPriority w:val="99"/>
    <w:unhideWhenUsed/>
    <w:rsid w:val="005713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3A8"/>
  </w:style>
  <w:style w:type="paragraph" w:styleId="Footer">
    <w:name w:val="footer"/>
    <w:basedOn w:val="Normal"/>
    <w:link w:val="FooterChar"/>
    <w:uiPriority w:val="99"/>
    <w:unhideWhenUsed/>
    <w:rsid w:val="005713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54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05E0E-7DB8-454C-8955-635365ACD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Vivian-Crowder</dc:creator>
  <cp:keywords/>
  <dc:description/>
  <cp:lastModifiedBy>Martin Vivian-Crowder</cp:lastModifiedBy>
  <cp:revision>4</cp:revision>
  <dcterms:created xsi:type="dcterms:W3CDTF">2020-10-28T17:28:00Z</dcterms:created>
  <dcterms:modified xsi:type="dcterms:W3CDTF">2020-10-28T17:30:00Z</dcterms:modified>
</cp:coreProperties>
</file>