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0"/>
          <w:szCs w:val="20"/>
        </w:rPr>
      </w:pPr>
      <w:bookmarkStart w:id="0" w:name="page1"/>
      <w:bookmarkEnd w:id="0"/>
      <w:r>
        <w:rPr>
          <w:rFonts w:ascii="Arial" w:hAnsi="Arial" w:eastAsia="Arial" w:cs="Arial"/>
          <w:b/>
          <w:bCs/>
          <w:sz w:val="24"/>
          <w:szCs w:val="24"/>
        </w:rPr>
        <w:t>Influencia del “Niño costero-2017” en Bolivia</w:t>
      </w:r>
    </w:p>
    <w:p>
      <w:pPr>
        <w:spacing w:line="44" w:lineRule="exact"/>
        <w:jc w:val="center"/>
        <w:rPr>
          <w:sz w:val="24"/>
          <w:szCs w:val="24"/>
        </w:rPr>
      </w:pPr>
    </w:p>
    <w:p>
      <w:pPr>
        <w:jc w:val="center"/>
        <w:rPr>
          <w:sz w:val="20"/>
          <w:szCs w:val="20"/>
          <w:lang w:val="en-US"/>
        </w:rPr>
      </w:pPr>
      <w:r>
        <w:rPr>
          <w:rFonts w:ascii="Arial" w:hAnsi="Arial" w:eastAsia="Arial" w:cs="Arial"/>
          <w:b/>
          <w:bCs/>
          <w:sz w:val="24"/>
          <w:szCs w:val="24"/>
          <w:lang w:val="en-US"/>
        </w:rPr>
        <w:t>The influence of the “El Niño costero-2017” in Bolivia</w:t>
      </w:r>
    </w:p>
    <w:p>
      <w:pPr>
        <w:spacing w:line="300" w:lineRule="exact"/>
        <w:jc w:val="center"/>
        <w:rPr>
          <w:sz w:val="24"/>
          <w:szCs w:val="24"/>
          <w:lang w:val="en-US"/>
        </w:rPr>
      </w:pPr>
    </w:p>
    <w:p>
      <w:pPr>
        <w:jc w:val="both"/>
        <w:rPr>
          <w:sz w:val="20"/>
          <w:szCs w:val="20"/>
        </w:rPr>
      </w:pPr>
      <w:r>
        <w:rPr>
          <w:rFonts w:ascii="Arial" w:hAnsi="Arial" w:eastAsia="Arial" w:cs="Arial"/>
          <w:sz w:val="20"/>
          <w:szCs w:val="20"/>
        </w:rPr>
        <w:t>Guillermina Miranda Torrez</w:t>
      </w:r>
      <w:r>
        <w:rPr>
          <w:rFonts w:ascii="Arial" w:hAnsi="Arial" w:eastAsia="Arial" w:cs="Arial"/>
          <w:sz w:val="26"/>
          <w:szCs w:val="26"/>
          <w:vertAlign w:val="superscript"/>
        </w:rPr>
        <w:t>1*</w:t>
      </w:r>
      <w:r>
        <w:rPr>
          <w:rFonts w:ascii="Arial" w:hAnsi="Arial" w:eastAsia="Arial" w:cs="Arial"/>
          <w:sz w:val="20"/>
          <w:szCs w:val="20"/>
        </w:rPr>
        <w:t>, Marisol Portugal Alvarez</w:t>
      </w:r>
      <w:r>
        <w:rPr>
          <w:rFonts w:ascii="Arial" w:hAnsi="Arial" w:eastAsia="Arial" w:cs="Arial"/>
          <w:sz w:val="26"/>
          <w:szCs w:val="26"/>
          <w:vertAlign w:val="superscript"/>
        </w:rPr>
        <w:t>2</w:t>
      </w:r>
      <w:r>
        <w:rPr>
          <w:rFonts w:ascii="Arial" w:hAnsi="Arial" w:eastAsia="Arial" w:cs="Arial"/>
          <w:sz w:val="20"/>
          <w:szCs w:val="20"/>
        </w:rPr>
        <w:t>, Nikolay Salazar Monterrey</w:t>
      </w:r>
      <w:r>
        <w:rPr>
          <w:rFonts w:ascii="Arial" w:hAnsi="Arial" w:eastAsia="Arial" w:cs="Arial"/>
          <w:sz w:val="26"/>
          <w:szCs w:val="26"/>
          <w:vertAlign w:val="superscript"/>
        </w:rPr>
        <w:t>2</w:t>
      </w:r>
    </w:p>
    <w:p>
      <w:pPr>
        <w:jc w:val="both"/>
        <w:rPr>
          <w:rFonts w:ascii="Arial" w:hAnsi="Arial" w:eastAsia="Arial" w:cs="Arial"/>
          <w:sz w:val="26"/>
          <w:szCs w:val="26"/>
          <w:vertAlign w:val="superscript"/>
        </w:rPr>
      </w:pPr>
      <w:r>
        <w:rPr>
          <w:rFonts w:ascii="Arial" w:hAnsi="Arial" w:eastAsia="Arial" w:cs="Arial"/>
          <w:sz w:val="20"/>
          <w:szCs w:val="20"/>
        </w:rPr>
        <w:t>Rodrigo Contreras-Flores</w:t>
      </w:r>
      <w:r>
        <w:rPr>
          <w:rFonts w:ascii="Arial" w:hAnsi="Arial" w:eastAsia="Arial" w:cs="Arial"/>
          <w:sz w:val="26"/>
          <w:szCs w:val="26"/>
          <w:vertAlign w:val="superscript"/>
        </w:rPr>
        <w:t>2</w:t>
      </w:r>
      <w:r>
        <w:rPr>
          <w:rFonts w:ascii="Arial" w:hAnsi="Arial" w:eastAsia="Arial" w:cs="Arial"/>
          <w:sz w:val="20"/>
          <w:szCs w:val="20"/>
        </w:rPr>
        <w:t xml:space="preserve">  &amp; David Sanchez Castro</w:t>
      </w:r>
      <w:r>
        <w:rPr>
          <w:rFonts w:ascii="Arial" w:hAnsi="Arial" w:eastAsia="Arial" w:cs="Arial"/>
          <w:sz w:val="26"/>
          <w:szCs w:val="26"/>
          <w:vertAlign w:val="superscript"/>
        </w:rPr>
        <w:t>2</w:t>
      </w:r>
    </w:p>
    <w:p>
      <w:pPr>
        <w:jc w:val="center"/>
        <w:rPr>
          <w:rFonts w:ascii="Arial" w:hAnsi="Arial" w:eastAsia="Arial" w:cs="Arial"/>
          <w:sz w:val="26"/>
          <w:szCs w:val="26"/>
          <w:vertAlign w:val="superscript"/>
        </w:rPr>
      </w:pPr>
    </w:p>
    <w:p>
      <w:pPr>
        <w:spacing w:line="6" w:lineRule="exact"/>
        <w:jc w:val="center"/>
        <w:rPr>
          <w:sz w:val="24"/>
          <w:szCs w:val="24"/>
        </w:rPr>
      </w:pPr>
    </w:p>
    <w:p>
      <w:pPr>
        <w:numPr>
          <w:ilvl w:val="0"/>
          <w:numId w:val="1"/>
        </w:numPr>
        <w:tabs>
          <w:tab w:val="left" w:pos="708"/>
        </w:tabs>
        <w:spacing w:line="259" w:lineRule="auto"/>
        <w:ind w:left="720" w:right="440" w:hanging="363"/>
        <w:jc w:val="both"/>
        <w:rPr>
          <w:rFonts w:ascii="Arial" w:hAnsi="Arial" w:eastAsia="Arial" w:cs="Arial"/>
          <w:sz w:val="20"/>
          <w:szCs w:val="20"/>
        </w:rPr>
      </w:pPr>
      <w:r>
        <w:rPr>
          <w:rFonts w:ascii="Arial" w:hAnsi="Arial" w:eastAsia="Arial" w:cs="Arial"/>
          <w:sz w:val="20"/>
          <w:szCs w:val="20"/>
        </w:rPr>
        <w:t>Instituto de Ecología, Universidad Mayor de San Andrés, Campus universitario, Cota Cota La Paz, Bolivia. Autor de correspondencia, E-Mail: gmiranda@umsa.bo</w:t>
      </w:r>
    </w:p>
    <w:p>
      <w:pPr>
        <w:spacing w:line="25" w:lineRule="exact"/>
        <w:jc w:val="both"/>
        <w:rPr>
          <w:rFonts w:ascii="Arial" w:hAnsi="Arial" w:eastAsia="Arial" w:cs="Arial"/>
          <w:sz w:val="20"/>
          <w:szCs w:val="20"/>
        </w:rPr>
      </w:pPr>
    </w:p>
    <w:p>
      <w:pPr>
        <w:numPr>
          <w:ilvl w:val="0"/>
          <w:numId w:val="1"/>
        </w:numPr>
        <w:tabs>
          <w:tab w:val="left" w:pos="708"/>
        </w:tabs>
        <w:spacing w:line="267" w:lineRule="auto"/>
        <w:ind w:left="720" w:right="500" w:hanging="363"/>
        <w:jc w:val="both"/>
        <w:rPr>
          <w:rFonts w:ascii="Arial" w:hAnsi="Arial" w:eastAsia="Arial" w:cs="Arial"/>
          <w:sz w:val="20"/>
          <w:szCs w:val="20"/>
        </w:rPr>
      </w:pPr>
      <w:r>
        <w:rPr>
          <w:rFonts w:ascii="Arial" w:hAnsi="Arial" w:eastAsia="Arial" w:cs="Arial"/>
          <w:sz w:val="20"/>
          <w:szCs w:val="20"/>
        </w:rPr>
        <w:t>Servicio Nacional de Meteorología e Hidrología-SENAMHI, Calle Reyes Ortiz No 41, La Paz, Bolivia.</w:t>
      </w:r>
    </w:p>
    <w:p>
      <w:pPr>
        <w:spacing w:line="337" w:lineRule="exact"/>
        <w:jc w:val="both"/>
        <w:rPr>
          <w:sz w:val="24"/>
          <w:szCs w:val="24"/>
        </w:rPr>
      </w:pPr>
    </w:p>
    <w:p>
      <w:pPr>
        <w:spacing w:line="275" w:lineRule="auto"/>
        <w:ind w:right="20"/>
        <w:jc w:val="both"/>
        <w:rPr>
          <w:sz w:val="20"/>
          <w:szCs w:val="20"/>
        </w:rPr>
      </w:pPr>
      <w:r>
        <w:rPr>
          <w:rFonts w:ascii="Arial" w:hAnsi="Arial" w:eastAsia="Arial" w:cs="Arial"/>
          <w:b/>
          <w:bCs/>
          <w:sz w:val="24"/>
          <w:szCs w:val="24"/>
        </w:rPr>
        <w:t xml:space="preserve">RESUMEN: </w:t>
      </w:r>
      <w:commentRangeStart w:id="0"/>
      <w:r>
        <w:rPr>
          <w:rFonts w:ascii="Arial" w:hAnsi="Arial" w:eastAsia="Arial" w:cs="Arial"/>
          <w:sz w:val="24"/>
          <w:szCs w:val="24"/>
        </w:rPr>
        <w:t>El</w:t>
      </w:r>
      <w:commentRangeEnd w:id="0"/>
      <w:r>
        <w:rPr>
          <w:rStyle w:val="4"/>
        </w:rPr>
        <w:commentReference w:id="0"/>
      </w:r>
      <w:r>
        <w:rPr>
          <w:rFonts w:ascii="Arial" w:hAnsi="Arial" w:eastAsia="Arial" w:cs="Arial"/>
          <w:sz w:val="24"/>
          <w:szCs w:val="24"/>
        </w:rPr>
        <w:t xml:space="preserve"> verano del 2017 se presentó El Niño Costero, fenómeno atmosférico que</w:t>
      </w:r>
      <w:r>
        <w:rPr>
          <w:rFonts w:ascii="Arial" w:hAnsi="Arial" w:eastAsia="Arial" w:cs="Arial"/>
          <w:b/>
          <w:bCs/>
          <w:sz w:val="24"/>
          <w:szCs w:val="24"/>
        </w:rPr>
        <w:t xml:space="preserve"> </w:t>
      </w:r>
      <w:r>
        <w:rPr>
          <w:rFonts w:ascii="Arial" w:hAnsi="Arial" w:eastAsia="Arial" w:cs="Arial"/>
          <w:sz w:val="24"/>
          <w:szCs w:val="24"/>
        </w:rPr>
        <w:t>ha influido en la ausencia de precipitación e inundaciones en Colombia, Ecuador, Perú y Bolivia con pérdidas de vidas y de recursos económicos. Por lo que la pregunta fue ¿Que patrones atmosféricos han influido para que exista ausencia y excesos de precipitación en las diferentes regiones de Bolivia durante la presencia de El Niño Costero-2017?. La respuesta es para tener una mejor comprensión de las amenazas naturales de América del sur. Para ello se empleó 30 años (1985-2015) de registro de precipitación de 14 estaciones meteorológicas ubicadas en las cinco regiones de Bolivia, mapas de temperatura superficial del mar, animaciones,</w:t>
      </w:r>
      <w:commentRangeStart w:id="1"/>
      <w:r>
        <w:rPr>
          <w:rFonts w:ascii="Arial" w:hAnsi="Arial" w:eastAsia="Arial" w:cs="Arial"/>
          <w:sz w:val="24"/>
          <w:szCs w:val="24"/>
        </w:rPr>
        <w:t xml:space="preserve"> imágenes </w:t>
      </w:r>
      <w:commentRangeEnd w:id="1"/>
      <w:r>
        <w:rPr>
          <w:rStyle w:val="4"/>
        </w:rPr>
        <w:commentReference w:id="1"/>
      </w:r>
      <w:r>
        <w:rPr>
          <w:rFonts w:ascii="Arial" w:hAnsi="Arial" w:eastAsia="Arial" w:cs="Arial"/>
          <w:sz w:val="24"/>
          <w:szCs w:val="24"/>
        </w:rPr>
        <w:t xml:space="preserve">y reanálisis de NCEP/NCAR. A todos los datos e información se realizó el control de calidad, se aplicaron medidas de la estadística descriptiva y comparaciones cualitativas. Las conclusiones fueron: El origen de las aguas de El Niño Costero se originaron en el golfo de Chiriqui (Panamá) y en la Bahía de Coronado (Costa Rica). Durante enero en la región andina no precipito durante 26 días y fue porque el Jet subtropical contribuyo al desplazamiento más hacia el SO de la Alta de Bolivia. Y en los llanos orientales la máxima precipitación fue de 125.2 mm en 24 horas ocasionando inundaciones debido a la intensificación e interrelación de sistemas de </w:t>
      </w:r>
      <w:commentRangeStart w:id="2"/>
      <w:r>
        <w:rPr>
          <w:rFonts w:ascii="Arial" w:hAnsi="Arial" w:eastAsia="Arial" w:cs="Arial"/>
          <w:sz w:val="24"/>
          <w:szCs w:val="24"/>
        </w:rPr>
        <w:t>bajos, medios y altos niveles</w:t>
      </w:r>
      <w:commentRangeEnd w:id="2"/>
      <w:r>
        <w:rPr>
          <w:rStyle w:val="4"/>
        </w:rPr>
        <w:commentReference w:id="2"/>
      </w:r>
      <w:r>
        <w:rPr>
          <w:rFonts w:ascii="Arial" w:hAnsi="Arial" w:eastAsia="Arial" w:cs="Arial"/>
          <w:sz w:val="24"/>
          <w:szCs w:val="24"/>
        </w:rPr>
        <w:t xml:space="preserve">, y a la influencia de </w:t>
      </w:r>
      <w:commentRangeStart w:id="3"/>
      <w:r>
        <w:rPr>
          <w:rFonts w:ascii="Arial" w:hAnsi="Arial" w:eastAsia="Arial" w:cs="Arial"/>
          <w:sz w:val="24"/>
          <w:szCs w:val="24"/>
        </w:rPr>
        <w:t xml:space="preserve">las altas </w:t>
      </w:r>
      <w:commentRangeEnd w:id="3"/>
      <w:r>
        <w:rPr>
          <w:rStyle w:val="4"/>
        </w:rPr>
        <w:commentReference w:id="3"/>
      </w:r>
      <w:r>
        <w:rPr>
          <w:rFonts w:ascii="Arial" w:hAnsi="Arial" w:eastAsia="Arial" w:cs="Arial"/>
          <w:sz w:val="24"/>
          <w:szCs w:val="24"/>
        </w:rPr>
        <w:t>semipermanentes de Pacifico y del Atlántico que dieron lugar a intensas precipitaciones convectivas y frontales.</w:t>
      </w:r>
    </w:p>
    <w:p>
      <w:pPr>
        <w:spacing w:line="11" w:lineRule="exact"/>
        <w:jc w:val="both"/>
        <w:rPr>
          <w:sz w:val="24"/>
          <w:szCs w:val="24"/>
        </w:rPr>
      </w:pPr>
    </w:p>
    <w:p>
      <w:pPr>
        <w:spacing w:line="271" w:lineRule="auto"/>
        <w:ind w:right="360"/>
        <w:jc w:val="both"/>
        <w:rPr>
          <w:rFonts w:hint="default"/>
          <w:sz w:val="20"/>
          <w:szCs w:val="20"/>
        </w:rPr>
      </w:pPr>
      <w:r>
        <w:rPr>
          <w:rFonts w:ascii="Arial" w:hAnsi="Arial" w:eastAsia="Arial" w:cs="Arial"/>
          <w:b/>
          <w:bCs/>
          <w:sz w:val="24"/>
          <w:szCs w:val="24"/>
        </w:rPr>
        <w:t>Palabras claves</w:t>
      </w:r>
      <w:r>
        <w:rPr>
          <w:rFonts w:ascii="Arial" w:hAnsi="Arial" w:eastAsia="Arial" w:cs="Arial"/>
          <w:sz w:val="24"/>
          <w:szCs w:val="24"/>
        </w:rPr>
        <w:t>: Niño Costero, Patrones atm</w:t>
      </w:r>
      <w:r>
        <w:rPr>
          <w:rFonts w:hint="default" w:ascii="Arial" w:hAnsi="Arial" w:eastAsia="Arial" w:cs="Arial"/>
          <w:sz w:val="24"/>
          <w:szCs w:val="24"/>
        </w:rPr>
        <w:t>º</w:t>
      </w:r>
    </w:p>
    <w:p>
      <w:pPr>
        <w:spacing w:line="334" w:lineRule="exact"/>
        <w:jc w:val="both"/>
        <w:rPr>
          <w:sz w:val="20"/>
          <w:szCs w:val="20"/>
        </w:rPr>
      </w:pPr>
    </w:p>
    <w:p>
      <w:pPr>
        <w:spacing w:line="271" w:lineRule="auto"/>
        <w:ind w:right="220"/>
        <w:jc w:val="both"/>
        <w:rPr>
          <w:sz w:val="20"/>
          <w:szCs w:val="20"/>
        </w:rPr>
      </w:pPr>
      <w:r>
        <w:rPr>
          <w:rFonts w:ascii="Arial" w:hAnsi="Arial" w:eastAsia="Arial" w:cs="Arial"/>
          <w:sz w:val="24"/>
          <w:szCs w:val="24"/>
        </w:rPr>
        <w:t>Pabón J. D. &amp; Montealegre J. E. 2017. Los fenómenos de El Niño y de La Niña. Academia Colombiana de Ciencias Exactas, Físicas y Naturales National University of ColombiA. ISBN: 978-958-9205-93-8</w:t>
      </w:r>
    </w:p>
    <w:p>
      <w:pPr>
        <w:spacing w:line="337" w:lineRule="exact"/>
        <w:jc w:val="both"/>
        <w:rPr>
          <w:sz w:val="20"/>
          <w:szCs w:val="20"/>
        </w:rPr>
      </w:pPr>
    </w:p>
    <w:p>
      <w:pPr>
        <w:spacing w:line="270" w:lineRule="auto"/>
        <w:ind w:right="160"/>
        <w:jc w:val="both"/>
        <w:rPr>
          <w:rFonts w:ascii="Arial" w:hAnsi="Arial" w:eastAsia="Arial" w:cs="Arial"/>
          <w:sz w:val="24"/>
          <w:szCs w:val="24"/>
        </w:rPr>
      </w:pPr>
      <w:r>
        <w:rPr>
          <w:rFonts w:ascii="Arial" w:hAnsi="Arial" w:eastAsia="Arial" w:cs="Arial"/>
          <w:sz w:val="24"/>
          <w:szCs w:val="24"/>
        </w:rPr>
        <w:t xml:space="preserve">Paulino, C.; Escudero, L.; Alburqueque, E. &amp; Xu, H. 2019. Características de El Niño Costero 2017 mediante Observación satelital. Bol Inst Mar Perú / Vol 34 / No 1/ Enero-Junio 2019. ISSN 0458-7766. </w:t>
      </w:r>
      <w:r>
        <w:fldChar w:fldCharType="begin"/>
      </w:r>
      <w:r>
        <w:instrText xml:space="preserve"> HYPERLINK "http://biblioimarpe.imarpe.gob.pe/" \h </w:instrText>
      </w:r>
      <w:r>
        <w:fldChar w:fldCharType="separate"/>
      </w:r>
      <w:r>
        <w:rPr>
          <w:rFonts w:ascii="Arial" w:hAnsi="Arial" w:eastAsia="Arial" w:cs="Arial"/>
          <w:sz w:val="24"/>
          <w:szCs w:val="24"/>
          <w:u w:val="single"/>
        </w:rPr>
        <w:t>http://biblioimarpe.imarpe.gob.pe.</w:t>
      </w:r>
      <w:r>
        <w:rPr>
          <w:rFonts w:ascii="Arial" w:hAnsi="Arial" w:eastAsia="Arial" w:cs="Arial"/>
          <w:sz w:val="24"/>
          <w:szCs w:val="24"/>
          <w:u w:val="single"/>
        </w:rPr>
        <w:fldChar w:fldCharType="end"/>
      </w:r>
    </w:p>
    <w:p>
      <w:pPr>
        <w:spacing w:line="337" w:lineRule="exact"/>
        <w:jc w:val="both"/>
        <w:rPr>
          <w:sz w:val="20"/>
          <w:szCs w:val="20"/>
        </w:rPr>
      </w:pPr>
    </w:p>
    <w:p>
      <w:pPr>
        <w:spacing w:line="272" w:lineRule="auto"/>
        <w:ind w:right="140"/>
        <w:jc w:val="both"/>
        <w:rPr>
          <w:sz w:val="20"/>
          <w:szCs w:val="20"/>
        </w:rPr>
      </w:pPr>
      <w:r>
        <w:rPr>
          <w:rFonts w:ascii="Arial" w:hAnsi="Arial" w:eastAsia="Arial" w:cs="Arial"/>
          <w:sz w:val="24"/>
          <w:szCs w:val="24"/>
        </w:rPr>
        <w:t>Puertas, O.; Carvajal Y. &amp; Quintero M. 2011. Estudio de tendencias de la precipitación mensual en la cuenca alta-media del río Cauca, Colombia. Dyna, año 78, Nro. 169, pp. 112-120. Medellín, Octubre, 2011. ISSN 0012-7353. http://www.scielo.org.co/pdf/dyna/v78n169/a13v78n169.pdf</w:t>
      </w:r>
    </w:p>
    <w:p>
      <w:pPr>
        <w:spacing w:line="337" w:lineRule="exact"/>
        <w:jc w:val="both"/>
        <w:rPr>
          <w:sz w:val="20"/>
          <w:szCs w:val="20"/>
        </w:rPr>
      </w:pPr>
    </w:p>
    <w:p>
      <w:pPr>
        <w:spacing w:line="272" w:lineRule="auto"/>
        <w:ind w:right="240"/>
        <w:jc w:val="both"/>
        <w:rPr>
          <w:sz w:val="20"/>
          <w:szCs w:val="20"/>
          <w:lang w:val="en-US"/>
        </w:rPr>
      </w:pPr>
      <w:r>
        <w:rPr>
          <w:rFonts w:ascii="Arial" w:hAnsi="Arial" w:eastAsia="Arial" w:cs="Arial"/>
          <w:sz w:val="24"/>
          <w:szCs w:val="24"/>
        </w:rPr>
        <w:t xml:space="preserve">Ramos, L.Y. 2014. Estimación del efecto del cambio climático en la precipitación en la costa norte del Perú usando simulaciones de modelos climáticos globales. Tesis para optar el título de Ingeniero Meteorólogo. Facultad de Ciencias, Universidad Nacional Agraria La Molina. </w:t>
      </w:r>
      <w:r>
        <w:rPr>
          <w:rFonts w:ascii="Arial" w:hAnsi="Arial" w:eastAsia="Arial" w:cs="Arial"/>
          <w:sz w:val="24"/>
          <w:szCs w:val="24"/>
          <w:lang w:val="en-US"/>
        </w:rPr>
        <w:t>Lima, Perú.</w:t>
      </w:r>
    </w:p>
    <w:p>
      <w:pPr>
        <w:spacing w:line="322" w:lineRule="exact"/>
        <w:jc w:val="both"/>
        <w:rPr>
          <w:sz w:val="20"/>
          <w:szCs w:val="20"/>
          <w:lang w:val="en-US"/>
        </w:rPr>
      </w:pPr>
    </w:p>
    <w:p>
      <w:pPr>
        <w:jc w:val="both"/>
        <w:rPr>
          <w:sz w:val="20"/>
          <w:szCs w:val="20"/>
          <w:lang w:val="en-US"/>
        </w:rPr>
      </w:pPr>
      <w:r>
        <w:rPr>
          <w:rFonts w:ascii="Arial" w:hAnsi="Arial" w:eastAsia="Arial" w:cs="Arial"/>
          <w:sz w:val="24"/>
          <w:szCs w:val="24"/>
          <w:lang w:val="en-US"/>
        </w:rPr>
        <w:t>Ronchail, J. &amp; Gallaire, R. 2006. ENSO and rainfall along the Zongo Valley (Bolivia)</w:t>
      </w:r>
    </w:p>
    <w:p>
      <w:pPr>
        <w:spacing w:line="44" w:lineRule="exact"/>
        <w:jc w:val="both"/>
        <w:rPr>
          <w:sz w:val="20"/>
          <w:szCs w:val="20"/>
          <w:lang w:val="en-US"/>
        </w:rPr>
      </w:pPr>
    </w:p>
    <w:p>
      <w:pPr>
        <w:jc w:val="both"/>
        <w:rPr>
          <w:sz w:val="20"/>
          <w:szCs w:val="20"/>
          <w:lang w:val="en-US"/>
        </w:rPr>
      </w:pPr>
      <w:r>
        <w:rPr>
          <w:rFonts w:ascii="Arial" w:hAnsi="Arial" w:eastAsia="Arial" w:cs="Arial"/>
          <w:sz w:val="24"/>
          <w:szCs w:val="24"/>
          <w:lang w:val="en-US"/>
        </w:rPr>
        <w:t>from the Altiplano to the Amazon Basin. Int. J. Climatol. 26, 1223–1236. doi:</w:t>
      </w:r>
    </w:p>
    <w:p>
      <w:pPr>
        <w:spacing w:line="40" w:lineRule="exact"/>
        <w:jc w:val="both"/>
        <w:rPr>
          <w:sz w:val="20"/>
          <w:szCs w:val="20"/>
          <w:lang w:val="en-US"/>
        </w:rPr>
      </w:pPr>
    </w:p>
    <w:p>
      <w:pPr>
        <w:jc w:val="both"/>
        <w:rPr>
          <w:sz w:val="20"/>
          <w:szCs w:val="20"/>
          <w:lang w:val="en-US"/>
        </w:rPr>
      </w:pPr>
      <w:r>
        <w:rPr>
          <w:rFonts w:ascii="Arial" w:hAnsi="Arial" w:eastAsia="Arial" w:cs="Arial"/>
          <w:sz w:val="24"/>
          <w:szCs w:val="24"/>
          <w:lang w:val="en-US"/>
        </w:rPr>
        <w:t>10.1002/joc.1296</w:t>
      </w:r>
    </w:p>
    <w:p>
      <w:pPr>
        <w:spacing w:line="371" w:lineRule="exact"/>
        <w:jc w:val="both"/>
        <w:rPr>
          <w:sz w:val="20"/>
          <w:szCs w:val="20"/>
          <w:lang w:val="en-US"/>
        </w:rPr>
      </w:pPr>
    </w:p>
    <w:p>
      <w:pPr>
        <w:spacing w:line="271" w:lineRule="auto"/>
        <w:ind w:right="260"/>
        <w:jc w:val="both"/>
        <w:rPr>
          <w:sz w:val="20"/>
          <w:szCs w:val="20"/>
        </w:rPr>
      </w:pPr>
      <w:r>
        <w:rPr>
          <w:rFonts w:ascii="Arial" w:hAnsi="Arial" w:eastAsia="Arial" w:cs="Arial"/>
          <w:sz w:val="24"/>
          <w:szCs w:val="24"/>
        </w:rPr>
        <w:t>Rusticucci, M. &amp; Barrucand, M. 2001. Climatología de temperaturas extremas en la Argentina. Consistencia de datos. Relación entre la temperatura media estacional y la ocurrencia de días extremos. https://www.researchgate.net/publication.</w:t>
      </w:r>
    </w:p>
    <w:p>
      <w:pPr>
        <w:spacing w:line="334" w:lineRule="exact"/>
        <w:jc w:val="both"/>
        <w:rPr>
          <w:sz w:val="20"/>
          <w:szCs w:val="20"/>
        </w:rPr>
      </w:pPr>
    </w:p>
    <w:p>
      <w:pPr>
        <w:spacing w:line="288" w:lineRule="auto"/>
        <w:ind w:right="60"/>
        <w:jc w:val="both"/>
        <w:rPr>
          <w:sz w:val="20"/>
          <w:szCs w:val="20"/>
          <w:lang w:val="en-US"/>
        </w:rPr>
      </w:pPr>
      <w:r>
        <w:rPr>
          <w:rFonts w:ascii="Arial" w:hAnsi="Arial" w:eastAsia="Arial" w:cs="Arial"/>
          <w:sz w:val="23"/>
          <w:szCs w:val="23"/>
        </w:rPr>
        <w:t xml:space="preserve">Siqueira Silva M.E.; Batista Silva, C., Ambrizzi, T.; Drumond, A. and Nunes Patucci, N. 2020. </w:t>
      </w:r>
      <w:r>
        <w:rPr>
          <w:rFonts w:ascii="Arial" w:hAnsi="Arial" w:eastAsia="Arial" w:cs="Arial"/>
          <w:sz w:val="23"/>
          <w:szCs w:val="23"/>
          <w:lang w:val="en-US"/>
        </w:rPr>
        <w:t>South America Climate During the 1970–2001 Pacific Decadal Oscillation Phases Based on Different Reanalysis Datasets. https://doi.org/10.3389/feart.2019.00359</w:t>
      </w:r>
    </w:p>
    <w:p>
      <w:pPr>
        <w:spacing w:line="241" w:lineRule="exact"/>
        <w:jc w:val="both"/>
        <w:rPr>
          <w:sz w:val="20"/>
          <w:szCs w:val="20"/>
          <w:lang w:val="en-US"/>
        </w:rPr>
      </w:pPr>
    </w:p>
    <w:p>
      <w:pPr>
        <w:ind w:right="-19"/>
        <w:jc w:val="both"/>
        <w:rPr>
          <w:sz w:val="20"/>
          <w:szCs w:val="20"/>
          <w:lang w:val="en-US"/>
        </w:rPr>
      </w:pPr>
      <w:r>
        <w:rPr>
          <w:rFonts w:ascii="Calibri" w:hAnsi="Calibri" w:eastAsia="Calibri" w:cs="Calibri"/>
          <w:lang w:val="en-US"/>
        </w:rPr>
        <w:t>18</w:t>
      </w:r>
    </w:p>
    <w:p>
      <w:pPr>
        <w:jc w:val="both"/>
        <w:rPr>
          <w:lang w:val="en-US"/>
        </w:rPr>
        <w:sectPr>
          <w:pgSz w:w="12240" w:h="15840"/>
          <w:pgMar w:top="1425" w:right="1440" w:bottom="642" w:left="1420" w:header="0" w:footer="0" w:gutter="0"/>
          <w:cols w:equalWidth="0" w:num="1">
            <w:col w:w="9380"/>
          </w:cols>
        </w:sectPr>
      </w:pPr>
    </w:p>
    <w:p>
      <w:pPr>
        <w:spacing w:line="305" w:lineRule="exact"/>
        <w:jc w:val="both"/>
        <w:rPr>
          <w:sz w:val="20"/>
          <w:szCs w:val="20"/>
          <w:lang w:val="en-US"/>
        </w:rPr>
      </w:pPr>
      <w:bookmarkStart w:id="1" w:name="page19"/>
      <w:bookmarkEnd w:id="1"/>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337" w:lineRule="exact"/>
        <w:jc w:val="both"/>
        <w:rPr>
          <w:sz w:val="20"/>
          <w:szCs w:val="20"/>
        </w:rPr>
      </w:pPr>
    </w:p>
    <w:p>
      <w:pPr>
        <w:spacing w:line="200" w:lineRule="exact"/>
        <w:jc w:val="both"/>
        <w:rPr>
          <w:sz w:val="20"/>
          <w:szCs w:val="20"/>
        </w:rPr>
      </w:pPr>
      <w:bookmarkStart w:id="2" w:name="page22"/>
      <w:bookmarkEnd w:id="2"/>
      <w:r>
        <w:rPr>
          <w:sz w:val="20"/>
          <w:szCs w:val="20"/>
        </w:rPr>
        <w:drawing>
          <wp:anchor distT="0" distB="0" distL="114300" distR="114300" simplePos="0" relativeHeight="251659264" behindDoc="1" locked="0" layoutInCell="0" allowOverlap="1">
            <wp:simplePos x="0" y="0"/>
            <wp:positionH relativeFrom="page">
              <wp:posOffset>828040</wp:posOffset>
            </wp:positionH>
            <wp:positionV relativeFrom="page">
              <wp:posOffset>899160</wp:posOffset>
            </wp:positionV>
            <wp:extent cx="6115685" cy="7380605"/>
            <wp:effectExtent l="0" t="0" r="1651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6115685" cy="7380605"/>
                    </a:xfrm>
                    <a:prstGeom prst="rect">
                      <a:avLst/>
                    </a:prstGeom>
                    <a:noFill/>
                  </pic:spPr>
                </pic:pic>
              </a:graphicData>
            </a:graphic>
          </wp:anchor>
        </w:drawing>
      </w: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pPr>
        <w:spacing w:line="200" w:lineRule="exact"/>
        <w:jc w:val="both"/>
        <w:rPr>
          <w:sz w:val="20"/>
          <w:szCs w:val="20"/>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DM" w:date="2021-08-19T10:01:00Z" w:initials="G">
    <w:p w14:paraId="DFE3CED1">
      <w:pPr>
        <w:pStyle w:val="5"/>
      </w:pPr>
      <w:r>
        <w:t>Durante o en el …..</w:t>
      </w:r>
    </w:p>
  </w:comment>
  <w:comment w:id="1" w:author="GDM" w:date="2021-08-19T10:03:00Z" w:initials="G">
    <w:p w14:paraId="F7AF94A9">
      <w:pPr>
        <w:pStyle w:val="5"/>
      </w:pPr>
      <w:r>
        <w:t xml:space="preserve">Qué tipo de imágenes </w:t>
      </w:r>
    </w:p>
  </w:comment>
  <w:comment w:id="2" w:author="GDM" w:date="2021-08-19T10:04:00Z" w:initials="G">
    <w:p w14:paraId="A8D79C76">
      <w:pPr>
        <w:pStyle w:val="5"/>
      </w:pPr>
      <w:r>
        <w:t xml:space="preserve">De la troposfera </w:t>
      </w:r>
    </w:p>
  </w:comment>
  <w:comment w:id="3" w:author="GDM" w:date="2021-08-19T10:04:00Z" w:initials="G">
    <w:p w14:paraId="FEDBE0E7">
      <w:pPr>
        <w:pStyle w:val="5"/>
      </w:pPr>
      <w:r>
        <w:t>Presiones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FE3CED1" w15:done="0"/>
  <w15:commentEx w15:paraId="F7AF94A9" w15:done="0"/>
  <w15:commentEx w15:paraId="A8D79C76" w15:done="0"/>
  <w15:commentEx w15:paraId="FEDBE0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Sun">
    <w:altName w:val="Droid Sans Fallback"/>
    <w:panose1 w:val="0201060003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F007C"/>
    <w:multiLevelType w:val="multilevel"/>
    <w:tmpl w:val="515F007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DM">
    <w15:presenceInfo w15:providerId="None" w15:userId="G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EFBBB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2018-07-11T02:11:00Z</dcterms:created>
  <dc:creator>d</dc:creator>
  <cp:lastModifiedBy>Dr Michel Benitez</cp:lastModifiedBy>
  <dcterms:modified xsi:type="dcterms:W3CDTF">2021-08-25T21:58:15Z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