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cs="Times New Roman"/>
          <w:b/>
          <w:bCs/>
          <w:sz w:val="32"/>
          <w:szCs w:val="32"/>
          <w:lang w:bidi="ps-AF"/>
        </w:rPr>
      </w:pPr>
      <w:r>
        <w:rPr>
          <w:rFonts w:cs="Times New Roman" w:ascii="Times New Roman" w:hAnsi="Times New Roman"/>
          <w:b/>
          <w:bCs/>
          <w:sz w:val="32"/>
          <w:szCs w:val="32"/>
          <w:lang w:bidi="ps-AF"/>
        </w:rPr>
        <w:t xml:space="preserve">Application of multiple environmental tracers in in-depth understanding of water resources of </w:t>
      </w:r>
    </w:p>
    <w:p>
      <w:pPr>
        <w:pStyle w:val="Normal"/>
        <w:spacing w:lineRule="auto" w:line="360" w:before="240" w:after="240"/>
        <w:jc w:val="both"/>
        <w:rPr>
          <w:rFonts w:ascii="Times New Roman" w:hAnsi="Times New Roman" w:cs="Times New Roman"/>
          <w:sz w:val="24"/>
          <w:szCs w:val="24"/>
        </w:rPr>
      </w:pPr>
      <w:r>
        <w:rPr>
          <w:rFonts w:cs="Times New Roman" w:ascii="Times New Roman" w:hAnsi="Times New Roman"/>
          <w:sz w:val="24"/>
          <w:szCs w:val="24"/>
        </w:rPr>
        <w:t xml:space="preserve">al resources to all living beings. This is highly true for arid and semi-arid regions which are struggling to manage their water resources. Thus, identifying the origin of water resources, and renewability of the aquifer via powerful environmental tracers is imperative for sustainable management of water resources . Additionally, groundwater dating can be applied as a useful tool to assess the transport processes that governs the water movement within the aquifer and the aquifers vulnerability to contamination . </w:t>
      </w:r>
    </w:p>
    <w:p>
      <w:pPr>
        <w:pStyle w:val="Normal"/>
        <w:spacing w:lineRule="auto" w:line="360" w:before="240" w:after="240"/>
        <w:jc w:val="both"/>
        <w:rPr>
          <w:rFonts w:ascii="Times New Roman" w:hAnsi="Times New Roman" w:cs="Times New Roman"/>
          <w:sz w:val="24"/>
          <w:szCs w:val="24"/>
          <w:lang w:bidi="fa-IR"/>
        </w:rPr>
      </w:pPr>
      <w:r>
        <w:rPr>
          <w:rFonts w:cs="Times New Roman" w:ascii="Times New Roman" w:hAnsi="Times New Roman"/>
          <w:sz w:val="24"/>
          <w:szCs w:val="24"/>
        </w:rPr>
        <w:t>Understanding water resources</w:t>
      </w:r>
      <w:r>
        <w:rPr>
          <w:rFonts w:cs="Times New Roman" w:ascii="Times New Roman" w:hAnsi="Times New Roman"/>
          <w:sz w:val="24"/>
          <w:szCs w:val="24"/>
          <w:lang w:bidi="fa-IR"/>
        </w:rPr>
        <w:t xml:space="preserve"> based only on a single tracer approach are having significant uncertainty. Hence, results must cross-validated through multiple-tracers . Naturally occurring sta</w:t>
      </w:r>
      <w:r>
        <w:rPr>
          <w:rFonts w:cs="Times New Roman" w:ascii="Times New Roman" w:hAnsi="Times New Roman"/>
          <w:sz w:val="24"/>
          <w:szCs w:val="24"/>
        </w:rPr>
        <w:t>ble water isotopes (δ</w:t>
      </w:r>
      <w:r>
        <w:rPr>
          <w:rFonts w:cs="Times New Roman" w:ascii="Times New Roman" w:hAnsi="Times New Roman"/>
          <w:sz w:val="24"/>
          <w:szCs w:val="24"/>
          <w:vertAlign w:val="superscript"/>
        </w:rPr>
        <w:t>2</w:t>
      </w:r>
      <w:r>
        <w:rPr>
          <w:rFonts w:cs="Times New Roman" w:ascii="Times New Roman" w:hAnsi="Times New Roman"/>
          <w:sz w:val="24"/>
          <w:szCs w:val="24"/>
        </w:rPr>
        <w:t>H and δ</w:t>
      </w:r>
      <w:r>
        <w:rPr>
          <w:rFonts w:cs="Times New Roman" w:ascii="Times New Roman" w:hAnsi="Times New Roman"/>
          <w:sz w:val="24"/>
          <w:szCs w:val="24"/>
          <w:vertAlign w:val="superscript"/>
        </w:rPr>
        <w:t>18</w:t>
      </w:r>
      <w:r>
        <w:rPr>
          <w:rFonts w:cs="Times New Roman" w:ascii="Times New Roman" w:hAnsi="Times New Roman"/>
          <w:sz w:val="24"/>
          <w:szCs w:val="24"/>
        </w:rPr>
        <w:t>O) and dissolved noble gases in the groundwater are extensively employed as tracers to study origin and source of groundwater, hydrogeological processes, and surface-groundwater interaction.</w:t>
      </w:r>
      <w:r>
        <w:rPr>
          <w:rFonts w:cs="Times New Roman" w:ascii="Times New Roman" w:hAnsi="Times New Roman"/>
          <w:sz w:val="24"/>
          <w:szCs w:val="24"/>
          <w:lang w:bidi="fa-IR"/>
        </w:rPr>
        <w:t xml:space="preserve"> Radioactive tracers, like Tritium (</w:t>
      </w:r>
      <w:r>
        <w:rPr>
          <w:rFonts w:cs="Times New Roman" w:ascii="Times New Roman" w:hAnsi="Times New Roman"/>
          <w:sz w:val="24"/>
          <w:szCs w:val="24"/>
          <w:vertAlign w:val="superscript"/>
          <w:lang w:bidi="fa-IR"/>
        </w:rPr>
        <w:t>3</w:t>
      </w:r>
      <w:r>
        <w:rPr>
          <w:rFonts w:cs="Times New Roman" w:ascii="Times New Roman" w:hAnsi="Times New Roman"/>
          <w:sz w:val="24"/>
          <w:szCs w:val="24"/>
          <w:lang w:bidi="fa-IR"/>
        </w:rPr>
        <w:t>H) and radiogenic Carbon (</w:t>
      </w:r>
      <w:r>
        <w:rPr>
          <w:rFonts w:cs="Times New Roman" w:ascii="Times New Roman" w:hAnsi="Times New Roman"/>
          <w:sz w:val="24"/>
          <w:szCs w:val="24"/>
          <w:vertAlign w:val="superscript"/>
          <w:lang w:bidi="fa-IR"/>
        </w:rPr>
        <w:t>14</w:t>
      </w:r>
      <w:r>
        <w:rPr>
          <w:rFonts w:cs="Times New Roman" w:ascii="Times New Roman" w:hAnsi="Times New Roman"/>
          <w:sz w:val="24"/>
          <w:szCs w:val="24"/>
          <w:lang w:bidi="fa-IR"/>
        </w:rPr>
        <w:t xml:space="preserve">C) in groundwater systems are highly helpful in determining the age and mean residence time. Radionuclides like </w:t>
      </w:r>
      <w:r>
        <w:rPr>
          <w:rFonts w:cs="Times New Roman" w:ascii="Times New Roman" w:hAnsi="Times New Roman"/>
          <w:sz w:val="24"/>
          <w:szCs w:val="24"/>
          <w:vertAlign w:val="superscript"/>
          <w:lang w:bidi="fa-IR"/>
        </w:rPr>
        <w:t>85</w:t>
      </w:r>
      <w:r>
        <w:rPr>
          <w:rFonts w:cs="Times New Roman" w:ascii="Times New Roman" w:hAnsi="Times New Roman"/>
          <w:sz w:val="24"/>
          <w:szCs w:val="24"/>
          <w:lang w:bidi="fa-IR"/>
        </w:rPr>
        <w:t xml:space="preserve">Kr, </w:t>
      </w:r>
      <w:r>
        <w:rPr>
          <w:rFonts w:cs="Times New Roman" w:ascii="Times New Roman" w:hAnsi="Times New Roman"/>
          <w:sz w:val="24"/>
          <w:szCs w:val="24"/>
          <w:vertAlign w:val="superscript"/>
          <w:lang w:bidi="fa-IR"/>
        </w:rPr>
        <w:t>3</w:t>
      </w:r>
      <w:r>
        <w:rPr>
          <w:rFonts w:cs="Times New Roman" w:ascii="Times New Roman" w:hAnsi="Times New Roman"/>
          <w:sz w:val="24"/>
          <w:szCs w:val="24"/>
          <w:lang w:bidi="fa-IR"/>
        </w:rPr>
        <w:t xml:space="preserve">H, </w:t>
      </w:r>
      <w:r>
        <w:rPr>
          <w:rFonts w:cs="Times New Roman" w:ascii="Times New Roman" w:hAnsi="Times New Roman"/>
          <w:sz w:val="24"/>
          <w:szCs w:val="24"/>
          <w:vertAlign w:val="superscript"/>
          <w:lang w:bidi="fa-IR"/>
        </w:rPr>
        <w:t>39</w:t>
      </w:r>
      <w:r>
        <w:rPr>
          <w:rFonts w:cs="Times New Roman" w:ascii="Times New Roman" w:hAnsi="Times New Roman"/>
          <w:sz w:val="24"/>
          <w:szCs w:val="24"/>
          <w:lang w:bidi="fa-IR"/>
        </w:rPr>
        <w:t xml:space="preserve">Ar, </w:t>
      </w:r>
      <w:r>
        <w:rPr>
          <w:rFonts w:cs="Times New Roman" w:ascii="Times New Roman" w:hAnsi="Times New Roman"/>
          <w:sz w:val="24"/>
          <w:szCs w:val="24"/>
          <w:vertAlign w:val="superscript"/>
          <w:lang w:bidi="fa-IR"/>
        </w:rPr>
        <w:t>14</w:t>
      </w:r>
      <w:r>
        <w:rPr>
          <w:rFonts w:cs="Times New Roman" w:ascii="Times New Roman" w:hAnsi="Times New Roman"/>
          <w:sz w:val="24"/>
          <w:szCs w:val="24"/>
          <w:lang w:bidi="fa-IR"/>
        </w:rPr>
        <w:t xml:space="preserve">C, etc., are strong proxies preferred for groundwater age dating. Furthermore, </w:t>
      </w:r>
      <w:r>
        <w:rPr>
          <w:rFonts w:cs="Times New Roman" w:ascii="Times New Roman" w:hAnsi="Times New Roman"/>
          <w:sz w:val="24"/>
          <w:szCs w:val="24"/>
        </w:rPr>
        <w:t xml:space="preserve">the anthropogenic </w:t>
      </w:r>
      <w:r>
        <w:rPr>
          <w:rFonts w:cs="Times New Roman" w:ascii="Times New Roman" w:hAnsi="Times New Roman"/>
          <w:sz w:val="24"/>
          <w:szCs w:val="24"/>
          <w:vertAlign w:val="superscript"/>
          <w:lang w:bidi="fa-IR"/>
        </w:rPr>
        <w:t>3</w:t>
      </w:r>
      <w:r>
        <w:rPr>
          <w:rFonts w:cs="Times New Roman" w:ascii="Times New Roman" w:hAnsi="Times New Roman"/>
          <w:sz w:val="24"/>
          <w:szCs w:val="24"/>
          <w:lang w:bidi="fa-IR"/>
        </w:rPr>
        <w:t xml:space="preserve">H </w:t>
      </w:r>
      <w:r>
        <w:rPr>
          <w:rFonts w:cs="Times New Roman" w:ascii="Times New Roman" w:hAnsi="Times New Roman"/>
          <w:sz w:val="24"/>
          <w:szCs w:val="24"/>
        </w:rPr>
        <w:t xml:space="preserve">raised in the atmosphere from thermonuclear tests had been applied as a tracer to date the modern groundwater  However, concentration declining trend of the anthropogenic atmospheric </w:t>
      </w:r>
      <w:r>
        <w:rPr>
          <w:rFonts w:cs="Times New Roman" w:ascii="Times New Roman" w:hAnsi="Times New Roman"/>
          <w:sz w:val="24"/>
          <w:szCs w:val="24"/>
          <w:vertAlign w:val="superscript"/>
          <w:lang w:bidi="fa-IR"/>
        </w:rPr>
        <w:t>3</w:t>
      </w:r>
      <w:r>
        <w:rPr>
          <w:rFonts w:cs="Times New Roman" w:ascii="Times New Roman" w:hAnsi="Times New Roman"/>
          <w:sz w:val="24"/>
          <w:szCs w:val="24"/>
          <w:lang w:bidi="fa-IR"/>
        </w:rPr>
        <w:t>H</w:t>
      </w:r>
      <w:r>
        <w:rPr>
          <w:rFonts w:cs="Times New Roman" w:ascii="Times New Roman" w:hAnsi="Times New Roman"/>
          <w:sz w:val="24"/>
          <w:szCs w:val="24"/>
        </w:rPr>
        <w:t xml:space="preserve"> limited this method reliability Consequently, other proxies like chlorofluorocarbons (CFCs) and Sulphur hexafluoride (SF</w:t>
      </w:r>
      <w:r>
        <w:rPr>
          <w:rFonts w:cs="Times New Roman" w:ascii="Times New Roman" w:hAnsi="Times New Roman"/>
          <w:sz w:val="24"/>
          <w:szCs w:val="24"/>
          <w:vertAlign w:val="subscript"/>
        </w:rPr>
        <w:t>6</w:t>
      </w:r>
      <w:r>
        <w:rPr>
          <w:rFonts w:cs="Times New Roman" w:ascii="Times New Roman" w:hAnsi="Times New Roman"/>
          <w:sz w:val="24"/>
          <w:szCs w:val="24"/>
        </w:rPr>
        <w:t xml:space="preserve">), </w:t>
      </w:r>
      <w:r>
        <w:rPr>
          <w:rFonts w:cs="Times New Roman" w:ascii="Times New Roman" w:hAnsi="Times New Roman"/>
          <w:sz w:val="24"/>
          <w:szCs w:val="24"/>
          <w:vertAlign w:val="superscript"/>
        </w:rPr>
        <w:t>3</w:t>
      </w:r>
      <w:r>
        <w:rPr>
          <w:rFonts w:cs="Times New Roman" w:ascii="Times New Roman" w:hAnsi="Times New Roman"/>
          <w:sz w:val="24"/>
          <w:szCs w:val="24"/>
        </w:rPr>
        <w:t>H-</w:t>
      </w:r>
      <w:r>
        <w:rPr>
          <w:rFonts w:cs="Times New Roman" w:ascii="Times New Roman" w:hAnsi="Times New Roman"/>
          <w:sz w:val="24"/>
          <w:szCs w:val="24"/>
          <w:vertAlign w:val="superscript"/>
        </w:rPr>
        <w:t>3</w:t>
      </w:r>
      <w:r>
        <w:rPr>
          <w:rFonts w:cs="Times New Roman" w:ascii="Times New Roman" w:hAnsi="Times New Roman"/>
          <w:sz w:val="24"/>
          <w:szCs w:val="24"/>
        </w:rPr>
        <w:t xml:space="preserve">He, and </w:t>
      </w:r>
      <w:r>
        <w:rPr>
          <w:rFonts w:cs="Times New Roman" w:ascii="Times New Roman" w:hAnsi="Times New Roman"/>
          <w:sz w:val="24"/>
          <w:szCs w:val="24"/>
          <w:vertAlign w:val="superscript"/>
        </w:rPr>
        <w:t>85</w:t>
      </w:r>
      <w:r>
        <w:rPr>
          <w:rFonts w:cs="Times New Roman" w:ascii="Times New Roman" w:hAnsi="Times New Roman"/>
          <w:sz w:val="24"/>
          <w:szCs w:val="24"/>
        </w:rPr>
        <w:t xml:space="preserve">Kr have developed to overcome </w:t>
      </w:r>
      <w:r>
        <w:rPr>
          <w:rFonts w:cs="Times New Roman" w:ascii="Times New Roman" w:hAnsi="Times New Roman"/>
          <w:sz w:val="24"/>
          <w:szCs w:val="24"/>
          <w:lang w:bidi="fa-IR"/>
        </w:rPr>
        <w:t>this imperfection.</w:t>
      </w:r>
    </w:p>
    <w:p>
      <w:pPr>
        <w:pStyle w:val="Normal"/>
        <w:spacing w:lineRule="auto" w:line="360" w:before="240" w:after="240"/>
        <w:jc w:val="both"/>
        <w:rPr>
          <w:rFonts w:ascii="Times New Roman" w:hAnsi="Times New Roman" w:cs="Times New Roman"/>
          <w:sz w:val="24"/>
          <w:szCs w:val="24"/>
          <w:lang w:bidi="fa-IR"/>
        </w:rPr>
      </w:pPr>
      <w:r>
        <w:rPr>
          <w:rFonts w:cs="Times New Roman" w:ascii="Times New Roman" w:hAnsi="Times New Roman"/>
          <w:sz w:val="24"/>
          <w:szCs w:val="24"/>
          <w:lang w:bidi="fa-IR"/>
        </w:rPr>
        <w:t xml:space="preserve">Anthropogenic tracer gases such </w:t>
      </w:r>
      <w:r>
        <w:rPr>
          <w:rFonts w:cs="Times New Roman" w:ascii="Times New Roman" w:hAnsi="Times New Roman"/>
          <w:sz w:val="24"/>
          <w:szCs w:val="24"/>
        </w:rPr>
        <w:t>as</w:t>
      </w:r>
      <w:r>
        <w:rPr>
          <w:rFonts w:cs="Times New Roman" w:ascii="Times New Roman" w:hAnsi="Times New Roman"/>
          <w:sz w:val="24"/>
          <w:szCs w:val="24"/>
          <w:lang w:bidi="fa-IR"/>
        </w:rPr>
        <w:t xml:space="preserve"> </w:t>
      </w:r>
      <w:r>
        <w:rPr>
          <w:rFonts w:cs="Times New Roman" w:ascii="Times New Roman" w:hAnsi="Times New Roman"/>
          <w:sz w:val="24"/>
          <w:szCs w:val="24"/>
        </w:rPr>
        <w:t>CFCs, and SF</w:t>
      </w:r>
      <w:r>
        <w:rPr>
          <w:rFonts w:cs="Times New Roman" w:ascii="Times New Roman" w:hAnsi="Times New Roman"/>
          <w:sz w:val="24"/>
          <w:szCs w:val="24"/>
          <w:vertAlign w:val="subscript"/>
        </w:rPr>
        <w:t>6</w:t>
      </w:r>
      <w:r>
        <w:rPr>
          <w:rFonts w:cs="Times New Roman" w:ascii="Times New Roman" w:hAnsi="Times New Roman"/>
          <w:sz w:val="24"/>
          <w:szCs w:val="24"/>
        </w:rPr>
        <w:t xml:space="preserve"> have been extensively applied at the forefront of groundwater dating . The sinks and sources of these compounds are well studied and proven that SF</w:t>
      </w:r>
      <w:r>
        <w:rPr>
          <w:rFonts w:cs="Times New Roman" w:ascii="Times New Roman" w:hAnsi="Times New Roman"/>
          <w:sz w:val="24"/>
          <w:szCs w:val="24"/>
          <w:vertAlign w:val="subscript"/>
        </w:rPr>
        <w:t>6</w:t>
      </w:r>
      <w:r>
        <w:rPr>
          <w:rFonts w:cs="Times New Roman" w:ascii="Times New Roman" w:hAnsi="Times New Roman"/>
          <w:sz w:val="24"/>
          <w:szCs w:val="24"/>
        </w:rPr>
        <w:t xml:space="preserve"> and CFCs behave conservatively within the saturated zone and their travel time, velocity, and direction is same as the carrying groundwater . Although the input functions of CFCs are well studied and they have been frequently applied for post-1945 groundwater dating , their atmospheric concentrations ratios are levelling off and cause ambiguities in the results  To compensate this deficiency, SF</w:t>
      </w:r>
      <w:r>
        <w:rPr>
          <w:rFonts w:cs="Times New Roman" w:ascii="Times New Roman" w:hAnsi="Times New Roman"/>
          <w:sz w:val="24"/>
          <w:szCs w:val="24"/>
          <w:vertAlign w:val="subscript"/>
        </w:rPr>
        <w:t>6</w:t>
      </w:r>
      <w:r>
        <w:rPr>
          <w:rFonts w:cs="Times New Roman" w:ascii="Times New Roman" w:hAnsi="Times New Roman"/>
          <w:sz w:val="24"/>
          <w:szCs w:val="24"/>
        </w:rPr>
        <w:t xml:space="preserve"> is often applied in conjunction with CFCs, and </w:t>
      </w:r>
      <w:r>
        <w:rPr>
          <w:rFonts w:cs="Times New Roman" w:ascii="Times New Roman" w:hAnsi="Times New Roman"/>
          <w:sz w:val="24"/>
          <w:szCs w:val="24"/>
          <w:vertAlign w:val="superscript"/>
          <w:lang w:bidi="fa-IR"/>
        </w:rPr>
        <w:t>3</w:t>
      </w:r>
      <w:r>
        <w:rPr>
          <w:rFonts w:cs="Times New Roman" w:ascii="Times New Roman" w:hAnsi="Times New Roman"/>
          <w:sz w:val="24"/>
          <w:szCs w:val="24"/>
          <w:lang w:bidi="fa-IR"/>
        </w:rPr>
        <w:t>H</w:t>
      </w:r>
      <w:r>
        <w:rPr>
          <w:rFonts w:cs="Times New Roman" w:ascii="Times New Roman" w:hAnsi="Times New Roman"/>
          <w:sz w:val="24"/>
          <w:szCs w:val="24"/>
        </w:rPr>
        <w:t xml:space="preserve"> </w:t>
      </w:r>
    </w:p>
    <w:p>
      <w:pPr>
        <w:pStyle w:val="Normal"/>
        <w:spacing w:lineRule="auto" w:line="360" w:before="240" w:after="240"/>
        <w:jc w:val="both"/>
        <w:rPr>
          <w:rFonts w:ascii="Times New Roman" w:hAnsi="Times New Roman" w:cs="Times New Roman"/>
          <w:sz w:val="24"/>
          <w:szCs w:val="24"/>
        </w:rPr>
      </w:pPr>
      <w:r>
        <w:rPr>
          <w:rFonts w:cs="Times New Roman" w:ascii="Times New Roman" w:hAnsi="Times New Roman"/>
          <w:sz w:val="24"/>
          <w:szCs w:val="24"/>
        </w:rPr>
        <w:t>Sulfur hexafluoride (SF</w:t>
      </w:r>
      <w:r>
        <w:rPr>
          <w:rFonts w:cs="Times New Roman" w:ascii="Times New Roman" w:hAnsi="Times New Roman"/>
          <w:sz w:val="24"/>
          <w:szCs w:val="24"/>
          <w:vertAlign w:val="subscript"/>
        </w:rPr>
        <w:t>6</w:t>
      </w:r>
      <w:r>
        <w:rPr>
          <w:rFonts w:cs="Times New Roman" w:ascii="Times New Roman" w:hAnsi="Times New Roman"/>
          <w:sz w:val="24"/>
          <w:szCs w:val="24"/>
        </w:rPr>
        <w:t>) is an inorganic anthropogenic stable gas that increasingly being applied in the electrical power industry as a gaseous dielectric, for semi-conductor manufacturing, and for casting of magnesium SF</w:t>
      </w:r>
      <w:r>
        <w:rPr>
          <w:rFonts w:cs="Times New Roman" w:ascii="Times New Roman" w:hAnsi="Times New Roman"/>
          <w:sz w:val="24"/>
          <w:szCs w:val="24"/>
          <w:vertAlign w:val="subscript"/>
        </w:rPr>
        <w:t>6</w:t>
      </w:r>
      <w:r>
        <w:rPr>
          <w:rFonts w:cs="Times New Roman" w:ascii="Times New Roman" w:hAnsi="Times New Roman"/>
          <w:sz w:val="24"/>
          <w:szCs w:val="24"/>
        </w:rPr>
        <w:t xml:space="preserve"> neither adsorb easily on organic matter nor degrade in the saturated zone . However, emission of SF</w:t>
      </w:r>
      <w:r>
        <w:rPr>
          <w:rFonts w:cs="Times New Roman" w:ascii="Times New Roman" w:hAnsi="Times New Roman"/>
          <w:sz w:val="24"/>
          <w:szCs w:val="24"/>
          <w:vertAlign w:val="subscript"/>
        </w:rPr>
        <w:t>6</w:t>
      </w:r>
      <w:r>
        <w:rPr>
          <w:rFonts w:cs="Times New Roman" w:ascii="Times New Roman" w:hAnsi="Times New Roman"/>
          <w:sz w:val="24"/>
          <w:szCs w:val="24"/>
        </w:rPr>
        <w:t xml:space="preserve"> from igneous and metamorphic rocks, fossil fuel power plants, and domestic use of fossil fuels may result in ambiguity in groundwater dating results for aquifers located downwind areas. Groundwater age dating efforts frequently conducted in conjunction with stable water isotopes as a complementary tool to improve our understanding of groundwater flow dynamics </w:t>
      </w:r>
    </w:p>
    <w:p>
      <w:pPr>
        <w:pStyle w:val="Normal"/>
        <w:spacing w:lineRule="auto" w:line="360" w:before="240" w:after="240"/>
        <w:jc w:val="both"/>
        <w:rPr>
          <w:rFonts w:ascii="Times New Roman" w:hAnsi="Times New Roman" w:cs="Times New Roman"/>
          <w:sz w:val="24"/>
          <w:szCs w:val="24"/>
        </w:rPr>
      </w:pPr>
      <w:r>
        <w:rPr/>
      </w:r>
    </w:p>
    <w:sectPr>
      <w:footerReference w:type="even" r:id="rId2"/>
      <w:footerReference w:type="default" r:id="rId3"/>
      <w:footerReference w:type="first" r:id="rId4"/>
      <w:type w:val="nextPage"/>
      <w:pgSz w:w="12240" w:h="15840"/>
      <w:pgMar w:left="1440" w:right="1440" w:gutter="0" w:header="0" w:top="1260" w:footer="720" w:bottom="1440"/>
      <w:lnNumType w:countBy="1" w:restart="continuous" w:distance="28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62079386"/>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62079386"/>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05005"/>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97796"/>
    <w:pPr>
      <w:keepNext w:val="true"/>
      <w:keepLines/>
      <w:spacing w:before="240" w:after="0"/>
      <w:outlineLvl w:val="0"/>
    </w:pPr>
    <w:rPr>
      <w:rFonts w:ascii="Calibri Light" w:hAnsi="Calibri Light" w:eastAsia="" w:cs="Times New Roman"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unhideWhenUsed/>
    <w:qFormat/>
    <w:rsid w:val="00507699"/>
    <w:pPr>
      <w:keepNext w:val="true"/>
      <w:keepLines/>
      <w:spacing w:before="40" w:after="0"/>
      <w:outlineLvl w:val="1"/>
    </w:pPr>
    <w:rPr>
      <w:rFonts w:ascii="Calibri Light" w:hAnsi="Calibri Light" w:eastAsia="" w:cs="Times New Roman"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Heading3Char"/>
    <w:uiPriority w:val="9"/>
    <w:unhideWhenUsed/>
    <w:qFormat/>
    <w:rsid w:val="006205b8"/>
    <w:pPr>
      <w:keepNext w:val="true"/>
      <w:keepLines/>
      <w:spacing w:before="40" w:after="0"/>
      <w:outlineLvl w:val="2"/>
    </w:pPr>
    <w:rPr>
      <w:rFonts w:ascii="Calibri Light" w:hAnsi="Calibri Light" w:eastAsia="" w:cs="Times New Roman"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5208a"/>
    <w:rPr>
      <w:color w:themeColor="hyperlink" w:val="0563C1"/>
      <w:u w:val="single"/>
    </w:rPr>
  </w:style>
  <w:style w:type="character" w:styleId="BalloonTextChar" w:customStyle="1">
    <w:name w:val="Balloon Text Char"/>
    <w:basedOn w:val="DefaultParagraphFont"/>
    <w:link w:val="BalloonText"/>
    <w:uiPriority w:val="99"/>
    <w:semiHidden/>
    <w:qFormat/>
    <w:rsid w:val="009a3bc2"/>
    <w:rPr>
      <w:rFonts w:ascii="Segoe UI" w:hAnsi="Segoe UI" w:cs="Segoe UI"/>
      <w:sz w:val="18"/>
      <w:szCs w:val="18"/>
    </w:rPr>
  </w:style>
  <w:style w:type="character" w:styleId="UnresolvedMention1" w:customStyle="1">
    <w:name w:val="Unresolved Mention1"/>
    <w:basedOn w:val="DefaultParagraphFont"/>
    <w:uiPriority w:val="99"/>
    <w:semiHidden/>
    <w:unhideWhenUsed/>
    <w:qFormat/>
    <w:rsid w:val="00ca1f41"/>
    <w:rPr>
      <w:color w:val="605E5C"/>
      <w:shd w:fill="E1DFDD" w:val="clear"/>
    </w:rPr>
  </w:style>
  <w:style w:type="character" w:styleId="CommentReference">
    <w:name w:val="annotation reference"/>
    <w:basedOn w:val="DefaultParagraphFont"/>
    <w:uiPriority w:val="99"/>
    <w:semiHidden/>
    <w:unhideWhenUsed/>
    <w:qFormat/>
    <w:rsid w:val="00b83a0d"/>
    <w:rPr>
      <w:sz w:val="16"/>
      <w:szCs w:val="16"/>
    </w:rPr>
  </w:style>
  <w:style w:type="character" w:styleId="CommentTextChar" w:customStyle="1">
    <w:name w:val="Comment Text Char"/>
    <w:basedOn w:val="DefaultParagraphFont"/>
    <w:link w:val="CommentText"/>
    <w:uiPriority w:val="99"/>
    <w:qFormat/>
    <w:rsid w:val="00b83a0d"/>
    <w:rPr>
      <w:sz w:val="20"/>
      <w:szCs w:val="20"/>
    </w:rPr>
  </w:style>
  <w:style w:type="character" w:styleId="CommentSubjectChar" w:customStyle="1">
    <w:name w:val="Comment Subject Char"/>
    <w:basedOn w:val="CommentTextChar"/>
    <w:link w:val="annotationsubject"/>
    <w:uiPriority w:val="99"/>
    <w:semiHidden/>
    <w:qFormat/>
    <w:rsid w:val="00b83a0d"/>
    <w:rPr>
      <w:b/>
      <w:bCs/>
      <w:sz w:val="20"/>
      <w:szCs w:val="20"/>
    </w:rPr>
  </w:style>
  <w:style w:type="character" w:styleId="FollowedHyperlink">
    <w:name w:val="FollowedHyperlink"/>
    <w:basedOn w:val="DefaultParagraphFont"/>
    <w:uiPriority w:val="99"/>
    <w:semiHidden/>
    <w:unhideWhenUsed/>
    <w:rsid w:val="00d616e4"/>
    <w:rPr>
      <w:color w:themeColor="followedHyperlink" w:val="954F72"/>
      <w:u w:val="single"/>
    </w:rPr>
  </w:style>
  <w:style w:type="character" w:styleId="UnresolvedMention2" w:customStyle="1">
    <w:name w:val="Unresolved Mention2"/>
    <w:basedOn w:val="DefaultParagraphFont"/>
    <w:uiPriority w:val="99"/>
    <w:semiHidden/>
    <w:unhideWhenUsed/>
    <w:qFormat/>
    <w:rsid w:val="00be1a22"/>
    <w:rPr>
      <w:color w:val="605E5C"/>
      <w:shd w:fill="E1DFDD" w:val="clear"/>
    </w:rPr>
  </w:style>
  <w:style w:type="character" w:styleId="LineNumber">
    <w:name w:val="line number"/>
    <w:basedOn w:val="DefaultParagraphFont"/>
    <w:uiPriority w:val="99"/>
    <w:semiHidden/>
    <w:unhideWhenUsed/>
    <w:rsid w:val="00196cfa"/>
    <w:rPr/>
  </w:style>
  <w:style w:type="character" w:styleId="Heading1Char" w:customStyle="1">
    <w:name w:val="Heading 1 Char"/>
    <w:basedOn w:val="DefaultParagraphFont"/>
    <w:link w:val="Heading1"/>
    <w:uiPriority w:val="9"/>
    <w:qFormat/>
    <w:rsid w:val="00f97796"/>
    <w:rPr>
      <w:rFonts w:ascii="Calibri Light" w:hAnsi="Calibri Light" w:eastAsia="" w:cs="Times New Roman" w:asciiTheme="majorHAnsi" w:cstheme="majorBidi" w:eastAsiaTheme="majorEastAsia" w:hAnsiTheme="majorHAnsi"/>
      <w:color w:themeColor="accent1" w:themeShade="bf" w:val="2F5496"/>
      <w:sz w:val="32"/>
      <w:szCs w:val="32"/>
    </w:rPr>
  </w:style>
  <w:style w:type="character" w:styleId="Heading2Char" w:customStyle="1">
    <w:name w:val="Heading 2 Char"/>
    <w:basedOn w:val="DefaultParagraphFont"/>
    <w:link w:val="Heading2"/>
    <w:uiPriority w:val="9"/>
    <w:qFormat/>
    <w:rsid w:val="00507699"/>
    <w:rPr>
      <w:rFonts w:ascii="Calibri Light" w:hAnsi="Calibri Light" w:eastAsia="" w:cs="Times New Roman" w:asciiTheme="majorHAnsi" w:cstheme="majorBidi" w:eastAsiaTheme="majorEastAsia" w:hAnsiTheme="majorHAnsi"/>
      <w:color w:themeColor="accent1" w:themeShade="bf" w:val="2F5496"/>
      <w:sz w:val="26"/>
      <w:szCs w:val="26"/>
    </w:rPr>
  </w:style>
  <w:style w:type="character" w:styleId="HeaderChar" w:customStyle="1">
    <w:name w:val="Header Char"/>
    <w:basedOn w:val="DefaultParagraphFont"/>
    <w:link w:val="Header"/>
    <w:uiPriority w:val="99"/>
    <w:qFormat/>
    <w:rsid w:val="00f24923"/>
    <w:rPr/>
  </w:style>
  <w:style w:type="character" w:styleId="FooterChar" w:customStyle="1">
    <w:name w:val="Footer Char"/>
    <w:basedOn w:val="DefaultParagraphFont"/>
    <w:link w:val="Footer"/>
    <w:uiPriority w:val="99"/>
    <w:qFormat/>
    <w:rsid w:val="00f24923"/>
    <w:rPr/>
  </w:style>
  <w:style w:type="character" w:styleId="Heading3Char" w:customStyle="1">
    <w:name w:val="Heading 3 Char"/>
    <w:basedOn w:val="DefaultParagraphFont"/>
    <w:link w:val="Heading3"/>
    <w:uiPriority w:val="9"/>
    <w:qFormat/>
    <w:rsid w:val="006205b8"/>
    <w:rPr>
      <w:rFonts w:ascii="Calibri Light" w:hAnsi="Calibri Light" w:eastAsia="" w:cs="Times New Roman" w:asciiTheme="majorHAnsi" w:cstheme="majorBidi" w:eastAsiaTheme="majorEastAsia" w:hAnsiTheme="majorHAnsi"/>
      <w:color w:themeColor="accent1" w:themeShade="7f" w:val="1F3763"/>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9a3bc2"/>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b71330"/>
    <w:pPr>
      <w:spacing w:before="0" w:after="160"/>
      <w:ind w:left="720"/>
      <w:contextualSpacing/>
    </w:pPr>
    <w:rPr/>
  </w:style>
  <w:style w:type="paragraph" w:styleId="CommentText">
    <w:name w:val="annotation text"/>
    <w:basedOn w:val="Normal"/>
    <w:link w:val="CommentTextChar"/>
    <w:uiPriority w:val="99"/>
    <w:unhideWhenUsed/>
    <w:rsid w:val="00b83a0d"/>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b83a0d"/>
    <w:pPr/>
    <w:rPr>
      <w:b/>
      <w:bCs/>
    </w:rPr>
  </w:style>
  <w:style w:type="paragraph" w:styleId="Pa151" w:customStyle="1">
    <w:name w:val="Pa15+1"/>
    <w:basedOn w:val="Normal"/>
    <w:next w:val="Normal"/>
    <w:uiPriority w:val="99"/>
    <w:qFormat/>
    <w:rsid w:val="00c23557"/>
    <w:pPr>
      <w:spacing w:lineRule="atLeast" w:line="180" w:before="0" w:after="0"/>
    </w:pPr>
    <w:rPr>
      <w:rFonts w:ascii="Times New Roman" w:hAnsi="Times New Roman" w:cs="Times New Roman"/>
      <w:sz w:val="24"/>
      <w:szCs w:val="24"/>
    </w:rPr>
  </w:style>
  <w:style w:type="paragraph" w:styleId="Pa111" w:customStyle="1">
    <w:name w:val="Pa11+1"/>
    <w:basedOn w:val="Normal"/>
    <w:next w:val="Normal"/>
    <w:uiPriority w:val="99"/>
    <w:qFormat/>
    <w:rsid w:val="009d21eb"/>
    <w:pPr>
      <w:spacing w:lineRule="atLeast" w:line="180" w:before="0" w:after="0"/>
    </w:pPr>
    <w:rPr>
      <w:rFonts w:ascii="Times New Roman" w:hAnsi="Times New Roman" w:cs="Times New Roman"/>
      <w:sz w:val="24"/>
      <w:szCs w:val="24"/>
    </w:rPr>
  </w:style>
  <w:style w:type="paragraph" w:styleId="Revision">
    <w:name w:val="Revision"/>
    <w:uiPriority w:val="99"/>
    <w:semiHidden/>
    <w:qFormat/>
    <w:rsid w:val="00653a27"/>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semiHidden/>
    <w:unhideWhenUsed/>
    <w:qFormat/>
    <w:rsid w:val="005534b8"/>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f24923"/>
    <w:pPr>
      <w:suppressLineNumbers/>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24923"/>
    <w:pPr>
      <w:suppressLineNumbers/>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940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C07E-5621-45E4-947B-E774BE91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Application>LibreOffice/25.2.0.3$Windows_X86_64 LibreOffice_project/e1cf4a87eb02d755bce1a01209907ea5ddc8f069</Application>
  <AppVersion>15.0000</AppVersion>
  <Pages>2</Pages>
  <Words>440</Words>
  <Characters>2593</Characters>
  <CharactersWithSpaces>3031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2025-02-08T06:29:00Z</dcterms:created>
  <dc:creator>Administrator</dc:creator>
  <dc:description/>
  <dc:language>en-US</dc:language>
  <cp:lastModifiedBy>T Mack</cp:lastModifiedBy>
  <dcterms:modified xsi:type="dcterms:W3CDTF">2025-02-19T08:54:32Z</dcterms:modified>
  <cp:revision>188</cp:revision>
  <dc:subject/>
  <dc:title/>
</cp:coreProperties>
</file>

<file path=docProps/custom.xml><?xml version="1.0" encoding="utf-8"?>
<Properties xmlns="http://schemas.openxmlformats.org/officeDocument/2006/custom-properties" xmlns:vt="http://schemas.openxmlformats.org/officeDocument/2006/docPropsVTypes"/>
</file>