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9F1" w:rsidRDefault="003119F1">
      <w:pPr>
        <w:pStyle w:val="SectionHeading"/>
      </w:pPr>
      <w:bookmarkStart w:id="0" w:name="_GoBack"/>
      <w:bookmarkEnd w:id="0"/>
      <w:r>
        <w:t>Situation</w:t>
      </w:r>
    </w:p>
    <w:p w:rsidR="00917F5B" w:rsidRDefault="00917F5B">
      <w:pPr>
        <w:pStyle w:val="Bodycopy"/>
      </w:pPr>
      <w:bookmarkStart w:id="1" w:name="DocumentSituation"/>
      <w:r>
        <w:t>Where do old PCs go to die?</w:t>
      </w:r>
      <w:bookmarkEnd w:id="1"/>
    </w:p>
    <w:sectPr w:rsidR="00917F5B">
      <w:headerReference w:type="default" r:id="rId7"/>
      <w:footerReference w:type="default" r:id="rId8"/>
      <w:pgSz w:w="12242" w:h="15842" w:code="1"/>
      <w:pgMar w:top="3240" w:right="851" w:bottom="1320" w:left="4536" w:header="0" w:footer="60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EAF" w:rsidRDefault="00E80EAF">
      <w:r>
        <w:separator/>
      </w:r>
    </w:p>
  </w:endnote>
  <w:endnote w:type="continuationSeparator" w:id="0">
    <w:p w:rsidR="00E80EAF" w:rsidRDefault="00E80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embedRegular r:id="rId1" w:subsetted="1" w:fontKey="{EAE7577B-C028-4789-9F8C-182C253EB5CA}"/>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EB0" w:rsidRDefault="00E42EB0">
    <w:pPr>
      <w:pStyle w:val="llb"/>
      <w:tabs>
        <w:tab w:val="left" w:pos="2760"/>
      </w:tabs>
      <w:jc w:val="right"/>
    </w:pPr>
    <w:r>
      <w:fldChar w:fldCharType="begin"/>
    </w:r>
    <w:r>
      <w:instrText xml:space="preserve"> if </w:instrText>
    </w:r>
    <w:r>
      <w:rPr>
        <w:rStyle w:val="Oldalszm"/>
      </w:rPr>
      <w:fldChar w:fldCharType="begin"/>
    </w:r>
    <w:r>
      <w:rPr>
        <w:rStyle w:val="Oldalszm"/>
      </w:rPr>
      <w:instrText xml:space="preserve"> PAGE </w:instrText>
    </w:r>
    <w:r>
      <w:rPr>
        <w:rStyle w:val="Oldalszm"/>
      </w:rPr>
      <w:fldChar w:fldCharType="separate"/>
    </w:r>
    <w:r w:rsidR="00BE45F4">
      <w:rPr>
        <w:rStyle w:val="Oldalszm"/>
        <w:noProof/>
      </w:rPr>
      <w:instrText>1</w:instrText>
    </w:r>
    <w:r>
      <w:rPr>
        <w:rStyle w:val="Oldalszm"/>
      </w:rPr>
      <w:fldChar w:fldCharType="end"/>
    </w:r>
    <w:r>
      <w:rPr>
        <w:rStyle w:val="Oldalszm"/>
      </w:rPr>
      <w:instrText xml:space="preserve"> = </w:instrText>
    </w:r>
    <w:r>
      <w:rPr>
        <w:rStyle w:val="Oldalszm"/>
      </w:rPr>
      <w:fldChar w:fldCharType="begin"/>
    </w:r>
    <w:r>
      <w:rPr>
        <w:rStyle w:val="Oldalszm"/>
      </w:rPr>
      <w:instrText xml:space="preserve"> NUMPAGES </w:instrText>
    </w:r>
    <w:r>
      <w:rPr>
        <w:rStyle w:val="Oldalszm"/>
      </w:rPr>
      <w:fldChar w:fldCharType="separate"/>
    </w:r>
    <w:r w:rsidR="00BE45F4">
      <w:rPr>
        <w:rStyle w:val="Oldalszm"/>
        <w:noProof/>
      </w:rPr>
      <w:instrText>1</w:instrText>
    </w:r>
    <w:r>
      <w:rPr>
        <w:rStyle w:val="Oldalszm"/>
      </w:rPr>
      <w:fldChar w:fldCharType="end"/>
    </w:r>
    <w:r>
      <w:rPr>
        <w:rStyle w:val="Oldalszm"/>
      </w:rPr>
      <w:instrText xml:space="preserve"> </w:instrText>
    </w:r>
    <w:r w:rsidR="00917F5B">
      <w:rPr>
        <w:noProof/>
        <w:spacing w:val="20"/>
        <w:sz w:val="16"/>
        <w:lang w:val="hu-HU" w:eastAsia="hu-HU"/>
      </w:rPr>
      <w:drawing>
        <wp:inline distT="0" distB="0" distL="0" distR="0">
          <wp:extent cx="1981200" cy="914400"/>
          <wp:effectExtent l="0" t="0" r="0" b="0"/>
          <wp:docPr id="8" name="Picture 8"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croso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914400"/>
                  </a:xfrm>
                  <a:prstGeom prst="rect">
                    <a:avLst/>
                  </a:prstGeom>
                  <a:noFill/>
                  <a:ln>
                    <a:noFill/>
                  </a:ln>
                </pic:spPr>
              </pic:pic>
            </a:graphicData>
          </a:graphic>
        </wp:inline>
      </w:drawing>
    </w:r>
    <w:r>
      <w:rPr>
        <w:rStyle w:val="Oldalszm"/>
      </w:rPr>
      <w:instrText xml:space="preserve"> </w:instrText>
    </w:r>
    <w:r>
      <w:instrText xml:space="preserve">"" </w:instrText>
    </w:r>
    <w:r w:rsidR="00951B6F">
      <w:fldChar w:fldCharType="separate"/>
    </w:r>
    <w:r w:rsidR="00BE45F4">
      <w:rPr>
        <w:noProof/>
        <w:spacing w:val="20"/>
        <w:sz w:val="16"/>
        <w:lang w:val="hu-HU" w:eastAsia="hu-HU"/>
      </w:rPr>
      <w:drawing>
        <wp:inline distT="0" distB="0" distL="0" distR="0">
          <wp:extent cx="1981200" cy="914400"/>
          <wp:effectExtent l="0" t="0" r="0" b="0"/>
          <wp:docPr id="1751" name="Picture 8"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croso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914400"/>
                  </a:xfrm>
                  <a:prstGeom prst="rect">
                    <a:avLst/>
                  </a:prstGeom>
                  <a:noFill/>
                  <a:ln>
                    <a:noFill/>
                  </a:ln>
                </pic:spPr>
              </pic:pic>
            </a:graphicData>
          </a:graphic>
        </wp:inline>
      </w:drawing>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EAF" w:rsidRDefault="00E80EAF">
      <w:r>
        <w:separator/>
      </w:r>
    </w:p>
  </w:footnote>
  <w:footnote w:type="continuationSeparator" w:id="0">
    <w:p w:rsidR="00E80EAF" w:rsidRDefault="00E80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EB0" w:rsidRDefault="00E42EB0">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3C3435"/>
    <w:multiLevelType w:val="hybridMultilevel"/>
    <w:tmpl w:val="C0622374"/>
    <w:lvl w:ilvl="0" w:tplc="859C5C50">
      <w:start w:val="1"/>
      <w:numFmt w:val="bullet"/>
      <w:lvlRestart w:val="0"/>
      <w:pStyle w:val="Bullet"/>
      <w:lvlText w:val=""/>
      <w:lvlJc w:val="left"/>
      <w:pPr>
        <w:tabs>
          <w:tab w:val="num" w:pos="360"/>
        </w:tabs>
        <w:ind w:left="360" w:hanging="360"/>
      </w:pPr>
      <w:rPr>
        <w:rFonts w:ascii="Symbol" w:hAnsi="Symbol" w:hint="default"/>
        <w:color w:val="A0A0A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AC6885"/>
    <w:multiLevelType w:val="hybridMultilevel"/>
    <w:tmpl w:val="CED674A6"/>
    <w:lvl w:ilvl="0" w:tplc="A7A609F8">
      <w:start w:val="1"/>
      <w:numFmt w:val="bullet"/>
      <w:pStyle w:val="BulletGrey"/>
      <w:lvlText w:val=""/>
      <w:lvlJc w:val="left"/>
      <w:pPr>
        <w:tabs>
          <w:tab w:val="num" w:pos="360"/>
        </w:tabs>
        <w:ind w:left="360" w:hanging="360"/>
      </w:pPr>
      <w:rPr>
        <w:rFonts w:ascii="Symbol" w:hAnsi="Symbol" w:hint="default"/>
        <w:color w:val="A0A0A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7F74B0"/>
    <w:multiLevelType w:val="multilevel"/>
    <w:tmpl w:val="F108618C"/>
    <w:lvl w:ilvl="0">
      <w:start w:val="1"/>
      <w:numFmt w:val="bullet"/>
      <w:lvlText w:val=""/>
      <w:lvlJc w:val="left"/>
      <w:pPr>
        <w:tabs>
          <w:tab w:val="num" w:pos="360"/>
        </w:tabs>
        <w:ind w:left="360" w:hanging="360"/>
      </w:pPr>
      <w:rPr>
        <w:rFonts w:ascii="Wingdings" w:hAnsi="Wingdings" w:hint="default"/>
        <w:color w:val="666666"/>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B337B"/>
    <w:multiLevelType w:val="multilevel"/>
    <w:tmpl w:val="D79AD35E"/>
    <w:lvl w:ilvl="0">
      <w:start w:val="1"/>
      <w:numFmt w:val="bullet"/>
      <w:lvlRestart w:val="0"/>
      <w:lvlText w:val=""/>
      <w:lvlJc w:val="left"/>
      <w:pPr>
        <w:tabs>
          <w:tab w:val="num" w:pos="181"/>
        </w:tabs>
        <w:ind w:left="181" w:hanging="181"/>
      </w:pPr>
      <w:rPr>
        <w:rFonts w:ascii="Times New Roman" w:hAnsi="Times New Roman" w:cs="Times New Roman" w:hint="default"/>
        <w:color w:val="00CC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3140D9"/>
    <w:multiLevelType w:val="hybridMultilevel"/>
    <w:tmpl w:val="BEB23ABE"/>
    <w:lvl w:ilvl="0" w:tplc="50ECCCBA">
      <w:start w:val="1"/>
      <w:numFmt w:val="bullet"/>
      <w:lvlRestart w:val="0"/>
      <w:pStyle w:val="Bulletbold"/>
      <w:lvlText w:val=""/>
      <w:lvlJc w:val="left"/>
      <w:pPr>
        <w:tabs>
          <w:tab w:val="num" w:pos="360"/>
        </w:tabs>
        <w:ind w:left="360" w:hanging="360"/>
      </w:pPr>
      <w:rPr>
        <w:rFonts w:ascii="Wingdings" w:hAnsi="Wingdings" w:hint="default"/>
        <w:color w:val="0099FF"/>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FE4487"/>
    <w:multiLevelType w:val="singleLevel"/>
    <w:tmpl w:val="86EEE6A8"/>
    <w:lvl w:ilvl="0">
      <w:start w:val="1"/>
      <w:numFmt w:val="decimal"/>
      <w:pStyle w:val="TJ2"/>
      <w:lvlText w:val="%1."/>
      <w:lvlJc w:val="left"/>
      <w:pPr>
        <w:tabs>
          <w:tab w:val="num" w:pos="360"/>
        </w:tabs>
        <w:ind w:left="360" w:hanging="360"/>
      </w:pPr>
    </w:lvl>
  </w:abstractNum>
  <w:abstractNum w:abstractNumId="8" w15:restartNumberingAfterBreak="0">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9" w15:restartNumberingAfterBreak="0">
    <w:nsid w:val="4F147D09"/>
    <w:multiLevelType w:val="hybridMultilevel"/>
    <w:tmpl w:val="E51870BA"/>
    <w:lvl w:ilvl="0" w:tplc="515A4410">
      <w:start w:val="1"/>
      <w:numFmt w:val="bullet"/>
      <w:lvlRestart w:val="0"/>
      <w:lvlText w:val=""/>
      <w:lvlJc w:val="left"/>
      <w:pPr>
        <w:tabs>
          <w:tab w:val="num" w:pos="360"/>
        </w:tabs>
        <w:ind w:left="360" w:hanging="360"/>
      </w:pPr>
      <w:rPr>
        <w:rFonts w:ascii="Wingdings" w:hAnsi="Wingdings" w:hint="default"/>
        <w:color w:val="FF330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3F4638"/>
    <w:multiLevelType w:val="multilevel"/>
    <w:tmpl w:val="21565376"/>
    <w:lvl w:ilvl="0">
      <w:start w:val="1"/>
      <w:numFmt w:val="bullet"/>
      <w:lvlText w:val=""/>
      <w:lvlJc w:val="left"/>
      <w:pPr>
        <w:tabs>
          <w:tab w:val="num" w:pos="181"/>
        </w:tabs>
        <w:ind w:left="181" w:hanging="181"/>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2" w15:restartNumberingAfterBreak="0">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6601B23"/>
    <w:multiLevelType w:val="hybridMultilevel"/>
    <w:tmpl w:val="18B89D5A"/>
    <w:lvl w:ilvl="0" w:tplc="6F6AD104">
      <w:start w:val="1"/>
      <w:numFmt w:val="bullet"/>
      <w:lvlRestart w:val="0"/>
      <w:pStyle w:val="Bulletcolored"/>
      <w:lvlText w:val=""/>
      <w:lvlJc w:val="left"/>
      <w:pPr>
        <w:tabs>
          <w:tab w:val="num" w:pos="181"/>
        </w:tabs>
        <w:ind w:left="181" w:hanging="181"/>
      </w:pPr>
      <w:rPr>
        <w:rFonts w:ascii="Symbol" w:hAnsi="Symbol" w:cs="Times New Roman"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79401A"/>
    <w:multiLevelType w:val="multilevel"/>
    <w:tmpl w:val="9B684C5E"/>
    <w:lvl w:ilvl="0">
      <w:start w:val="1"/>
      <w:numFmt w:val="bullet"/>
      <w:lvlText w:val=""/>
      <w:lvlJc w:val="left"/>
      <w:pPr>
        <w:tabs>
          <w:tab w:val="num" w:pos="181"/>
        </w:tabs>
        <w:ind w:left="181" w:hanging="181"/>
      </w:pPr>
      <w:rPr>
        <w:rFonts w:ascii="Symbol" w:hAnsi="Symbol" w:hint="default"/>
        <w:color w:val="FF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798E19F2"/>
    <w:multiLevelType w:val="multilevel"/>
    <w:tmpl w:val="C9EAA246"/>
    <w:lvl w:ilvl="0">
      <w:start w:val="1"/>
      <w:numFmt w:val="bullet"/>
      <w:lvlRestart w:val="0"/>
      <w:lvlText w:val=""/>
      <w:lvlJc w:val="left"/>
      <w:pPr>
        <w:tabs>
          <w:tab w:val="num" w:pos="360"/>
        </w:tabs>
        <w:ind w:left="360" w:hanging="360"/>
      </w:pPr>
      <w:rPr>
        <w:rFonts w:ascii="Wingdings" w:hAnsi="Wingdings" w:hint="default"/>
        <w:color w:val="0099FF"/>
        <w:sz w:val="14"/>
        <w:szCs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11"/>
  </w:num>
  <w:num w:numId="4">
    <w:abstractNumId w:val="7"/>
  </w:num>
  <w:num w:numId="5">
    <w:abstractNumId w:val="1"/>
  </w:num>
  <w:num w:numId="6">
    <w:abstractNumId w:val="15"/>
  </w:num>
  <w:num w:numId="7">
    <w:abstractNumId w:val="3"/>
  </w:num>
  <w:num w:numId="8">
    <w:abstractNumId w:val="1"/>
  </w:num>
  <w:num w:numId="9">
    <w:abstractNumId w:val="6"/>
  </w:num>
  <w:num w:numId="10">
    <w:abstractNumId w:val="2"/>
  </w:num>
  <w:num w:numId="11">
    <w:abstractNumId w:val="9"/>
  </w:num>
  <w:num w:numId="12">
    <w:abstractNumId w:val="16"/>
  </w:num>
  <w:num w:numId="13">
    <w:abstractNumId w:val="4"/>
  </w:num>
  <w:num w:numId="14">
    <w:abstractNumId w:val="13"/>
  </w:num>
  <w:num w:numId="15">
    <w:abstractNumId w:val="14"/>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TrueTypeFonts/>
  <w:embedSystemFonts/>
  <w:saveSubset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2049" style="mso-position-horizontal-relative:page;mso-position-vertical-relative:page" fillcolor="white" stroke="f">
      <v:fill color="white"/>
      <v:stroke on="f"/>
      <v:textbox inset="0,0,0,0"/>
      <o:colormru v:ext="edit" colors="white,#ebebeb,#a0a0a0,#ddd,#999,#ccc,#bde9a7,#b3b3b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5_Lines" w:val="20"/>
    <w:docVar w:name="5_opt1Cols" w:val="0"/>
    <w:docVar w:name="5_opt2Cols" w:val="0"/>
    <w:docVar w:name="5_opt3Cols" w:val="1"/>
    <w:docVar w:name="5_OptBottom" w:val="0"/>
    <w:docVar w:name="5_OptTop" w:val="1"/>
    <w:docVar w:name="6_opt1Cols" w:val="1"/>
    <w:docVar w:name="6_opt2Cols" w:val="0"/>
    <w:docVar w:name="6_opt3Cols" w:val="0"/>
    <w:docVar w:name="6_OptBottom" w:val="1"/>
    <w:docVar w:name="6_OptTop" w:val="0"/>
    <w:docVar w:name="ACTIVATED" w:val="1"/>
    <w:docVar w:name="CHKITEM" w:val="0"/>
    <w:docVar w:name="ColorHalfRGB" w:val="16765585"/>
    <w:docVar w:name="ColorName" w:val="Blue"/>
    <w:docVar w:name="ColorRGB" w:val="13147936"/>
    <w:docVar w:name="ComboBox1_ListCount" w:val="0"/>
    <w:docVar w:name="ComboBox1_ListIndex" w:val="-1"/>
    <w:docVar w:name="lbColour_0_0" w:val="Blue"/>
    <w:docVar w:name="lbColour_0_1" w:val="13147936"/>
    <w:docVar w:name="lbColour_0_2" w:val="16765585"/>
    <w:docVar w:name="lbColour_0_SELECTED" w:val="-1"/>
    <w:docVar w:name="lbColour_1_0" w:val="Gray"/>
    <w:docVar w:name="lbColour_1_1" w:val="10526880"/>
    <w:docVar w:name="lbColour_1_2" w:val="12632256"/>
    <w:docVar w:name="lbColour_1_SELECTED" w:val="0"/>
    <w:docVar w:name="lbColour_2_0" w:val="Red"/>
    <w:docVar w:name="lbColour_2_1" w:val="3614106"/>
    <w:docVar w:name="lbColour_2_2" w:val="9019391"/>
    <w:docVar w:name="lbColour_2_SELECTED" w:val="0"/>
    <w:docVar w:name="lbColour_3_0" w:val="Green"/>
    <w:docVar w:name="lbColour_3_1" w:val="6337668"/>
    <w:docVar w:name="lbColour_3_2" w:val="11004349"/>
    <w:docVar w:name="lbColour_3_SELECTED" w:val="0"/>
    <w:docVar w:name="lbColour_4_0" w:val="Yellow1"/>
    <w:docVar w:name="lbColour_4_1" w:val="2982852"/>
    <w:docVar w:name="lbColour_4_2" w:val="12632256"/>
    <w:docVar w:name="lbColour_4_SELECTED" w:val="0"/>
    <w:docVar w:name="lbColour_5_0" w:val="Yellow2"/>
    <w:docVar w:name="lbColour_5_1" w:val="1164031"/>
    <w:docVar w:name="lbColour_5_2" w:val="12632256"/>
    <w:docVar w:name="lbColour_5_SELECTED" w:val="0"/>
    <w:docVar w:name="lbColour_6_0" w:val="Orange"/>
    <w:docVar w:name="lbColour_6_1" w:val="37870"/>
    <w:docVar w:name="lbColour_6_2" w:val="12632256"/>
    <w:docVar w:name="lbColour_6_SELECTED" w:val="0"/>
    <w:docVar w:name="lbColour_ListCount" w:val="7"/>
    <w:docVar w:name="lbColour_ListIndex" w:val="0"/>
    <w:docVar w:name="lbList_ListCount" w:val="0"/>
    <w:docVar w:name="lbList_ListIndex" w:val="-1"/>
    <w:docVar w:name="lbOffice_ListCount" w:val="0"/>
    <w:docVar w:name="lbOffice_ListIndex" w:val="-1"/>
    <w:docVar w:name="lbProductList_0_0" w:val=" DEFAULT"/>
    <w:docVar w:name="lbProductList_0_SELECTED" w:val="-1"/>
    <w:docVar w:name="lbProductList_1_0" w:val=".NET Framework 3.0"/>
    <w:docVar w:name="lbProductList_1_SELECTED" w:val="0"/>
    <w:docVar w:name="lbProductList_10_0" w:val="CMS"/>
    <w:docVar w:name="lbProductList_10_SELECTED" w:val="0"/>
    <w:docVar w:name="lbProductList_11_0" w:val="Commerce Server"/>
    <w:docVar w:name="lbProductList_11_SELECTED" w:val="0"/>
    <w:docVar w:name="lbProductList_12_0" w:val="Communications Sector"/>
    <w:docVar w:name="lbProductList_12_SELECTED" w:val="0"/>
    <w:docVar w:name="lbProductList_13_0" w:val="Dynamics"/>
    <w:docVar w:name="lbProductList_13_SELECTED" w:val="0"/>
    <w:docVar w:name="lbProductList_14_0" w:val="Enterprise Integration"/>
    <w:docVar w:name="lbProductList_14_SELECTED" w:val="0"/>
    <w:docVar w:name="lbProductList_15_0" w:val="Exchange 2003"/>
    <w:docVar w:name="lbProductList_15_SELECTED" w:val="0"/>
    <w:docVar w:name="lbProductList_16_0" w:val="Exchange 2007"/>
    <w:docVar w:name="lbProductList_16_SELECTED" w:val="0"/>
    <w:docVar w:name="lbProductList_17_0" w:val="Exchange 2010"/>
    <w:docVar w:name="lbProductList_17_SELECTED" w:val="0"/>
    <w:docVar w:name="lbProductList_18_0" w:val="Expression"/>
    <w:docVar w:name="lbProductList_18_SELECTED" w:val="0"/>
    <w:docVar w:name="lbProductList_19_0" w:val="Forefront"/>
    <w:docVar w:name="lbProductList_19_SELECTED" w:val="0"/>
    <w:docVar w:name="lbProductList_2_0" w:val=".NET"/>
    <w:docVar w:name="lbProductList_2_SELECTED" w:val="0"/>
    <w:docVar w:name="lbProductList_20_0" w:val="Groove Virtual Office"/>
    <w:docVar w:name="lbProductList_20_SELECTED" w:val="0"/>
    <w:docVar w:name="lbProductList_21_0" w:val="Higher Education"/>
    <w:docVar w:name="lbProductList_21_SELECTED" w:val="0"/>
    <w:docVar w:name="lbProductList_22_0" w:val="Internet Explorer 9"/>
    <w:docVar w:name="lbProductList_22_SELECTED" w:val="0"/>
    <w:docVar w:name="lbProductList_23_0" w:val="Interoperability"/>
    <w:docVar w:name="lbProductList_23_SELECTED" w:val="0"/>
    <w:docVar w:name="lbProductList_24_0" w:val="IO"/>
    <w:docVar w:name="lbProductList_24_SELECTED" w:val="0"/>
    <w:docVar w:name="lbProductList_25_0" w:val="ISA"/>
    <w:docVar w:name="lbProductList_25_SELECTED" w:val="0"/>
    <w:docVar w:name="lbProductList_26_0" w:val="ISV Royalty Licensing Program"/>
    <w:docVar w:name="lbProductList_26_SELECTED" w:val="0"/>
    <w:docVar w:name="lbProductList_27_0" w:val="Macintosh Business Unit"/>
    <w:docVar w:name="lbProductList_27_SELECTED" w:val="0"/>
    <w:docVar w:name="lbProductList_28_0" w:val="MBS"/>
    <w:docVar w:name="lbProductList_28_SELECTED" w:val="0"/>
    <w:docVar w:name="lbProductList_29_0" w:val="MCSE"/>
    <w:docVar w:name="lbProductList_29_SELECTED" w:val="0"/>
    <w:docVar w:name="lbProductList_3_0" w:val="Basic to Standardized"/>
    <w:docVar w:name="lbProductList_3_SELECTED" w:val="0"/>
    <w:docVar w:name="lbProductList_30_0" w:val="Microsoft Desktop Optimization Pack"/>
    <w:docVar w:name="lbProductList_30_SELECTED" w:val="0"/>
    <w:docVar w:name="lbProductList_31_0" w:val="Microsoft Financing"/>
    <w:docVar w:name="lbProductList_31_SELECTED" w:val="0"/>
    <w:docVar w:name="lbProductList_32_0" w:val="Microsoft Online Services"/>
    <w:docVar w:name="lbProductList_32_SELECTED" w:val="0"/>
    <w:docVar w:name="lbProductList_33_0" w:val="Microsoft Server"/>
    <w:docVar w:name="lbProductList_33_SELECTED" w:val="0"/>
    <w:docVar w:name="lbProductList_34_0" w:val="Microsoft Services"/>
    <w:docVar w:name="lbProductList_34_SELECTED" w:val="0"/>
    <w:docVar w:name="lbProductList_35_0" w:val="Microsoft Surface"/>
    <w:docVar w:name="lbProductList_35_SELECTED" w:val="0"/>
    <w:docVar w:name="lbProductList_36_0" w:val="MSA"/>
    <w:docVar w:name="lbProductList_36_SELECTED" w:val="0"/>
    <w:docVar w:name="lbProductList_37_0" w:val="MSPP"/>
    <w:docVar w:name="lbProductList_37_SELECTED" w:val="0"/>
    <w:docVar w:name="lbProductList_38_0" w:val="MTC"/>
    <w:docVar w:name="lbProductList_38_SELECTED" w:val="0"/>
    <w:docVar w:name="lbProductList_39_0" w:val="Office 365"/>
    <w:docVar w:name="lbProductList_39_SELECTED" w:val="0"/>
    <w:docVar w:name="lbProductList_4_0" w:val="BDM Financial Services"/>
    <w:docVar w:name="lbProductList_4_SELECTED" w:val="0"/>
    <w:docVar w:name="lbProductList_40_0" w:val="Office System"/>
    <w:docVar w:name="lbProductList_40_SELECTED" w:val="0"/>
    <w:docVar w:name="lbProductList_41_0" w:val="Portals"/>
    <w:docVar w:name="lbProductList_41_SELECTED" w:val="0"/>
    <w:docVar w:name="lbProductList_42_0" w:val="Project EPM"/>
    <w:docVar w:name="lbProductList_42_SELECTED" w:val="0"/>
    <w:docVar w:name="lbProductList_43_0" w:val="Project_Six_Sigma"/>
    <w:docVar w:name="lbProductList_43_SELECTED" w:val="0"/>
    <w:docVar w:name="lbProductList_44_0" w:val="Rationalized to Dynamic"/>
    <w:docVar w:name="lbProductList_44_SELECTED" w:val="0"/>
    <w:docVar w:name="lbProductList_45_0" w:val="RMS"/>
    <w:docVar w:name="lbProductList_45_SELECTED" w:val="0"/>
    <w:docVar w:name="lbProductList_46_0" w:val="SAM"/>
    <w:docVar w:name="lbProductList_46_SELECTED" w:val="0"/>
    <w:docVar w:name="lbProductList_47_0" w:val="Server Consolidation"/>
    <w:docVar w:name="lbProductList_47_SELECTED" w:val="0"/>
    <w:docVar w:name="lbProductList_48_0" w:val="Small Business Server 2003"/>
    <w:docVar w:name="lbProductList_48_SELECTED" w:val="0"/>
    <w:docVar w:name="lbProductList_49_0" w:val="SMS"/>
    <w:docVar w:name="lbProductList_49_SELECTED" w:val="0"/>
    <w:docVar w:name="lbProductList_5_0" w:val="BDM Healthcare Services"/>
    <w:docVar w:name="lbProductList_5_SELECTED" w:val="0"/>
    <w:docVar w:name="lbProductList_50_0" w:val="SMSG Readiness"/>
    <w:docVar w:name="lbProductList_50_SELECTED" w:val="0"/>
    <w:docVar w:name="lbProductList_51_0" w:val="SQL Server 2008 R2"/>
    <w:docVar w:name="lbProductList_51_SELECTED" w:val="0"/>
    <w:docVar w:name="lbProductList_52_0" w:val="SQL Server"/>
    <w:docVar w:name="lbProductList_52_SELECTED" w:val="0"/>
    <w:docVar w:name="lbProductList_53_0" w:val="Standardized to Rationalized"/>
    <w:docVar w:name="lbProductList_53_SELECTED" w:val="0"/>
    <w:docVar w:name="lbProductList_54_0" w:val="System Center 2007 R2"/>
    <w:docVar w:name="lbProductList_54_SELECTED" w:val="0"/>
    <w:docVar w:name="lbProductList_55_0" w:val="System Center"/>
    <w:docVar w:name="lbProductList_55_SELECTED" w:val="0"/>
    <w:docVar w:name="lbProductList_56_0" w:val="Virtual Earth"/>
    <w:docVar w:name="lbProductList_56_SELECTED" w:val="0"/>
    <w:docVar w:name="lbProductList_57_0" w:val="Virtualization"/>
    <w:docVar w:name="lbProductList_57_SELECTED" w:val="0"/>
    <w:docVar w:name="lbProductList_58_0" w:val="Visio"/>
    <w:docVar w:name="lbProductList_58_SELECTED" w:val="0"/>
    <w:docVar w:name="lbProductList_59_0" w:val="Visual Studio"/>
    <w:docVar w:name="lbProductList_59_SELECTED" w:val="0"/>
    <w:docVar w:name="lbProductList_6_0" w:val="BDM Manufacturing"/>
    <w:docVar w:name="lbProductList_6_SELECTED" w:val="0"/>
    <w:docVar w:name="lbProductList_60_0" w:val="Volume Licensing"/>
    <w:docVar w:name="lbProductList_60_SELECTED" w:val="0"/>
    <w:docVar w:name="lbProductList_61_0" w:val="Web Platform"/>
    <w:docVar w:name="lbProductList_61_SELECTED" w:val="0"/>
    <w:docVar w:name="lbProductList_62_0" w:val="Windows Desktop Search"/>
    <w:docVar w:name="lbProductList_62_SELECTED" w:val="0"/>
    <w:docVar w:name="lbProductList_63_0" w:val="Windows Intune"/>
    <w:docVar w:name="lbProductList_63_SELECTED" w:val="0"/>
    <w:docVar w:name="lbProductList_64_0" w:val="Windows Mobile"/>
    <w:docVar w:name="lbProductList_64_SELECTED" w:val="0"/>
    <w:docVar w:name="lbProductList_65_0" w:val="Windows Phone"/>
    <w:docVar w:name="lbProductList_65_SELECTED" w:val="0"/>
    <w:docVar w:name="lbProductList_66_0" w:val="Windows Server 2003 R2"/>
    <w:docVar w:name="lbProductList_66_SELECTED" w:val="0"/>
    <w:docVar w:name="lbProductList_67_0" w:val="Windows Server 2003"/>
    <w:docVar w:name="lbProductList_67_SELECTED" w:val="0"/>
    <w:docVar w:name="lbProductList_68_0" w:val="Windows Server 2008 R2"/>
    <w:docVar w:name="lbProductList_68_SELECTED" w:val="0"/>
    <w:docVar w:name="lbProductList_69_0" w:val="Windows Vista"/>
    <w:docVar w:name="lbProductList_69_SELECTED" w:val="0"/>
    <w:docVar w:name="lbProductList_7_0" w:val="BDM Retail"/>
    <w:docVar w:name="lbProductList_7_SELECTED" w:val="0"/>
    <w:docVar w:name="lbProductList_8_0" w:val="Bing Maps"/>
    <w:docVar w:name="lbProductList_8_SELECTED" w:val="0"/>
    <w:docVar w:name="lbProductList_9_0" w:val="Biztalk"/>
    <w:docVar w:name="lbProductList_9_SELECTED" w:val="0"/>
    <w:docVar w:name="lbProductList_ListCount" w:val="70"/>
    <w:docVar w:name="lbProductList_ListIndex" w:val="0"/>
    <w:docVar w:name="lbProductType_0_0" w:val="Blue - Corp"/>
    <w:docVar w:name="lbProductType_0_1" w:val="Blue"/>
    <w:docVar w:name="lbProductType_0_2" w:val="Corp"/>
    <w:docVar w:name="lbProductType_0_SELECTED" w:val="-1"/>
    <w:docVar w:name="lbProductType_1_0" w:val="Blue - Dynamics"/>
    <w:docVar w:name="lbProductType_1_1" w:val="Blue"/>
    <w:docVar w:name="lbProductType_1_2" w:val="Dynamics"/>
    <w:docVar w:name="lbProductType_1_SELECTED" w:val="0"/>
    <w:docVar w:name="lbProductType_10_0" w:val="Yellow - Expression"/>
    <w:docVar w:name="lbProductType_10_1" w:val="Yellow1"/>
    <w:docVar w:name="lbProductType_10_2" w:val="Yellow1"/>
    <w:docVar w:name="lbProductType_10_SELECTED" w:val="0"/>
    <w:docVar w:name="lbProductType_11_0" w:val="Yellow - Phone"/>
    <w:docVar w:name="lbProductType_11_1" w:val="Yellow2"/>
    <w:docVar w:name="lbProductType_11_2" w:val="Yellow2"/>
    <w:docVar w:name="lbProductType_11_SELECTED" w:val="0"/>
    <w:docVar w:name="lbProductType_12_0" w:val="Orange - Bing Maps"/>
    <w:docVar w:name="lbProductType_12_1" w:val="Orange"/>
    <w:docVar w:name="lbProductType_12_2" w:val="Orange"/>
    <w:docVar w:name="lbProductType_12_SELECTED" w:val="0"/>
    <w:docVar w:name="lbProductType_2_0" w:val="Blue - NET"/>
    <w:docVar w:name="lbProductType_2_1" w:val="Blue"/>
    <w:docVar w:name="lbProductType_2_2" w:val="Net"/>
    <w:docVar w:name="lbProductType_2_SELECTED" w:val="0"/>
    <w:docVar w:name="lbProductType_3_0" w:val="Blue - Services"/>
    <w:docVar w:name="lbProductType_3_1" w:val="Blue"/>
    <w:docVar w:name="lbProductType_3_2" w:val="Corp"/>
    <w:docVar w:name="lbProductType_3_SELECTED" w:val="0"/>
    <w:docVar w:name="lbProductType_4_0" w:val="Blue - Windows"/>
    <w:docVar w:name="lbProductType_4_1" w:val="Blue"/>
    <w:docVar w:name="lbProductType_4_2" w:val="WinGeneric"/>
    <w:docVar w:name="lbProductType_4_SELECTED" w:val="0"/>
    <w:docVar w:name="lbProductType_5_0" w:val="Gray - Servers"/>
    <w:docVar w:name="lbProductType_5_1" w:val="Gray"/>
    <w:docVar w:name="lbProductType_5_2" w:val="Server"/>
    <w:docVar w:name="lbProductType_5_SELECTED" w:val="0"/>
    <w:docVar w:name="lbProductType_6_0" w:val="Red - Office"/>
    <w:docVar w:name="lbProductType_6_1" w:val="Red"/>
    <w:docVar w:name="lbProductType_6_2" w:val="Office"/>
    <w:docVar w:name="lbProductType_6_SELECTED" w:val="0"/>
    <w:docVar w:name="lbProductType_7_0" w:val="Red - Surface"/>
    <w:docVar w:name="lbProductType_7_1" w:val="Red"/>
    <w:docVar w:name="lbProductType_7_2" w:val="Red"/>
    <w:docVar w:name="lbProductType_7_SELECTED" w:val="0"/>
    <w:docVar w:name="lbProductType_8_0" w:val="Red - MSPP"/>
    <w:docVar w:name="lbProductType_8_1" w:val="Red"/>
    <w:docVar w:name="lbProductType_8_2" w:val="Red"/>
    <w:docVar w:name="lbProductType_8_SELECTED" w:val="0"/>
    <w:docVar w:name="lbProductType_9_0" w:val="Green - Dev"/>
    <w:docVar w:name="lbProductType_9_1" w:val="Green"/>
    <w:docVar w:name="lbProductType_9_2" w:val="Green"/>
    <w:docVar w:name="lbProductType_9_SELECTED" w:val="0"/>
    <w:docVar w:name="lbProductType_ListCount" w:val="13"/>
    <w:docVar w:name="lbProductType_ListIndex" w:val="0"/>
    <w:docVar w:name="RERUN" w:val="1"/>
    <w:docVar w:name="tbDatePublished" w:val="February 2012"/>
    <w:docVar w:name="tbDisclaimer1" w:val="This case study is for informational purposes only. MICROSOFT MAKES NO WARRANTIES, EXPRESS OR IMPLIED, IN THIS SUMMARY."/>
    <w:docVar w:name="tbDocumentBenefits" w:val="While Microsoft is still in the early stages of its global ITAD policy rollout, its experience with Microsoft Canada is proving the value of that policy._x000d__x000a__x000d__x000a_The new ITAD practices are already keeping PCs out of landfills. Heck and his Microsoft Canada colleagues have high confidence in the data security and risk mitigation practices of CDI, so the new practices are supporting the Microsoft brand rather than undermining it. The ITAD program is also proving to be revenue-positive, as Microsoft hoped, creating funds to be distributed through a Microsoft donation program._x000d__x000a__x000d__x000a_The Benefits They Didn’t Expect_x000d__x000a_But the expected benefits aren’t the only ones that Microsoft is seeing. Heck says that the program, quite unexpectedly, is also boosting employee productivity and morale._x000d__x000a__x000d__x000a_The productivity gain results from a major change in the way that employees at Microsoft Canada respond to sudden PC failures. Previously, unused PCs were often retained under desks or in cabinets throughout the division. When employees experienced PC failures, they would often retrieve and attempt to work with these units. When new problems arose as a result, employees would turn to the Helpdesk, which was forced to attempt emergency repairs or expedite the purchase of replacement PCs—expensive processes that could take several days per incident. Productivity suffered in the business units and on the Helpdesk._x000d__x000a__x000d__x000a_With the new, centralized IT Lifecycle Management program, damaged PCs go to the Helpdesk rather than being stored around the division. The Helpdesk culls the PCs it can repair from those identified for refurbishment or recycling, and stores the repaired PCs in a central inventory. As PCs in the business units fail, the Helpdesk can immediately replace them out of that central inventory, saving employees the time otherwise lost around the former process. Heck estimates that for 1,400 “break-fix” incidents, Microsoft Canada will save CDN$231,000. That’s a modest sum to Microsoft, but one that will grow into significance as the new ITAD policy is rolled out globally._x000d__x000a__x000d__x000a_The company’s budget-watchers aren’t the only ones pleased by the change. So are the employees. “There’s a big increase in morale among those employees experiencing PC problems,” says Heck. “Now we can offer them a replacement PC immediately and fix the PC problem on a non-emergency—and lower-cost—basis. The stress that break-fix situations create is real, so any way we can avoid that stress will increase employee morale. We’re seeing it already in the customer satisfaction numbers coming out of our Helpdesk.”_x000d__x000a__x000d__x000a_Looking Ahead_x000d__x000a_As Microsoft continues to roll out its global ITAD strategy, it expects the benefits—in helping the environment and building brand value, in increasing data security and reducing risk, in expected and unexpected ways—all to continue. It expects to learn new lessons that will help it to further refine its policy for even greater results._x000d__x000a__x000d__x000a_And it’s also learning the answer to that question about where old PCs go to die. Increasingly, they don’t die at all; they rise again to a second, refurbished life that aids Microsoft, the beneficiaries of its donation program, and everyone who likes to drink water._x000d__x000a_"/>
    <w:docVar w:name="tbDocumentFirstPageBody" w:val="Obsolete PCs are the bane of quite a few existences. Figuring out what to do with them can be a drain on corporate time and money, and making mistakes can harm corporate interests as diverse as data security and brand value. Doing the wrong things with old PCs—such as dumping them—can create environmental and health hazards. You’d think that a company that helped to popularize the PC around the world would have some answers—and you’d be right. After using a decentralized approach to IT asset disposition, Microsoft is now implementing a single, global policy on the matter. The results from a Microsoft Canada pilot are proving once again that, in the words of Ralph Waldo Emerson, “doing well is the result of doing good.”_x000d__x000a_"/>
    <w:docVar w:name="tbDocumentIntroduction" w:val="We believe that sharing best practices on PC disposition and energy-smart computing are important to enabling a lower carbon future. ”"/>
    <w:docVar w:name="tbDocumentIntroductionCredit" w:val="T.J. DiCaprio, Senior Director, Worldwide Environmental Sustainability at Microsoft"/>
    <w:docVar w:name="tbDocumentSituation" w:val="Where do old PCs go to die?_x000d__x000a__x000d__x000a_The answer to that question is one of increasing importance not only to businesses worldwide—which must somehow dispose of their aging PCs every three-to-five years—but also to anyone, anywhere, who might drink groundwater that contains chemicals leached from PCs dumped in nearby landfills. _x000d__x000a__x000d__x000a_The problem of disposing of obsolete PCs is large and getting larger. Microsoft estimates that 200 to 230 million PCs are disposed of each year. Up to 76 million of those PCs could find their way into landfills, leading to the concern about contaminated water supplies. A significant amount of e-waste doesn’t even make it to a landfill—disposed PCs, unbeknownst to their former owners, are sometimes shipped to developing nations and simply dumped, in rivers, deserts, and elsewhere. _x000d__x000a__x000d__x000a_Beyond Environmental Damage_x000d__x000a_Beyond the environmental damage and health risks that such PC disposition engenders is tremendous financial risk. Anti-dumping regulations are growing more common throughout the world—as are the penalties for non-compliance. Perhaps even more dangerous to companies than the risk of financial penalties is the risk of a public relations disaster. The largest corporations may have the largest investments in their brands, but few companies of any size want to suffer the loss of brand equity that might well follow the exposure of environmental negligence. _x000d__x000a__x000d__x000a_Corporate risk managers and other executives need to have even more on their minds when they contemplate the disposition of old PCs, such as security. Have hard drives and other storage devices been irretrievably wiped of their data—or could proprietary information left on old PCs find their way to competitors? Does the data remaining on decommissioned PCs constitute a potential violation of Sarbanes-Oxley or the Health Insurance Portability and Accountability Act in the US, or of privacy standards of the European Union or other regions in which a company may do business?_x000d__x000a__x000d__x000a_PC disposition can represent more than obstacles to be overcome: It can also represent opportunities. Traditionally, companies have assumed that the PCs they decommission are no longer assets, that they no longer hold any value. But is that true? As new technologies are applied to old problems, companies are discovering solutions that either didn’t exist or weren’t cost-effective just a few years ago. Could the same principle turn formerly worthless PCs into assets and, if so, how should the corporation respond? _x000d__x000a__x000d__x000a_Microsoft: A Special Interest in ITAD Leadership _x000d__x000a_Microsoft is like most other companies throughout the world in needing to take these concerns into account when it disposes its decommissioned PCs. But it’s unlike most other companies in another respect: as a leader in the IT industry, it has a special interest in showing leadership on the issue of responsible IT asset distribution (ITAD). _x000d__x000a__x000d__x000a_“IT industry leaders, including Microsoft, have helped to make PCs ubiquitous throughout the world,” points out T.J. DiCaprio, Senior Director, Worldwide Environmental Sustainability at Microsoft. “That’s part of the reason that there are so many PCs today, and so many needing proper disposition each year. Now, Microsoft is  demonstrating responsible environmental leadership in a multifaceted approach to environmentally friendly computing. We continually work to improve the efficiency of our software, for example enhancing the power-management capabilities of Windowsto help reduce the energy consumption of PCs. We believe that sharing best practices on PC disposition and energy-smart computing are important to enabling a lower carbon future. ”_x000d__x000a__x000d__x000a_Needed: A Global Corporate Policy_x000d__x000a_Like many companies, Microsoft had operated without an enterprisewide policy on PC disposition and, more broadly, all ITAD. The company’s regional groups and divisions handled the issue each in its own way. Some paid for PC disposal; others gave PCs away. Some donated their old PCs—despite their sometimes less-than-useful conditions. Some had policies that put limits or outright prohibitions on the use of landfills. Others didn’t know what to do with their PCs—and stored them under desks and inside cabinets, awaiting a corporate policy they could follow. _x000d__x000a__x000d__x000a_This situation became increasingly untenable, of course. In 2011, Microsoft studied its various internal practices, consulted with environmental and other experts, and devised a global IT lifecycle management strategy, including implementing a single global ITAD policy, which it’s now rolling out worldwide. The Microsoft experience may be instructive for companies working through the same issues of responsible ITAD."/>
    <w:docVar w:name="tbDocumentSolution" w:val="The task of driving the global IT lifecycle management strategy, including asset disposition, fell to the company’s Global Procurement Group (GPG). _x000d__x000a__x000d__x000a_“We take a long view of ITAD,” says Karen Chalk, GPG Green IT Global Category Manager at Microsoft. “ITAD service providers have become an important link in the overall lifecycle management of IT equipment. The number and complexity of legislative mandates—often country- or region-specific—that cover the secure and environmentally proper disposal of IT equipment are growing rapidly, and the consequences of non-compliance are quickly gaining board-level attention”_x000d__x000a__x000d__x000a_Three Principles_x000d__x000a_Collaborating with colleagues in the company’s Environmental Sustainability, Information Technology, Citizenship, and Finance groups, GPG developed three core principles to guide the new IT Lifecycle Management strategy: data security, maximizing value, and environmental responsibility._x000d__x000a__x000d__x000a_“Put simply,” says Chalk, “our global program is designed to maximize return on IT investments while avoiding the risks of data loss and environmental non-compliance.”_x000d__x000a__x000d__x000a_Data security starts with data sanitization—whether PCs are removed from the network for disposal, resale, or redeployment—to ensure compliance with privacy and security requirements. To minimize chain-of-custody security risks, data sanitization is performed on-site, before PCs are removed from Microsoft premises. ITAD suppliers must use products that meet NIST (National Institute of Standards and Technology) standards and that guarantee secure data destruction of hard drives, disks, tapes, computers, and other data-bearing electronic equipment And they must provide certifiable proof of that destruction._x000d__x000a__x000d__x000a_Maximizing value means several things. First, it means a preference for refurbishing and reuse over recycling, to unlock more of a PC’s value. Microsoft replaces its PCs on a three-year cycle, and most of the decommissioned PCs can be reused. To increase the value of those PCs and to support the program goal that refurbished PCs should be fully functional, Microsoft requires that its ITAD suppliers install up-to-date Windows 7 software, licenses, and certificates of authentication. While Microsoft has a unique interest in installing genuine Windows software on its refurbished PCs, the practice should prove useful for any company that wants to maximize the value in, and return from, its refurbished PCs._x000d__x000a__x000d__x000a_To further generate value, Microsoft Global IT Lifecycle Management strategy calls for PC refurbishment and resale to the secondary market as a way to fund ITAD process costs—rendering the process cost-neutral—and for remaining revenue from those sales to be donated to nonprofit organizations._x000d__x000a__x000d__x000a_Minimizing risk is yet another way to maximize value. Microsoft uses its strategy to further this goal, too. For example, it confirms compliance not only with the environmental regulations of the countries in which it does business, but with their business and privacy regulations, as well. _x000d__x000a__x000d__x000a_Environmental responsibility naturally made it onto the list of key principles. But it doesn’t always mean what people think it means. Throughout much of the environmental movement, recycling is a key goal. When it comes to ITAD, recycling is second, and a poor second at that, to the goal of reuse. The difference: Recycling means disassembling a PC, shredding its parts, and separating its basic materials—glass, plastic, and metals—to be used elsewhere. It’s a relatively energy-intensive process that destroys much of the remaining value in the decommissioned PC. In contrast, reuse means refurbishing the PC to a fully functional state, so it can be sold into the secondary market or donated. The process has a smaller carbon footprint, keeps PCs and their components out of landfills, and maximizes the value remaining in the asset._x000d__x000a__x000d__x000a_Beyond a priority for reuse over recycling, the Microsoft ITAD strategy includes other key elements, chief among them zero landfill, zero incineration, and zero export of non-functioning assets. Microsoft ITAD suppliers must be ISO (International Standards Organization) 14001-certified, demonstrating their commitment to sustainable business practices, and must provide Microsoft with certified disposal and environmental reporting. _x000d__x000a__x000d__x000a_Microsoft Canada: Putting Strategy into Practice_x000d__x000a_To pilot and refine the implementation of its ITAD strategy, Microsoft is conducting a phased rollout that it started in 2011 and that it expects to continue throughout 2012. That rollout began with Microsoft Canada._x000d__x000a__x000d__x000a_One of the initial steps there was to use a strategic sourcing process to select an ITAD supplier. Microsoft already had an extensive list of best practice requirements ready for that supplier, based on the company’s own Microsoft Authorized Refurbisher (MAR) program. That program certifies refurbishers based on their ability to meet Microsoft program standards for environmental responsibility, data security, and compliance; and to refurbish at least 1,000 PCs per month. Some MARs offer additional services, such as donation and employee-purchase programs, end-to-end ITAD, trade-in programs, and warranties._x000d__x000a__x000d__x000a_To choose its MAR, GPG assembled a Microsoft Canada cross-functional project team including local representatives from Procurement, Finance, Information Technology, Citizenship and Real Estate &amp; Facilities. “Bringing in diverse viewpoints ensured a more robust discussion about how to implement the policy and what we needed in a vendor to support that implementation,” says Steve Heck, CIO, Microsoft Canada. _x000d__x000a__x000d__x000a_The strategic sourcing project the project team selected CDI Computers, a MAR that sells refurbished PCs to more than 9,000 schools throughout Canada and the US. “We chose CDI because of its ability to implement a broad but centralized IT asset disposition program, and one that is completely transparent, keeping us in full control of the process and our assets,” says Heck._x000d__x000a__x000d__x000a_CDI collects Microsoft IT assets in several ways. To kick off the program, Microsoft Canada arranged for CDI to pick up the backlog of about 200 decommissioned PCs that had accumulated around the division. On a continuing basis, CDI removes both PCs and smaller items—hard drives, keyboards, and “anything with a plug on it,” according to Jim Drohan, Vice President, Business Development at CDI—from bins placed at locations throughout the Microsoft Canada facilities. CDI transports the IT assets to its own facility using security-cleared staff and following ISO secure-shipping practices._x000d__x000a__x000d__x000a_CDI conducts visual and electronic inspections of the PCs and other IT assets and then conducts triage. PCs that are too old or damaged for refurbishment have their hard drives wiped clean and are set aside and held securely pending shredding and the separation of their base materials. PCs to be given a second life also receive a NSIT-level disk wipe, and then move along a CDI process line for both cosmetic repair and replacement or repair of damaged components (see figure 1). _x000d__x000a__x000d__x000a__x000d__x000a_ _x000d__x000a_Figure 1: Once CDI identifies PCs qualified for refurbishment, it moves them along a line in which workers address any cosmetic damage, then repair or replace damaged components._x000d__x000a__x000d__x000a_These PCs then receive newly licensed Windows 7 and Microsoft Office software, and any additional memory or other hardware upgrades that will be needed for their intended secondary markets. The PCs are sold to schools, VARs, and other customers, with the proceeds funding the refurbishment process. Excess funds will be donated to Microsoft-designated beneficiaries."/>
    <w:docVar w:name="tbDocumentTitle" w:val="Microsoft Gives Old PCs New Life, Boosting Environment, Reducing Risk"/>
    <w:docVar w:name="tbOverviewBenefits1" w:val="dfasfs"/>
    <w:docVar w:name="tbOverviewBenefits2" w:val="asdfsda"/>
    <w:docVar w:name="tbOverviewBenefits3" w:val="adfdsafds"/>
    <w:docVar w:name="tbOverviewBusinessSituation" w:val="adfdsffdsaf"/>
    <w:docVar w:name="tbOverviewCountry" w:val="United States"/>
    <w:docVar w:name="tbOverviewCustomerProfile" w:val="affsdfasdf"/>
    <w:docVar w:name="tbOverviewIndustry" w:val="Manufacturing -- High tech"/>
    <w:docVar w:name="tbOverviewSolution" w:val="ffdsafdsfds"/>
    <w:docVar w:name="tbPartnerName" w:val="CDI Computers"/>
    <w:docVar w:name="tbPartnerURL" w:val="www.cdicomputers.com"/>
    <w:docVar w:name="tbProductBoilerplateText" w:val="Boilerplate Text"/>
    <w:docVar w:name="tbProductBoilerplateTitle" w:val="Boilerplate Title"/>
    <w:docVar w:name="tbProductTitle" w:val="Microsoft Customer Solution_x000d__x000a_Customer Solution Case Study"/>
  </w:docVars>
  <w:rsids>
    <w:rsidRoot w:val="00917F5B"/>
    <w:rsid w:val="000006E8"/>
    <w:rsid w:val="00026534"/>
    <w:rsid w:val="00056AA8"/>
    <w:rsid w:val="00056E78"/>
    <w:rsid w:val="00057A9B"/>
    <w:rsid w:val="00096915"/>
    <w:rsid w:val="000B3311"/>
    <w:rsid w:val="000E56E4"/>
    <w:rsid w:val="0011510E"/>
    <w:rsid w:val="001339A1"/>
    <w:rsid w:val="00186FC7"/>
    <w:rsid w:val="001A74AB"/>
    <w:rsid w:val="001B6865"/>
    <w:rsid w:val="001C2AED"/>
    <w:rsid w:val="001E0140"/>
    <w:rsid w:val="00202E69"/>
    <w:rsid w:val="0025550E"/>
    <w:rsid w:val="00257759"/>
    <w:rsid w:val="00265EE1"/>
    <w:rsid w:val="00283CE9"/>
    <w:rsid w:val="00285446"/>
    <w:rsid w:val="00290BBC"/>
    <w:rsid w:val="002E40AA"/>
    <w:rsid w:val="002F19BE"/>
    <w:rsid w:val="003119F1"/>
    <w:rsid w:val="003215C7"/>
    <w:rsid w:val="003667C2"/>
    <w:rsid w:val="0037079C"/>
    <w:rsid w:val="003C4089"/>
    <w:rsid w:val="003E1013"/>
    <w:rsid w:val="00406277"/>
    <w:rsid w:val="00406371"/>
    <w:rsid w:val="00422965"/>
    <w:rsid w:val="004804EA"/>
    <w:rsid w:val="004A5847"/>
    <w:rsid w:val="00500DAB"/>
    <w:rsid w:val="00535330"/>
    <w:rsid w:val="005370B2"/>
    <w:rsid w:val="005408D3"/>
    <w:rsid w:val="005522C0"/>
    <w:rsid w:val="00573B55"/>
    <w:rsid w:val="005979E3"/>
    <w:rsid w:val="005B3216"/>
    <w:rsid w:val="005C01B3"/>
    <w:rsid w:val="005E49C0"/>
    <w:rsid w:val="0065016F"/>
    <w:rsid w:val="006825B8"/>
    <w:rsid w:val="006A1419"/>
    <w:rsid w:val="006A5AD4"/>
    <w:rsid w:val="006E5542"/>
    <w:rsid w:val="006F7055"/>
    <w:rsid w:val="007247D3"/>
    <w:rsid w:val="00726138"/>
    <w:rsid w:val="007660E8"/>
    <w:rsid w:val="0077065E"/>
    <w:rsid w:val="007A75EB"/>
    <w:rsid w:val="008024B2"/>
    <w:rsid w:val="00813109"/>
    <w:rsid w:val="00815BA0"/>
    <w:rsid w:val="00847D42"/>
    <w:rsid w:val="0086399B"/>
    <w:rsid w:val="008657EB"/>
    <w:rsid w:val="00891C02"/>
    <w:rsid w:val="008B7AAA"/>
    <w:rsid w:val="008D79B8"/>
    <w:rsid w:val="00917F5B"/>
    <w:rsid w:val="0095051D"/>
    <w:rsid w:val="00951B6F"/>
    <w:rsid w:val="009534CB"/>
    <w:rsid w:val="00957AA2"/>
    <w:rsid w:val="00985AC7"/>
    <w:rsid w:val="00993FE9"/>
    <w:rsid w:val="00996F31"/>
    <w:rsid w:val="009A3B28"/>
    <w:rsid w:val="009A54A9"/>
    <w:rsid w:val="009B4FFB"/>
    <w:rsid w:val="009C721C"/>
    <w:rsid w:val="009C7FB0"/>
    <w:rsid w:val="009F6063"/>
    <w:rsid w:val="00A1096F"/>
    <w:rsid w:val="00A20283"/>
    <w:rsid w:val="00A33649"/>
    <w:rsid w:val="00A46D64"/>
    <w:rsid w:val="00A63B37"/>
    <w:rsid w:val="00A64ED4"/>
    <w:rsid w:val="00A804C4"/>
    <w:rsid w:val="00A8123F"/>
    <w:rsid w:val="00A95AEB"/>
    <w:rsid w:val="00AA6A9C"/>
    <w:rsid w:val="00AB4CB2"/>
    <w:rsid w:val="00AC5879"/>
    <w:rsid w:val="00B27B79"/>
    <w:rsid w:val="00B53E6D"/>
    <w:rsid w:val="00B73B29"/>
    <w:rsid w:val="00B834F3"/>
    <w:rsid w:val="00B85E7B"/>
    <w:rsid w:val="00B92AD9"/>
    <w:rsid w:val="00BB5F7F"/>
    <w:rsid w:val="00BD0DC6"/>
    <w:rsid w:val="00BD4597"/>
    <w:rsid w:val="00BE45F4"/>
    <w:rsid w:val="00BF1F92"/>
    <w:rsid w:val="00C03D86"/>
    <w:rsid w:val="00C04668"/>
    <w:rsid w:val="00C055BB"/>
    <w:rsid w:val="00C40E49"/>
    <w:rsid w:val="00C4702D"/>
    <w:rsid w:val="00CB6390"/>
    <w:rsid w:val="00CC276E"/>
    <w:rsid w:val="00CC41AB"/>
    <w:rsid w:val="00CC605A"/>
    <w:rsid w:val="00CD5B93"/>
    <w:rsid w:val="00D02BD9"/>
    <w:rsid w:val="00D2749E"/>
    <w:rsid w:val="00D77710"/>
    <w:rsid w:val="00D90AAA"/>
    <w:rsid w:val="00DF030C"/>
    <w:rsid w:val="00DF69C1"/>
    <w:rsid w:val="00E0022C"/>
    <w:rsid w:val="00E14487"/>
    <w:rsid w:val="00E161D1"/>
    <w:rsid w:val="00E27EAF"/>
    <w:rsid w:val="00E428D1"/>
    <w:rsid w:val="00E42EB0"/>
    <w:rsid w:val="00E43550"/>
    <w:rsid w:val="00E44D16"/>
    <w:rsid w:val="00E80EAF"/>
    <w:rsid w:val="00EE2FFD"/>
    <w:rsid w:val="00EE7C69"/>
    <w:rsid w:val="00F374B5"/>
    <w:rsid w:val="00F37587"/>
    <w:rsid w:val="00F45B7B"/>
    <w:rsid w:val="00F54DC3"/>
    <w:rsid w:val="00F57D23"/>
    <w:rsid w:val="00F844DF"/>
    <w:rsid w:val="00F95A26"/>
    <w:rsid w:val="00FB1080"/>
    <w:rsid w:val="00FB78EC"/>
    <w:rsid w:val="00FE1772"/>
    <w:rsid w:val="00FF7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color="white" stroke="f">
      <v:fill color="white"/>
      <v:stroke on="f"/>
      <v:textbox inset="0,0,0,0"/>
      <o:colormru v:ext="edit" colors="white,#ebebeb,#a0a0a0,#ddd,#999,#ccc,#bde9a7,#b3b3b3"/>
    </o:shapedefaults>
    <o:shapelayout v:ext="edit">
      <o:idmap v:ext="edit" data="1"/>
    </o:shapelayout>
  </w:shapeDefaults>
  <w:decimalSymbol w:val=","/>
  <w:listSeparator w:val=";"/>
  <w15:docId w15:val="{E9295777-7F7F-403D-B11A-21211186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96915"/>
    <w:rPr>
      <w:rFonts w:ascii="Segoe UI" w:hAnsi="Segoe UI" w:cs="Segoe UI"/>
      <w:sz w:val="17"/>
      <w:szCs w:val="24"/>
      <w:lang w:val="en-GB"/>
    </w:rPr>
  </w:style>
  <w:style w:type="paragraph" w:styleId="Cmsor1">
    <w:name w:val="heading 1"/>
    <w:basedOn w:val="Norml"/>
    <w:next w:val="Norml"/>
    <w:qFormat/>
    <w:pPr>
      <w:keepNext/>
      <w:spacing w:before="240" w:after="60"/>
      <w:jc w:val="both"/>
      <w:outlineLvl w:val="0"/>
    </w:pPr>
    <w:rPr>
      <w:b/>
      <w:kern w:val="28"/>
      <w:sz w:val="28"/>
      <w:szCs w:val="20"/>
      <w:lang w:bidi="he-IL"/>
    </w:rPr>
  </w:style>
  <w:style w:type="paragraph" w:styleId="Cmsor2">
    <w:name w:val="heading 2"/>
    <w:basedOn w:val="Cmsor1"/>
    <w:next w:val="Norml"/>
    <w:qFormat/>
    <w:pPr>
      <w:tabs>
        <w:tab w:val="num" w:pos="360"/>
      </w:tabs>
      <w:spacing w:after="240"/>
      <w:jc w:val="left"/>
      <w:outlineLvl w:val="1"/>
    </w:pPr>
    <w:rPr>
      <w:kern w:val="0"/>
      <w:sz w:val="26"/>
    </w:rPr>
  </w:style>
  <w:style w:type="paragraph" w:styleId="Cmsor3">
    <w:name w:val="heading 3"/>
    <w:basedOn w:val="Norml"/>
    <w:next w:val="Norml"/>
    <w:qFormat/>
    <w:pPr>
      <w:keepNext/>
      <w:numPr>
        <w:ilvl w:val="2"/>
        <w:numId w:val="6"/>
      </w:numPr>
      <w:tabs>
        <w:tab w:val="clear" w:pos="720"/>
        <w:tab w:val="num" w:pos="360"/>
      </w:tabs>
      <w:spacing w:before="240" w:after="60"/>
      <w:ind w:left="360" w:hanging="360"/>
      <w:outlineLvl w:val="2"/>
    </w:pPr>
    <w:rPr>
      <w:sz w:val="24"/>
      <w:szCs w:val="20"/>
      <w:lang w:bidi="he-IL"/>
    </w:rPr>
  </w:style>
  <w:style w:type="paragraph" w:styleId="Cmsor4">
    <w:name w:val="heading 4"/>
    <w:basedOn w:val="Norml"/>
    <w:next w:val="Norml"/>
    <w:qFormat/>
    <w:pPr>
      <w:keepNext/>
      <w:spacing w:before="240" w:after="60"/>
      <w:outlineLvl w:val="3"/>
    </w:pPr>
    <w:rPr>
      <w:b/>
      <w:sz w:val="24"/>
      <w:szCs w:val="20"/>
      <w:lang w:bidi="he-I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ode">
    <w:name w:val="Code"/>
    <w:basedOn w:val="Norml"/>
    <w:pPr>
      <w:ind w:left="1134"/>
    </w:pPr>
    <w:rPr>
      <w:sz w:val="20"/>
    </w:rPr>
  </w:style>
  <w:style w:type="paragraph" w:styleId="llb">
    <w:name w:val="footer"/>
    <w:basedOn w:val="Norml"/>
    <w:pPr>
      <w:tabs>
        <w:tab w:val="center" w:pos="4153"/>
        <w:tab w:val="right" w:pos="8306"/>
      </w:tabs>
    </w:pPr>
  </w:style>
  <w:style w:type="paragraph" w:styleId="lfej">
    <w:name w:val="header"/>
    <w:basedOn w:val="Norml"/>
    <w:pPr>
      <w:tabs>
        <w:tab w:val="center" w:pos="4153"/>
        <w:tab w:val="right" w:pos="8306"/>
      </w:tabs>
      <w:jc w:val="both"/>
    </w:pPr>
    <w:rPr>
      <w:sz w:val="16"/>
      <w:szCs w:val="20"/>
      <w:lang w:bidi="he-IL"/>
    </w:rPr>
  </w:style>
  <w:style w:type="paragraph" w:styleId="Feladcmebortkon">
    <w:name w:val="envelope return"/>
    <w:basedOn w:val="Norml"/>
    <w:rPr>
      <w:i/>
      <w:sz w:val="48"/>
      <w:szCs w:val="48"/>
    </w:rPr>
  </w:style>
  <w:style w:type="paragraph" w:styleId="Jegyzetszveg">
    <w:name w:val="annotation text"/>
    <w:basedOn w:val="Norml"/>
    <w:semiHidden/>
    <w:rPr>
      <w:sz w:val="24"/>
    </w:rPr>
  </w:style>
  <w:style w:type="paragraph" w:customStyle="1" w:styleId="Answer">
    <w:name w:val="Answer"/>
    <w:basedOn w:val="Norml"/>
    <w:next w:val="Question"/>
    <w:pPr>
      <w:numPr>
        <w:numId w:val="3"/>
      </w:numPr>
    </w:pPr>
    <w:rPr>
      <w:i/>
    </w:rPr>
  </w:style>
  <w:style w:type="paragraph" w:customStyle="1" w:styleId="Question">
    <w:name w:val="Question"/>
    <w:basedOn w:val="Norml"/>
    <w:next w:val="Answer"/>
    <w:pPr>
      <w:numPr>
        <w:numId w:val="2"/>
      </w:numPr>
    </w:pPr>
  </w:style>
  <w:style w:type="paragraph" w:customStyle="1" w:styleId="Bodycopy">
    <w:name w:val="Body copy"/>
    <w:basedOn w:val="Norml"/>
    <w:rsid w:val="008D79B8"/>
    <w:pPr>
      <w:spacing w:line="240" w:lineRule="exact"/>
    </w:pPr>
    <w:rPr>
      <w:color w:val="323232"/>
      <w:lang w:val="en-US"/>
    </w:rPr>
  </w:style>
  <w:style w:type="paragraph" w:customStyle="1" w:styleId="SectionHeading">
    <w:name w:val="Section Heading"/>
    <w:basedOn w:val="ColoredText"/>
    <w:next w:val="Bodycopy"/>
    <w:rsid w:val="008657EB"/>
    <w:pPr>
      <w:keepNext/>
    </w:pPr>
    <w:rPr>
      <w:sz w:val="24"/>
    </w:rPr>
  </w:style>
  <w:style w:type="paragraph" w:customStyle="1" w:styleId="Subject">
    <w:name w:val="Subject"/>
    <w:basedOn w:val="Norml"/>
    <w:pPr>
      <w:jc w:val="center"/>
    </w:pPr>
    <w:rPr>
      <w:b/>
      <w:sz w:val="32"/>
      <w:u w:val="single"/>
    </w:rPr>
  </w:style>
  <w:style w:type="paragraph" w:styleId="Csakszveg">
    <w:name w:val="Plain Text"/>
    <w:basedOn w:val="Norml"/>
    <w:rPr>
      <w:sz w:val="22"/>
    </w:rPr>
  </w:style>
  <w:style w:type="paragraph" w:customStyle="1" w:styleId="MergedAnswer">
    <w:name w:val="MergedAnswer"/>
    <w:basedOn w:val="Norml"/>
  </w:style>
  <w:style w:type="paragraph" w:styleId="TJ2">
    <w:name w:val="toc 2"/>
    <w:basedOn w:val="Norml"/>
    <w:next w:val="Norml"/>
    <w:autoRedefine/>
    <w:semiHidden/>
    <w:pPr>
      <w:widowControl w:val="0"/>
      <w:numPr>
        <w:numId w:val="4"/>
      </w:numPr>
      <w:tabs>
        <w:tab w:val="left" w:pos="851"/>
        <w:tab w:val="right" w:pos="8335"/>
      </w:tabs>
      <w:ind w:left="0" w:firstLine="0"/>
    </w:pPr>
    <w:rPr>
      <w:rFonts w:eastAsia="PMingLiU"/>
      <w:kern w:val="2"/>
      <w:sz w:val="40"/>
      <w:lang w:val="en-US" w:eastAsia="zh-TW"/>
    </w:rPr>
  </w:style>
  <w:style w:type="paragraph" w:customStyle="1" w:styleId="StandFirstIntroduction">
    <w:name w:val="Stand First Introduction"/>
    <w:basedOn w:val="Norml"/>
    <w:rsid w:val="000E56E4"/>
    <w:pPr>
      <w:spacing w:line="360" w:lineRule="exact"/>
    </w:pPr>
    <w:rPr>
      <w:color w:val="323232"/>
      <w:sz w:val="24"/>
    </w:rPr>
  </w:style>
  <w:style w:type="paragraph" w:customStyle="1" w:styleId="PartnerName">
    <w:name w:val="Partner Name"/>
    <w:basedOn w:val="ColoredText"/>
    <w:pPr>
      <w:spacing w:after="10" w:line="240" w:lineRule="auto"/>
    </w:pPr>
    <w:rPr>
      <w:bCs/>
      <w:sz w:val="32"/>
    </w:rPr>
  </w:style>
  <w:style w:type="paragraph" w:customStyle="1" w:styleId="WHITEPAPER">
    <w:name w:val="WHITE PAPER"/>
    <w:basedOn w:val="ColoredText"/>
    <w:pPr>
      <w:spacing w:before="100" w:line="240" w:lineRule="auto"/>
      <w:jc w:val="right"/>
    </w:pPr>
    <w:rPr>
      <w:sz w:val="14"/>
    </w:rPr>
  </w:style>
  <w:style w:type="paragraph" w:customStyle="1" w:styleId="Tabletextheading">
    <w:name w:val="Table text heading"/>
    <w:basedOn w:val="Norml"/>
    <w:next w:val="Tabletext"/>
    <w:rsid w:val="00F45B7B"/>
    <w:pPr>
      <w:spacing w:before="40" w:after="20"/>
    </w:pPr>
    <w:rPr>
      <w:b/>
      <w:bCs/>
      <w:color w:val="323232"/>
    </w:rPr>
  </w:style>
  <w:style w:type="paragraph" w:customStyle="1" w:styleId="Bullet">
    <w:name w:val="Bullet"/>
    <w:rsid w:val="008D79B8"/>
    <w:pPr>
      <w:numPr>
        <w:numId w:val="10"/>
      </w:numPr>
      <w:tabs>
        <w:tab w:val="clear" w:pos="360"/>
        <w:tab w:val="left" w:pos="170"/>
      </w:tabs>
      <w:spacing w:line="240" w:lineRule="exact"/>
      <w:ind w:left="181" w:hanging="181"/>
    </w:pPr>
    <w:rPr>
      <w:rFonts w:ascii="Segoe UI" w:hAnsi="Segoe UI" w:cs="Segoe UI"/>
      <w:color w:val="323232"/>
      <w:sz w:val="17"/>
      <w:szCs w:val="17"/>
    </w:rPr>
  </w:style>
  <w:style w:type="paragraph" w:customStyle="1" w:styleId="Bodycopyheading">
    <w:name w:val="Body copy heading"/>
    <w:basedOn w:val="Bodycopy"/>
    <w:next w:val="Bodycopy"/>
    <w:rsid w:val="00C03D86"/>
    <w:rPr>
      <w:b/>
      <w:szCs w:val="17"/>
    </w:rPr>
  </w:style>
  <w:style w:type="paragraph" w:customStyle="1" w:styleId="Disclaimer">
    <w:name w:val="Disclaimer"/>
    <w:basedOn w:val="Bodycopy"/>
    <w:rsid w:val="00C03D86"/>
    <w:pPr>
      <w:spacing w:line="120" w:lineRule="exact"/>
    </w:pPr>
    <w:rPr>
      <w:sz w:val="12"/>
    </w:rPr>
  </w:style>
  <w:style w:type="paragraph" w:customStyle="1" w:styleId="Pullquote">
    <w:name w:val="Pull quote"/>
    <w:basedOn w:val="ColoredText"/>
    <w:rsid w:val="000E56E4"/>
    <w:pPr>
      <w:spacing w:line="400" w:lineRule="exact"/>
    </w:pPr>
    <w:rPr>
      <w:sz w:val="28"/>
    </w:rPr>
  </w:style>
  <w:style w:type="paragraph" w:customStyle="1" w:styleId="Diagramcaption">
    <w:name w:val="Diagram caption"/>
    <w:basedOn w:val="ColoredText"/>
    <w:rPr>
      <w:sz w:val="19"/>
    </w:rPr>
  </w:style>
  <w:style w:type="paragraph" w:styleId="TJ1">
    <w:name w:val="toc 1"/>
    <w:basedOn w:val="Norml"/>
    <w:next w:val="Norml"/>
    <w:semiHidden/>
    <w:pPr>
      <w:tabs>
        <w:tab w:val="right" w:pos="3289"/>
      </w:tabs>
      <w:spacing w:line="360" w:lineRule="exact"/>
    </w:pPr>
    <w:rPr>
      <w:noProof/>
      <w:color w:val="FFFFFF"/>
      <w:sz w:val="24"/>
    </w:rPr>
  </w:style>
  <w:style w:type="paragraph" w:styleId="TJ3">
    <w:name w:val="toc 3"/>
    <w:basedOn w:val="Norml"/>
    <w:next w:val="Norml"/>
    <w:autoRedefine/>
    <w:semiHidden/>
    <w:pPr>
      <w:ind w:left="440"/>
    </w:pPr>
  </w:style>
  <w:style w:type="paragraph" w:styleId="TJ4">
    <w:name w:val="toc 4"/>
    <w:basedOn w:val="Norml"/>
    <w:next w:val="Norml"/>
    <w:autoRedefine/>
    <w:semiHidden/>
    <w:pPr>
      <w:ind w:left="660"/>
    </w:pPr>
  </w:style>
  <w:style w:type="paragraph" w:styleId="TJ5">
    <w:name w:val="toc 5"/>
    <w:basedOn w:val="Norml"/>
    <w:next w:val="Norml"/>
    <w:autoRedefine/>
    <w:semiHidden/>
    <w:pPr>
      <w:ind w:left="880"/>
    </w:pPr>
  </w:style>
  <w:style w:type="paragraph" w:styleId="TJ6">
    <w:name w:val="toc 6"/>
    <w:basedOn w:val="Norml"/>
    <w:next w:val="Norml"/>
    <w:autoRedefine/>
    <w:semiHidden/>
    <w:pPr>
      <w:ind w:left="1100"/>
    </w:pPr>
  </w:style>
  <w:style w:type="paragraph" w:styleId="TJ7">
    <w:name w:val="toc 7"/>
    <w:basedOn w:val="Norml"/>
    <w:next w:val="Norml"/>
    <w:autoRedefine/>
    <w:semiHidden/>
    <w:pPr>
      <w:ind w:left="1320"/>
    </w:pPr>
  </w:style>
  <w:style w:type="paragraph" w:styleId="TJ8">
    <w:name w:val="toc 8"/>
    <w:basedOn w:val="Norml"/>
    <w:next w:val="Norml"/>
    <w:autoRedefine/>
    <w:semiHidden/>
    <w:pPr>
      <w:ind w:left="1540"/>
    </w:pPr>
  </w:style>
  <w:style w:type="paragraph" w:styleId="TJ9">
    <w:name w:val="toc 9"/>
    <w:basedOn w:val="Norml"/>
    <w:next w:val="Norml"/>
    <w:autoRedefine/>
    <w:semiHidden/>
    <w:pPr>
      <w:ind w:left="1760"/>
    </w:pPr>
  </w:style>
  <w:style w:type="character" w:styleId="Hiperhivatkozs">
    <w:name w:val="Hyperlink"/>
    <w:basedOn w:val="Bekezdsalapbettpusa"/>
    <w:uiPriority w:val="99"/>
    <w:rsid w:val="00C03D86"/>
    <w:rPr>
      <w:rFonts w:ascii="Segoe UI" w:hAnsi="Segoe UI" w:cs="Segoe UI"/>
      <w:color w:val="209FC8"/>
      <w:u w:val="single"/>
    </w:rPr>
  </w:style>
  <w:style w:type="paragraph" w:customStyle="1" w:styleId="AutoCorrect">
    <w:name w:val="AutoCorrect"/>
    <w:rPr>
      <w:rFonts w:ascii="Segoe UI" w:hAnsi="Segoe UI" w:cs="Segoe UI"/>
      <w:lang w:val="en-GB" w:bidi="he-IL"/>
    </w:rPr>
  </w:style>
  <w:style w:type="paragraph" w:styleId="Szvegtrzs">
    <w:name w:val="Body Text"/>
    <w:basedOn w:val="Norml"/>
    <w:pPr>
      <w:spacing w:after="120"/>
    </w:pPr>
    <w:rPr>
      <w:snapToGrid w:val="0"/>
      <w:sz w:val="20"/>
      <w:szCs w:val="20"/>
      <w:lang w:val="en-US" w:bidi="he-IL"/>
    </w:rPr>
  </w:style>
  <w:style w:type="paragraph" w:customStyle="1" w:styleId="Bulletcolored">
    <w:name w:val="Bullet colored"/>
    <w:rsid w:val="008D79B8"/>
    <w:pPr>
      <w:numPr>
        <w:numId w:val="14"/>
      </w:numPr>
    </w:pPr>
    <w:rPr>
      <w:rFonts w:ascii="Segoe UI" w:hAnsi="Segoe UI" w:cs="Segoe UI"/>
      <w:color w:val="323232"/>
      <w:sz w:val="17"/>
      <w:szCs w:val="24"/>
    </w:rPr>
  </w:style>
  <w:style w:type="paragraph" w:customStyle="1" w:styleId="ColoredText">
    <w:name w:val="Colored Text"/>
    <w:basedOn w:val="Bodycopy"/>
    <w:rPr>
      <w:color w:val="209FC8"/>
    </w:rPr>
  </w:style>
  <w:style w:type="paragraph" w:customStyle="1" w:styleId="DocumentTitle">
    <w:name w:val="Document Title"/>
    <w:basedOn w:val="ColoredText"/>
    <w:rsid w:val="000E56E4"/>
    <w:pPr>
      <w:spacing w:line="440" w:lineRule="exact"/>
    </w:pPr>
    <w:rPr>
      <w:color w:val="auto"/>
      <w:sz w:val="32"/>
    </w:rPr>
  </w:style>
  <w:style w:type="paragraph" w:customStyle="1" w:styleId="Tableheading">
    <w:name w:val="Table heading"/>
    <w:basedOn w:val="ColoredText"/>
    <w:rPr>
      <w:bCs/>
    </w:rPr>
  </w:style>
  <w:style w:type="paragraph" w:customStyle="1" w:styleId="Bulletbold">
    <w:name w:val="Bullet bold"/>
    <w:basedOn w:val="Bullet"/>
    <w:pPr>
      <w:numPr>
        <w:numId w:val="9"/>
      </w:numPr>
    </w:pPr>
  </w:style>
  <w:style w:type="paragraph" w:customStyle="1" w:styleId="Contents">
    <w:name w:val="Contents"/>
    <w:basedOn w:val="Bodycopy"/>
    <w:pPr>
      <w:spacing w:line="480" w:lineRule="exact"/>
    </w:pPr>
    <w:rPr>
      <w:color w:val="FFFFFF"/>
      <w:sz w:val="30"/>
    </w:rPr>
  </w:style>
  <w:style w:type="character" w:styleId="Oldalszm">
    <w:name w:val="page number"/>
    <w:basedOn w:val="Bekezdsalapbettpusa"/>
    <w:rPr>
      <w:rFonts w:ascii="Segoe UI" w:hAnsi="Segoe UI" w:cs="Segoe UI"/>
      <w:spacing w:val="20"/>
      <w:sz w:val="16"/>
    </w:rPr>
  </w:style>
  <w:style w:type="paragraph" w:customStyle="1" w:styleId="Tabletext">
    <w:name w:val="Table text"/>
    <w:basedOn w:val="Bodycopy"/>
    <w:rsid w:val="00F45B7B"/>
    <w:pPr>
      <w:spacing w:after="40"/>
    </w:pPr>
  </w:style>
  <w:style w:type="paragraph" w:customStyle="1" w:styleId="OrangeText">
    <w:name w:val="Orange Text"/>
    <w:basedOn w:val="Norml"/>
    <w:pPr>
      <w:spacing w:line="240" w:lineRule="exact"/>
    </w:pPr>
    <w:rPr>
      <w:color w:val="FF3300"/>
    </w:rPr>
  </w:style>
  <w:style w:type="paragraph" w:customStyle="1" w:styleId="Casestudydescription">
    <w:name w:val="Case study description"/>
    <w:basedOn w:val="Norml"/>
    <w:rPr>
      <w:color w:val="FFFFFF"/>
      <w:sz w:val="24"/>
    </w:rPr>
  </w:style>
  <w:style w:type="paragraph" w:customStyle="1" w:styleId="PullQuotecredit">
    <w:name w:val="Pull Quote credit"/>
    <w:basedOn w:val="Pullquote"/>
    <w:rsid w:val="00C03D86"/>
    <w:pPr>
      <w:spacing w:before="120" w:line="200" w:lineRule="exact"/>
      <w:jc w:val="right"/>
    </w:pPr>
    <w:rPr>
      <w:sz w:val="17"/>
    </w:rPr>
  </w:style>
  <w:style w:type="paragraph" w:customStyle="1" w:styleId="Diagramtitle">
    <w:name w:val="Diagram title"/>
    <w:basedOn w:val="Bodycopy"/>
    <w:rPr>
      <w:color w:val="FFFFFF"/>
      <w:sz w:val="19"/>
    </w:rPr>
  </w:style>
  <w:style w:type="paragraph" w:customStyle="1" w:styleId="Bullet2">
    <w:name w:val="Bullet2"/>
    <w:basedOn w:val="Bullet"/>
    <w:pPr>
      <w:numPr>
        <w:numId w:val="0"/>
      </w:numPr>
      <w:ind w:left="170"/>
    </w:pPr>
  </w:style>
  <w:style w:type="paragraph" w:customStyle="1" w:styleId="SectionHeadingGrey">
    <w:name w:val="Section Heading Grey"/>
    <w:basedOn w:val="SectionHeading"/>
    <w:rPr>
      <w:color w:val="666666"/>
    </w:rPr>
  </w:style>
  <w:style w:type="paragraph" w:customStyle="1" w:styleId="BulletGrey">
    <w:name w:val="Bullet Grey"/>
    <w:basedOn w:val="Bulletbold"/>
    <w:rsid w:val="00D77710"/>
    <w:pPr>
      <w:numPr>
        <w:numId w:val="7"/>
      </w:numPr>
    </w:pPr>
  </w:style>
  <w:style w:type="paragraph" w:customStyle="1" w:styleId="TableTitle">
    <w:name w:val="Table Title"/>
    <w:basedOn w:val="Tabletextheading"/>
    <w:pPr>
      <w:ind w:left="60"/>
    </w:pPr>
    <w:rPr>
      <w:color w:val="FFFFFF"/>
      <w:szCs w:val="17"/>
    </w:rPr>
  </w:style>
  <w:style w:type="paragraph" w:styleId="Bortkcm">
    <w:name w:val="envelope address"/>
    <w:basedOn w:val="Norml"/>
    <w:pPr>
      <w:framePr w:w="7920" w:h="1980" w:hRule="exact" w:hSpace="180" w:wrap="auto" w:hAnchor="page" w:xAlign="center" w:yAlign="bottom"/>
      <w:ind w:left="2880"/>
    </w:pPr>
    <w:rPr>
      <w:sz w:val="24"/>
    </w:rPr>
  </w:style>
  <w:style w:type="paragraph" w:customStyle="1" w:styleId="BulletLevel2">
    <w:name w:val="Bullet Level2"/>
    <w:basedOn w:val="BulletGrey"/>
    <w:pPr>
      <w:numPr>
        <w:numId w:val="8"/>
      </w:numPr>
      <w:tabs>
        <w:tab w:val="clear" w:pos="170"/>
      </w:tabs>
    </w:pPr>
  </w:style>
  <w:style w:type="paragraph" w:styleId="Buborkszveg">
    <w:name w:val="Balloon Text"/>
    <w:basedOn w:val="Norml"/>
    <w:semiHidden/>
    <w:rPr>
      <w:sz w:val="16"/>
      <w:szCs w:val="16"/>
    </w:rPr>
  </w:style>
  <w:style w:type="character" w:customStyle="1" w:styleId="URL">
    <w:name w:val="URL"/>
    <w:basedOn w:val="Bekezdsalapbettpusa"/>
    <w:rsid w:val="008D79B8"/>
    <w:rPr>
      <w:rFonts w:ascii="Segoe UI" w:hAnsi="Segoe UI" w:cs="Segoe UI"/>
      <w:color w:val="209FC8"/>
      <w:u w:val="single"/>
    </w:rPr>
  </w:style>
  <w:style w:type="character" w:styleId="Mrltotthiperhivatkozs">
    <w:name w:val="FollowedHyperlink"/>
    <w:basedOn w:val="Bekezdsalapbettpusa"/>
    <w:rsid w:val="00500DAB"/>
    <w:rPr>
      <w:rFonts w:ascii="Segoe UI" w:hAnsi="Segoe UI" w:cs="Segoe UI"/>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CEP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CEP_Template.dot</Template>
  <TotalTime>14</TotalTime>
  <Pages>1</Pages>
  <Words>4</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Metia CEP Microsoft Gives Old PCs New Life, Boosting Environment, Reducing Risk</vt:lpstr>
    </vt:vector>
  </TitlesOfParts>
  <Company>WriteImage</Company>
  <LinksUpToDate>false</LinksUpToDate>
  <CharactersWithSpaces>37</CharactersWithSpaces>
  <SharedDoc>false</SharedDoc>
  <HLinks>
    <vt:vector size="6" baseType="variant">
      <vt:variant>
        <vt:i4>6225951</vt:i4>
      </vt:variant>
      <vt:variant>
        <vt:i4>0</vt:i4>
      </vt:variant>
      <vt:variant>
        <vt:i4>0</vt:i4>
      </vt:variant>
      <vt:variant>
        <vt:i4>5</vt:i4>
      </vt:variant>
      <vt:variant>
        <vt:lpwstr>http://www.microsoft.com/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Metia CEP Microsoft Gives Old PCs New Life, Boosting Environment, Reducing Risk</dc:title>
  <dc:subject>Customer:   Partner: CDI Computers</dc:subject>
  <dc:creator>Mark Levenson</dc:creator>
  <cp:keywords>Country: United States  Industry: Manufacturing -- High tech</cp:keywords>
  <cp:lastModifiedBy>Kelemen Gábor 2</cp:lastModifiedBy>
  <cp:revision>8</cp:revision>
  <cp:lastPrinted>2003-07-11T05:36:00Z</cp:lastPrinted>
  <dcterms:created xsi:type="dcterms:W3CDTF">2012-03-26T16:08:00Z</dcterms:created>
  <dcterms:modified xsi:type="dcterms:W3CDTF">2020-05-15T07:49:00Z</dcterms:modified>
  <cp:category>Product: Microsoft Customer Solution_x000d_
Customer Solution Case Study</cp:category>
</cp:coreProperties>
</file>