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media/image1.gif" ContentType="image/gif"/>
  <Override PartName="/word/media/image2.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SLetterAddressStyle"/>
        <w:rPr>
          <w:highlight w:val="yellow"/>
          <w:lang w:val="en-AU"/>
        </w:rPr>
      </w:pPr>
      <w:r>
        <w:rPr>
          <w:highlight w:val="yellow"/>
          <w:lang w:val="en-AU"/>
        </w:rPr>
        <w:t>31 October 2010</w:t>
      </w:r>
    </w:p>
    <w:p>
      <w:pPr>
        <w:pStyle w:val="ESLetterAddressStyle"/>
        <w:rPr>
          <w:highlight w:val="yellow"/>
          <w:lang w:val="en-AU"/>
        </w:rPr>
      </w:pPr>
      <w:r>
        <w:rPr>
          <w:highlight w:val="yellow"/>
          <w:lang w:val="en-AU"/>
        </w:rPr>
      </w:r>
    </w:p>
    <w:p>
      <w:pPr>
        <w:pStyle w:val="ESLetterAddressStyle"/>
        <w:rPr>
          <w:highlight w:val="yellow"/>
          <w:lang w:val="en-AU"/>
        </w:rPr>
      </w:pPr>
      <w:r>
        <w:rPr>
          <w:highlight w:val="yellow"/>
          <w:lang w:val="en-AU"/>
        </w:rPr>
        <w:t xml:space="preserve">Mr John Smith </w:t>
      </w:r>
    </w:p>
    <w:p>
      <w:pPr>
        <w:pStyle w:val="ESLetterAddressStyle"/>
        <w:rPr>
          <w:highlight w:val="yellow"/>
          <w:lang w:val="en-AU"/>
        </w:rPr>
      </w:pPr>
      <w:r>
        <w:rPr>
          <w:highlight w:val="yellow"/>
          <w:lang w:val="en-AU"/>
        </w:rPr>
        <w:t xml:space="preserve">ABC Properties (Australia) Limited </w:t>
      </w:r>
    </w:p>
    <w:p>
      <w:pPr>
        <w:pStyle w:val="ESLetterAddressStyle"/>
        <w:rPr>
          <w:highlight w:val="yellow"/>
          <w:lang w:val="en-AU"/>
        </w:rPr>
      </w:pPr>
      <w:r>
        <w:rPr>
          <w:highlight w:val="yellow"/>
          <w:lang w:val="en-AU"/>
        </w:rPr>
        <w:t xml:space="preserve">Level 2, 120 Big Street </w:t>
      </w:r>
    </w:p>
    <w:p>
      <w:pPr>
        <w:pStyle w:val="ESLetterAddressStyle"/>
        <w:rPr>
          <w:highlight w:val="yellow"/>
          <w:lang w:val="en-AU"/>
        </w:rPr>
      </w:pPr>
      <w:r>
        <w:rPr>
          <w:highlight w:val="yellow"/>
          <w:lang w:val="en-AU"/>
        </w:rPr>
        <w:t>Melbourne VIC 3000</w:t>
      </w:r>
    </w:p>
    <w:p>
      <w:pPr>
        <w:pStyle w:val="ESLetterDocumentInfo"/>
        <w:rPr>
          <w:highlight w:val="yellow"/>
          <w:lang w:val="en-AU"/>
        </w:rPr>
      </w:pPr>
      <w:r>
        <w:rPr>
          <w:highlight w:val="yellow"/>
          <w:lang w:val="en-AU"/>
        </w:rPr>
      </w:r>
    </w:p>
    <w:p>
      <w:pPr>
        <w:pStyle w:val="ESLetterDocumentInfo"/>
        <w:rPr/>
      </w:pPr>
      <w:r>
        <w:rPr>
          <w:lang w:val="en-AU"/>
        </w:rPr>
        <w:t xml:space="preserve">Reference: </w:t>
      </w:r>
      <w:r>
        <w:rPr>
          <w:lang w:val="en-AU"/>
        </w:rPr>
        <w:fldChar w:fldCharType="begin"/>
      </w:r>
      <w:r>
        <w:instrText> FILENAME </w:instrText>
      </w:r>
      <w:r>
        <w:fldChar w:fldCharType="separate"/>
      </w:r>
      <w:r>
        <w:t>16016 SSTL Review Letter analymised.docx</w:t>
      </w:r>
      <w:r>
        <w:fldChar w:fldCharType="end"/>
      </w:r>
    </w:p>
    <w:p>
      <w:pPr>
        <w:pStyle w:val="ESLetterAddressStyle"/>
        <w:rPr>
          <w:lang w:val="en-AU"/>
        </w:rPr>
      </w:pPr>
      <w:r>
        <w:rPr>
          <w:lang w:val="en-AU"/>
        </w:rPr>
      </w:r>
    </w:p>
    <w:p>
      <w:pPr>
        <w:pStyle w:val="ESLetterTitle"/>
        <w:rPr/>
      </w:pPr>
      <w:r>
        <w:rPr>
          <w:lang w:val="en-AU"/>
        </w:rPr>
        <w:t xml:space="preserve">SUBJECT: </w:t>
      </w:r>
      <w:bookmarkStart w:id="0" w:name="_Toc139449833"/>
      <w:bookmarkEnd w:id="0"/>
      <w:r>
        <w:rPr>
          <w:lang w:val="en-AU"/>
        </w:rPr>
        <w:t xml:space="preserve">Review and cross-check </w:t>
      </w:r>
    </w:p>
    <w:p>
      <w:pPr>
        <w:pStyle w:val="Normal"/>
        <w:rPr>
          <w:highlight w:val="yellow"/>
        </w:rPr>
      </w:pPr>
      <w:r>
        <w:rPr>
          <w:highlight w:val="yellow"/>
        </w:rPr>
        <w:t>Dear John</w:t>
      </w:r>
    </w:p>
    <w:p>
      <w:pPr>
        <w:pStyle w:val="Heading1"/>
        <w:numPr>
          <w:ilvl w:val="0"/>
          <w:numId w:val="2"/>
        </w:numPr>
        <w:rPr/>
      </w:pPr>
      <w:r>
        <w:rPr/>
        <w:t>Introduction</w:t>
      </w:r>
    </w:p>
    <w:p>
      <w:pPr>
        <w:pStyle w:val="Normal"/>
        <w:rPr/>
      </w:pPr>
      <w:r>
        <w:rPr/>
        <w:t xml:space="preserve"> </w:t>
      </w:r>
      <w:r>
        <w:rPr/>
        <w:t>are pleased to provide this review of the SSTLs (site specific target levels for proposed remediation) provided by  for the above site. The review is provided to present the implications of adopting the proposed target levels in relation to the developments understood to be desired by  for the site.</w:t>
      </w:r>
    </w:p>
    <w:p>
      <w:pPr>
        <w:pStyle w:val="Normal"/>
        <w:rPr/>
      </w:pPr>
      <w:r>
        <w:rPr/>
        <w:t>Whilst  have assessed a range of risk scenarios, it is understood that the scenarios of concern are:</w:t>
      </w:r>
    </w:p>
    <w:p>
      <w:pPr>
        <w:pStyle w:val="ESBullet"/>
        <w:numPr>
          <w:ilvl w:val="0"/>
          <w:numId w:val="3"/>
        </w:numPr>
        <w:rPr/>
      </w:pPr>
      <w:r>
        <w:rPr/>
        <w:t>Residential flats with basement carpark;</w:t>
      </w:r>
    </w:p>
    <w:p>
      <w:pPr>
        <w:pStyle w:val="ESBullet"/>
        <w:numPr>
          <w:ilvl w:val="0"/>
          <w:numId w:val="3"/>
        </w:numPr>
        <w:rPr/>
      </w:pPr>
      <w:r>
        <w:rPr/>
        <w:t>Workers conducting excavation at the site (intrusive workers);</w:t>
      </w:r>
    </w:p>
    <w:p>
      <w:pPr>
        <w:pStyle w:val="ESBullet"/>
        <w:numPr>
          <w:ilvl w:val="0"/>
          <w:numId w:val="3"/>
        </w:numPr>
        <w:rPr/>
      </w:pPr>
      <w:r>
        <w:rPr/>
        <w:t>Roadways (included as open space or intrusive worker scenarios);</w:t>
      </w:r>
    </w:p>
    <w:p>
      <w:pPr>
        <w:pStyle w:val="ESBullet"/>
        <w:numPr>
          <w:ilvl w:val="0"/>
          <w:numId w:val="3"/>
        </w:numPr>
        <w:rPr/>
      </w:pPr>
      <w:r>
        <w:rPr/>
        <w:t>Open space (parks, playgrounds etc)</w:t>
      </w:r>
    </w:p>
    <w:p>
      <w:pPr>
        <w:pStyle w:val="Normal"/>
        <w:rPr/>
      </w:pPr>
      <w:r>
        <w:rPr/>
        <w:t xml:space="preserve"> </w:t>
      </w:r>
      <w:r>
        <w:rPr/>
        <w:t>have reviewed the  site specific target levels and the measured concentrations of contaminants on site with a view to the exposure scenarios listed above. Note that  have previously provided comment on the risk assessment calculations used to derive the SSTLs and that discussion is not repeated here. Note that only the compounds identified by  as posing a potential risk have been included here.</w:t>
      </w:r>
    </w:p>
    <w:p>
      <w:pPr>
        <w:pStyle w:val="Normal"/>
        <w:rPr/>
      </w:pPr>
      <w:r>
        <w:rPr/>
        <w:t>It is noted that risk posed to occupants of residential flats with basement carparks will be limited to the seepage water off-gassing within the basement. The previous review indicated that these calculations were satisfactory, and this scenario is not assessed further in this review.</w:t>
      </w:r>
    </w:p>
    <w:p>
      <w:pPr>
        <w:pStyle w:val="Normal"/>
        <w:rPr/>
      </w:pPr>
      <w:r>
        <w:rPr/>
        <w:t>Review of the risks has been conducted by entering the exposure and toxicity data into an alternative risk calculation software package (BP Risc) which is well established in the field and comparing the results. Risks were assessed for each scenario for two sets of contaminant concentrations:</w:t>
      </w:r>
    </w:p>
    <w:p>
      <w:pPr>
        <w:pStyle w:val="ESBullet"/>
        <w:numPr>
          <w:ilvl w:val="0"/>
          <w:numId w:val="3"/>
        </w:numPr>
        <w:rPr/>
      </w:pPr>
      <w:r>
        <w:rPr/>
        <w:t>The maximum observed contaminant concentrations for key contaminants on site;</w:t>
      </w:r>
    </w:p>
    <w:p>
      <w:pPr>
        <w:pStyle w:val="ESBullet"/>
        <w:numPr>
          <w:ilvl w:val="0"/>
          <w:numId w:val="3"/>
        </w:numPr>
        <w:rPr/>
      </w:pPr>
      <w:r>
        <w:rPr/>
        <w:t>The total of all SSTL concentrations indicated by .</w:t>
      </w:r>
    </w:p>
    <w:p>
      <w:pPr>
        <w:sectPr>
          <w:headerReference w:type="default" r:id="rId2"/>
          <w:footerReference w:type="default" r:id="rId3"/>
          <w:type w:val="nextPage"/>
          <w:pgSz w:w="11906" w:h="16838"/>
          <w:pgMar w:left="1021" w:right="567" w:header="709" w:top="2155" w:footer="1697" w:bottom="1754" w:gutter="0"/>
          <w:pgNumType w:start="1" w:fmt="decimal"/>
          <w:formProt w:val="false"/>
          <w:textDirection w:val="lrTb"/>
          <w:docGrid w:type="default" w:linePitch="240" w:charSpace="4294965247"/>
        </w:sectPr>
        <w:pStyle w:val="Normal"/>
        <w:rPr/>
      </w:pPr>
      <w:r>
        <w:rPr/>
        <w:t xml:space="preserve">The process and findings are discussed below. </w:t>
      </w:r>
    </w:p>
    <w:p>
      <w:pPr>
        <w:pStyle w:val="ESBullet"/>
        <w:rPr/>
      </w:pPr>
      <w:r>
        <w:rPr/>
      </w:r>
    </w:p>
    <w:p>
      <w:pPr>
        <w:pStyle w:val="Heading1"/>
        <w:numPr>
          <w:ilvl w:val="0"/>
          <w:numId w:val="2"/>
        </w:numPr>
        <w:rPr/>
      </w:pPr>
      <w:r>
        <w:rPr/>
        <w:t>Risk Assessment Process</w:t>
      </w:r>
    </w:p>
    <w:p>
      <w:pPr>
        <w:pStyle w:val="Normal"/>
        <w:rPr/>
      </w:pPr>
      <w:r>
        <w:rPr/>
        <w:t>The process of risk assessment is not discussed in detail in this report. Please refer to NEPC (2013)</w:t>
      </w:r>
      <w:r>
        <w:rPr>
          <w:rStyle w:val="FootnoteAnchor"/>
        </w:rPr>
        <w:footnoteReference w:id="2"/>
      </w:r>
      <w:r>
        <w:rPr/>
        <w:t xml:space="preserve"> Schedule B(4) and the  SSTL calculation report for details of and background to the process.</w:t>
      </w:r>
    </w:p>
    <w:p>
      <w:pPr>
        <w:pStyle w:val="Normal"/>
        <w:rPr/>
      </w:pPr>
      <w:r>
        <w:rPr/>
        <w:t>Risk assessment is conducted in four stages:</w:t>
      </w:r>
    </w:p>
    <w:p>
      <w:pPr>
        <w:pStyle w:val="ListParagraph"/>
        <w:numPr>
          <w:ilvl w:val="0"/>
          <w:numId w:val="4"/>
        </w:numPr>
        <w:rPr>
          <w:rFonts w:ascii="Calibri" w:hAnsi="Calibri"/>
        </w:rPr>
      </w:pPr>
      <w:r>
        <w:rPr>
          <w:rFonts w:ascii="Calibri" w:hAnsi="Calibri"/>
        </w:rPr>
        <w:t>Data Collection (What is the situation, what are the contaminants, and how much is there?)</w:t>
      </w:r>
    </w:p>
    <w:p>
      <w:pPr>
        <w:pStyle w:val="ListParagraph"/>
        <w:numPr>
          <w:ilvl w:val="0"/>
          <w:numId w:val="4"/>
        </w:numPr>
        <w:rPr>
          <w:rFonts w:ascii="Calibri" w:hAnsi="Calibri"/>
        </w:rPr>
      </w:pPr>
      <w:r>
        <w:rPr>
          <w:rFonts w:ascii="Calibri" w:hAnsi="Calibri"/>
        </w:rPr>
        <w:t>Toxicity Assessment (details of the toxicity effects of the contaminants, including quantitative measures of toxicity)</w:t>
      </w:r>
    </w:p>
    <w:p>
      <w:pPr>
        <w:pStyle w:val="ListParagraph"/>
        <w:numPr>
          <w:ilvl w:val="0"/>
          <w:numId w:val="4"/>
        </w:numPr>
        <w:rPr>
          <w:rFonts w:ascii="Calibri" w:hAnsi="Calibri"/>
        </w:rPr>
      </w:pPr>
      <w:r>
        <w:rPr>
          <w:rFonts w:ascii="Calibri" w:hAnsi="Calibri"/>
        </w:rPr>
        <w:t>Exposure Assessment (by what means are the site occupants potentially exposed to the contaminants)</w:t>
      </w:r>
    </w:p>
    <w:p>
      <w:pPr>
        <w:pStyle w:val="ListParagraph"/>
        <w:numPr>
          <w:ilvl w:val="0"/>
          <w:numId w:val="4"/>
        </w:numPr>
        <w:rPr>
          <w:rFonts w:ascii="Calibri" w:hAnsi="Calibri"/>
        </w:rPr>
      </w:pPr>
      <w:r>
        <w:rPr>
          <w:rFonts w:ascii="Calibri" w:hAnsi="Calibri"/>
        </w:rPr>
        <w:t>Risk Calculation (degree of exposure and toxicity values are combined to provide a quantitative measure of the risk posed to receptors/occupants)</w:t>
      </w:r>
    </w:p>
    <w:p>
      <w:pPr>
        <w:pStyle w:val="Heading2"/>
        <w:numPr>
          <w:ilvl w:val="1"/>
          <w:numId w:val="2"/>
        </w:numPr>
        <w:rPr/>
      </w:pPr>
      <w:bookmarkStart w:id="3" w:name="__DdeLink__609_715505902"/>
      <w:bookmarkEnd w:id="3"/>
      <w:r>
        <w:rPr/>
        <w:t>Data Collection</w:t>
      </w:r>
    </w:p>
    <w:p>
      <w:pPr>
        <w:pStyle w:val="Normal"/>
        <w:rPr/>
      </w:pPr>
      <w:bookmarkStart w:id="4" w:name="__DdeLink__609_7155059021"/>
      <w:bookmarkEnd w:id="4"/>
      <w:r>
        <w:rPr/>
        <w:t>This review relies on the data reported in the following documents:</w:t>
      </w:r>
    </w:p>
    <w:p>
      <w:pPr>
        <w:pStyle w:val="ESBullet"/>
        <w:numPr>
          <w:ilvl w:val="0"/>
          <w:numId w:val="3"/>
        </w:numPr>
        <w:rPr/>
      </w:pPr>
      <w:r>
        <w:rPr/>
        <w:t>; and</w:t>
      </w:r>
    </w:p>
    <w:p>
      <w:pPr>
        <w:pStyle w:val="ESBullet"/>
        <w:numPr>
          <w:ilvl w:val="0"/>
          <w:numId w:val="3"/>
        </w:numPr>
        <w:rPr/>
      </w:pPr>
      <w:r>
        <w:rPr/>
        <w:t xml:space="preserve"> </w:t>
      </w:r>
      <w:r>
        <w:rPr/>
        <w:t>.</w:t>
      </w:r>
    </w:p>
    <w:p>
      <w:pPr>
        <w:pStyle w:val="Normal"/>
        <w:rPr/>
      </w:pPr>
      <w:r>
        <w:rPr/>
        <w:t>The contaminants detected in site groundwater, maximum concentrations assessed and SSTLs determined by  are summarised in the table below.</w:t>
      </w:r>
    </w:p>
    <w:p>
      <w:pPr>
        <w:pStyle w:val="Table"/>
        <w:keepNext/>
        <w:rPr/>
      </w:pPr>
      <w:r>
        <w:rPr/>
        <w:t xml:space="preserve">Table </w:t>
      </w:r>
      <w:r>
        <w:rPr/>
        <w:fldChar w:fldCharType="begin"/>
      </w:r>
      <w:r>
        <w:instrText> SEQ Table \* ARABIC </w:instrText>
      </w:r>
      <w:r>
        <w:fldChar w:fldCharType="separate"/>
      </w:r>
      <w:r>
        <w:t>1</w:t>
      </w:r>
      <w:r>
        <w:fldChar w:fldCharType="end"/>
      </w:r>
      <w:r>
        <w:rPr/>
        <w:t>: Summary of Contaminant Concentrations and SSTLs Previously Determined (mg/L)</w:t>
      </w:r>
    </w:p>
    <w:tbl>
      <w:tblPr>
        <w:tblW w:w="10318" w:type="dxa"/>
        <w:jc w:val="left"/>
        <w:tblInd w:w="0" w:type="dxa"/>
        <w:tblBorders>
          <w:right w:val="single" w:sz="2" w:space="0" w:color="1F497D"/>
          <w:insideV w:val="single" w:sz="2" w:space="0" w:color="1F497D"/>
        </w:tblBorders>
        <w:tblCellMar>
          <w:top w:w="0" w:type="dxa"/>
          <w:left w:w="0" w:type="dxa"/>
          <w:bottom w:w="0" w:type="dxa"/>
          <w:right w:w="0" w:type="dxa"/>
        </w:tblCellMar>
        <w:tblLook w:firstRow="0" w:noVBand="0" w:lastRow="0" w:firstColumn="0" w:lastColumn="0" w:noHBand="0" w:val="0000"/>
      </w:tblPr>
      <w:tblGrid>
        <w:gridCol w:w="2580"/>
        <w:gridCol w:w="2582"/>
        <w:gridCol w:w="2578"/>
        <w:gridCol w:w="2577"/>
      </w:tblGrid>
      <w:tr>
        <w:trPr>
          <w:tblHeader w:val="true"/>
        </w:trPr>
        <w:tc>
          <w:tcPr>
            <w:tcW w:w="2580" w:type="dxa"/>
            <w:tcBorders>
              <w:right w:val="single" w:sz="2" w:space="0" w:color="1F497D"/>
              <w:insideV w:val="single" w:sz="2" w:space="0" w:color="1F497D"/>
            </w:tcBorders>
            <w:shd w:color="auto" w:fill="1F497D" w:val="clear"/>
          </w:tcPr>
          <w:p>
            <w:pPr>
              <w:pStyle w:val="TableHeading"/>
              <w:spacing w:before="120" w:after="120"/>
              <w:rPr>
                <w:b/>
                <w:b/>
                <w:bCs/>
                <w:color w:val="FFFFFF"/>
                <w:szCs w:val="22"/>
              </w:rPr>
            </w:pPr>
            <w:r>
              <w:rPr>
                <w:b/>
                <w:bCs/>
                <w:color w:val="FFFFFF"/>
                <w:szCs w:val="22"/>
              </w:rPr>
              <w:t>Contaminant</w:t>
            </w:r>
          </w:p>
        </w:tc>
        <w:tc>
          <w:tcPr>
            <w:tcW w:w="2582" w:type="dxa"/>
            <w:tcBorders>
              <w:left w:val="single" w:sz="2" w:space="0" w:color="1F497D"/>
              <w:right w:val="single" w:sz="2" w:space="0" w:color="1F497D"/>
              <w:insideV w:val="single" w:sz="2" w:space="0" w:color="1F497D"/>
            </w:tcBorders>
            <w:shd w:color="auto" w:fill="1F497D" w:val="clear"/>
            <w:tcMar>
              <w:left w:w="-2" w:type="dxa"/>
            </w:tcMar>
          </w:tcPr>
          <w:p>
            <w:pPr>
              <w:pStyle w:val="TableHeading"/>
              <w:spacing w:before="120" w:after="120"/>
              <w:jc w:val="right"/>
              <w:rPr>
                <w:b/>
                <w:b/>
                <w:bCs/>
                <w:color w:val="FFFFFF"/>
                <w:szCs w:val="22"/>
              </w:rPr>
            </w:pPr>
            <w:r>
              <w:rPr>
                <w:b/>
                <w:bCs/>
                <w:color w:val="FFFFFF"/>
                <w:szCs w:val="22"/>
              </w:rPr>
              <w:t xml:space="preserve">Maximum Concentration Reported </w:t>
            </w:r>
          </w:p>
          <w:p>
            <w:pPr>
              <w:pStyle w:val="TableHeading"/>
              <w:spacing w:before="120" w:after="120"/>
              <w:jc w:val="right"/>
              <w:rPr>
                <w:b/>
                <w:b/>
                <w:bCs/>
                <w:color w:val="FFFFFF"/>
                <w:szCs w:val="22"/>
              </w:rPr>
            </w:pPr>
            <w:r>
              <w:rPr>
                <w:b/>
                <w:bCs/>
                <w:color w:val="FFFFFF"/>
                <w:szCs w:val="22"/>
              </w:rPr>
              <w:t>( 2016, sampled 2013)</w:t>
            </w:r>
          </w:p>
        </w:tc>
        <w:tc>
          <w:tcPr>
            <w:tcW w:w="2578" w:type="dxa"/>
            <w:tcBorders>
              <w:left w:val="single" w:sz="2" w:space="0" w:color="1F497D"/>
              <w:right w:val="single" w:sz="2" w:space="0" w:color="1F497D"/>
              <w:insideV w:val="single" w:sz="2" w:space="0" w:color="1F497D"/>
            </w:tcBorders>
            <w:shd w:color="auto" w:fill="1F497D" w:val="clear"/>
            <w:tcMar>
              <w:left w:w="-2" w:type="dxa"/>
            </w:tcMar>
          </w:tcPr>
          <w:p>
            <w:pPr>
              <w:pStyle w:val="TableHeading"/>
              <w:spacing w:before="120" w:after="120"/>
              <w:jc w:val="right"/>
              <w:rPr>
                <w:b/>
                <w:b/>
                <w:bCs/>
                <w:color w:val="FFFFFF"/>
                <w:szCs w:val="22"/>
              </w:rPr>
            </w:pPr>
            <w:r>
              <w:rPr>
                <w:b/>
                <w:bCs/>
                <w:color w:val="FFFFFF"/>
                <w:szCs w:val="22"/>
              </w:rPr>
              <w:t xml:space="preserve">Site Specific Target Level – Open Space </w:t>
            </w:r>
          </w:p>
          <w:p>
            <w:pPr>
              <w:pStyle w:val="TableHeading"/>
              <w:spacing w:before="120" w:after="120"/>
              <w:jc w:val="right"/>
              <w:rPr>
                <w:b/>
                <w:b/>
                <w:bCs/>
                <w:color w:val="FFFFFF"/>
                <w:szCs w:val="22"/>
              </w:rPr>
            </w:pPr>
            <w:r>
              <w:rPr>
                <w:b/>
                <w:bCs/>
                <w:color w:val="FFFFFF"/>
                <w:szCs w:val="22"/>
              </w:rPr>
              <w:t>( 2016)</w:t>
            </w:r>
          </w:p>
        </w:tc>
        <w:tc>
          <w:tcPr>
            <w:tcW w:w="2577" w:type="dxa"/>
            <w:tcBorders>
              <w:left w:val="single" w:sz="2" w:space="0" w:color="1F497D"/>
              <w:right w:val="single" w:sz="2" w:space="0" w:color="1F497D"/>
              <w:insideV w:val="single" w:sz="2" w:space="0" w:color="1F497D"/>
            </w:tcBorders>
            <w:shd w:color="auto" w:fill="1F497D" w:val="clear"/>
            <w:tcMar>
              <w:left w:w="-2" w:type="dxa"/>
            </w:tcMar>
          </w:tcPr>
          <w:p>
            <w:pPr>
              <w:pStyle w:val="TableHeading"/>
              <w:spacing w:before="120" w:after="120"/>
              <w:jc w:val="right"/>
              <w:rPr>
                <w:b/>
                <w:b/>
                <w:bCs/>
                <w:color w:val="FFFFFF"/>
                <w:szCs w:val="22"/>
              </w:rPr>
            </w:pPr>
            <w:r>
              <w:rPr>
                <w:b/>
                <w:bCs/>
                <w:color w:val="FFFFFF"/>
                <w:szCs w:val="22"/>
              </w:rPr>
              <w:t>Site Specific Target Level – Intrusive Workers</w:t>
            </w:r>
          </w:p>
          <w:p>
            <w:pPr>
              <w:pStyle w:val="TableHeading"/>
              <w:spacing w:before="120" w:after="120"/>
              <w:jc w:val="right"/>
              <w:rPr>
                <w:b/>
                <w:b/>
                <w:bCs/>
                <w:color w:val="FFFFFF"/>
                <w:szCs w:val="22"/>
              </w:rPr>
            </w:pPr>
            <w:r>
              <w:rPr>
                <w:b/>
                <w:bCs/>
                <w:color w:val="FFFFFF"/>
                <w:szCs w:val="22"/>
              </w:rPr>
              <w:t>( 2016)</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benzene</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0.011</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&gt;1,790 solubility</w:t>
            </w:r>
            <w:bookmarkStart w:id="5" w:name="_RefF2"/>
            <w:bookmarkEnd w:id="5"/>
            <w:r>
              <w:rPr>
                <w:rStyle w:val="FootnoteAnchor"/>
                <w:szCs w:val="22"/>
              </w:rPr>
              <w:footnoteReference w:id="3"/>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30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dichloroethane, 1,1-</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27.200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pPr>
            <w:r>
              <w:rPr>
                <w:szCs w:val="22"/>
              </w:rPr>
              <w:t>&gt;5,040 solubility</w:t>
            </w:r>
            <w:r>
              <w:rPr>
                <w:szCs w:val="22"/>
              </w:rPr>
              <w:fldChar w:fldCharType="begin"/>
            </w:r>
            <w:r>
              <w:instrText> REF _RefF2 \h </w:instrText>
            </w:r>
            <w:r>
              <w:fldChar w:fldCharType="separate"/>
            </w:r>
            <w:r/>
            <w:r>
              <w:fldChar w:fldCharType="end"/>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230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dichloroethane, 1,2-</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3.200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&gt;8,600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380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dichloroethylene, 1,1-</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193.000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pPr>
            <w:r>
              <w:rPr>
                <w:szCs w:val="22"/>
              </w:rPr>
              <w:t>&gt;2,420 solubility</w:t>
            </w:r>
            <w:r>
              <w:rPr>
                <w:szCs w:val="22"/>
              </w:rPr>
              <w:fldChar w:fldCharType="begin"/>
            </w:r>
            <w:r>
              <w:instrText> REF _RefF2 \h </w:instrText>
            </w:r>
            <w:r>
              <w:fldChar w:fldCharType="separate"/>
            </w:r>
            <w:r/>
            <w:r>
              <w:fldChar w:fldCharType="end"/>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260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dichlorodifluoromethane</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0.240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&gt;280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1,000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napththalene</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0.054</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pPr>
            <w:r>
              <w:rPr>
                <w:szCs w:val="22"/>
              </w:rPr>
              <w:t>&gt;31 solubility</w:t>
            </w:r>
            <w:r>
              <w:rPr>
                <w:szCs w:val="22"/>
              </w:rPr>
              <w:fldChar w:fldCharType="begin"/>
            </w:r>
            <w:r>
              <w:instrText> REF _RefF2 \h </w:instrText>
            </w:r>
            <w:r>
              <w:fldChar w:fldCharType="separate"/>
            </w:r>
            <w:r/>
            <w:r>
              <w:fldChar w:fldCharType="end"/>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5</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pPr>
            <w:r>
              <w:rPr>
                <w:szCs w:val="22"/>
              </w:rPr>
              <w:t>TPH C</w:t>
            </w:r>
            <w:r>
              <w:rPr>
                <w:szCs w:val="22"/>
                <w:vertAlign w:val="subscript"/>
              </w:rPr>
              <w:t>6</w:t>
            </w:r>
            <w:r>
              <w:rPr>
                <w:szCs w:val="22"/>
              </w:rPr>
              <w:t>-C</w:t>
            </w:r>
            <w:r>
              <w:rPr>
                <w:szCs w:val="22"/>
                <w:vertAlign w:val="subscript"/>
              </w:rPr>
              <w:t>8</w:t>
            </w:r>
            <w:r>
              <w:rPr>
                <w:szCs w:val="22"/>
              </w:rPr>
              <w:t xml:space="preserve"> aliphatic</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216.000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&gt;9.5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6,500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pPr>
            <w:r>
              <w:rPr>
                <w:szCs w:val="22"/>
              </w:rPr>
              <w:t>TPH C</w:t>
            </w:r>
            <w:r>
              <w:rPr>
                <w:szCs w:val="22"/>
                <w:vertAlign w:val="subscript"/>
              </w:rPr>
              <w:t>&gt;8</w:t>
            </w:r>
            <w:r>
              <w:rPr>
                <w:szCs w:val="22"/>
              </w:rPr>
              <w:t>-C</w:t>
            </w:r>
            <w:r>
              <w:rPr>
                <w:szCs w:val="22"/>
                <w:vertAlign w:val="subscript"/>
              </w:rPr>
              <w:t>16</w:t>
            </w:r>
            <w:r>
              <w:rPr>
                <w:szCs w:val="22"/>
              </w:rPr>
              <w:t xml:space="preserve"> aliphatic</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1.140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pPr>
            <w:r>
              <w:rPr>
                <w:szCs w:val="22"/>
              </w:rPr>
              <w:t>&gt;0.22 solubility</w:t>
            </w:r>
            <w:r>
              <w:rPr>
                <w:szCs w:val="22"/>
              </w:rPr>
              <w:fldChar w:fldCharType="begin"/>
            </w:r>
            <w:r>
              <w:instrText> REF _RefF2 \h </w:instrText>
            </w:r>
            <w:r>
              <w:fldChar w:fldCharType="separate"/>
            </w:r>
            <w:r/>
            <w:r>
              <w:fldChar w:fldCharType="end"/>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pPr>
            <w:r>
              <w:rPr>
                <w:szCs w:val="22"/>
              </w:rPr>
              <w:t>TPH C</w:t>
            </w:r>
            <w:r>
              <w:rPr>
                <w:szCs w:val="22"/>
                <w:vertAlign w:val="subscript"/>
              </w:rPr>
              <w:t>&gt;8</w:t>
            </w:r>
            <w:r>
              <w:rPr>
                <w:szCs w:val="22"/>
              </w:rPr>
              <w:t>-C</w:t>
            </w:r>
            <w:r>
              <w:rPr>
                <w:szCs w:val="22"/>
                <w:vertAlign w:val="subscript"/>
              </w:rPr>
              <w:t>16</w:t>
            </w:r>
            <w:r>
              <w:rPr>
                <w:szCs w:val="22"/>
              </w:rPr>
              <w:t xml:space="preserve"> aromatic</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n/a (assumed to be limited to naphthalene)</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&gt;27.8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120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pPr>
            <w:r>
              <w:rPr>
                <w:szCs w:val="22"/>
              </w:rPr>
              <w:t>TPH  C</w:t>
            </w:r>
            <w:r>
              <w:rPr>
                <w:szCs w:val="22"/>
                <w:vertAlign w:val="subscript"/>
              </w:rPr>
              <w:t>&gt;16</w:t>
            </w:r>
            <w:r>
              <w:rPr>
                <w:szCs w:val="22"/>
              </w:rPr>
              <w:t>-C</w:t>
            </w:r>
            <w:r>
              <w:rPr>
                <w:szCs w:val="22"/>
                <w:vertAlign w:val="subscript"/>
              </w:rPr>
              <w:t>35</w:t>
            </w:r>
            <w:r>
              <w:rPr>
                <w:szCs w:val="22"/>
              </w:rPr>
              <w:t xml:space="preserve"> aliphatic</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0.405</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&gt;0.0037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340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pPr>
            <w:r>
              <w:rPr>
                <w:szCs w:val="22"/>
              </w:rPr>
              <w:t>TPH  C</w:t>
            </w:r>
            <w:r>
              <w:rPr>
                <w:szCs w:val="22"/>
                <w:vertAlign w:val="subscript"/>
              </w:rPr>
              <w:t>&gt;16</w:t>
            </w:r>
            <w:r>
              <w:rPr>
                <w:szCs w:val="22"/>
              </w:rPr>
              <w:t>-C</w:t>
            </w:r>
            <w:r>
              <w:rPr>
                <w:szCs w:val="22"/>
                <w:vertAlign w:val="subscript"/>
              </w:rPr>
              <w:t>35</w:t>
            </w:r>
            <w:r>
              <w:rPr>
                <w:szCs w:val="22"/>
              </w:rPr>
              <w:t xml:space="preserve"> aromatic</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0.405</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pPr>
            <w:r>
              <w:rPr>
                <w:szCs w:val="22"/>
              </w:rPr>
              <w:t>&gt;0.26 solubility</w:t>
            </w:r>
            <w:r>
              <w:rPr>
                <w:szCs w:val="22"/>
                <w:vertAlign w:val="superscript"/>
              </w:rPr>
              <w:t>2</w:t>
            </w:r>
            <w:r>
              <w:rPr>
                <w:szCs w:val="22"/>
                <w:vertAlign w:val="superscript"/>
              </w:rPr>
              <w:fldChar w:fldCharType="begin"/>
            </w:r>
            <w:r>
              <w:instrText> REF _RefF2 \h </w:instrText>
            </w:r>
            <w:r>
              <w:fldChar w:fldCharType="separate"/>
            </w:r>
            <w:r/>
            <w:r>
              <w:fldChar w:fldCharType="end"/>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30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trichloroethane, 1,1,1-</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210.000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&gt;1,290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7,300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trichloroethane, 1,1,2-</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0.270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pPr>
            <w:r>
              <w:rPr>
                <w:szCs w:val="22"/>
              </w:rPr>
              <w:t>&gt;4,590 solubility</w:t>
            </w:r>
            <w:r>
              <w:rPr>
                <w:szCs w:val="22"/>
                <w:vertAlign w:val="superscript"/>
              </w:rPr>
              <w:t>2</w:t>
            </w:r>
            <w:r>
              <w:rPr>
                <w:szCs w:val="22"/>
                <w:vertAlign w:val="superscript"/>
              </w:rPr>
              <w:fldChar w:fldCharType="begin"/>
            </w:r>
            <w:r>
              <w:instrText> REF _RefF2 \h </w:instrText>
            </w:r>
            <w:r>
              <w:fldChar w:fldCharType="separate"/>
            </w:r>
            <w:r/>
            <w:r>
              <w:fldChar w:fldCharType="end"/>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trichloroethylene (TCE)</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0.062</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440</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trichlorofluoromethane</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28.700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&gt;1,100 solubility</w:t>
            </w:r>
            <w:r>
              <w:rPr>
                <w:szCs w:val="22"/>
                <w:vertAlign w:val="superscript"/>
              </w:rPr>
              <w:t>2</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1,400</w:t>
            </w:r>
          </w:p>
        </w:tc>
      </w:tr>
      <w:tr>
        <w:trPr/>
        <w:tc>
          <w:tcPr>
            <w:tcW w:w="2580" w:type="dxa"/>
            <w:tcBorders>
              <w:top w:val="single" w:sz="2" w:space="0" w:color="1F497D"/>
              <w:bottom w:val="single" w:sz="2" w:space="0" w:color="1F497D"/>
              <w:right w:val="single" w:sz="2" w:space="0" w:color="1F497D"/>
              <w:insideH w:val="single" w:sz="2" w:space="0" w:color="1F497D"/>
              <w:insideV w:val="single" w:sz="2" w:space="0" w:color="1F497D"/>
            </w:tcBorders>
            <w:shd w:color="auto" w:fill="FFFFFF" w:val="clear"/>
          </w:tcPr>
          <w:p>
            <w:pPr>
              <w:pStyle w:val="TableContents"/>
              <w:spacing w:before="120" w:after="120"/>
              <w:rPr>
                <w:szCs w:val="22"/>
              </w:rPr>
            </w:pPr>
            <w:r>
              <w:rPr>
                <w:szCs w:val="22"/>
              </w:rPr>
              <w:t>vinyl chloride</w:t>
            </w:r>
          </w:p>
        </w:tc>
        <w:tc>
          <w:tcPr>
            <w:tcW w:w="2582"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&lt;1.000</w:t>
            </w:r>
          </w:p>
        </w:tc>
        <w:tc>
          <w:tcPr>
            <w:tcW w:w="2578"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1,700</w:t>
            </w:r>
          </w:p>
        </w:tc>
        <w:tc>
          <w:tcPr>
            <w:tcW w:w="2577" w:type="dxa"/>
            <w:tcBorders>
              <w:top w:val="single" w:sz="2" w:space="0" w:color="1F497D"/>
              <w:left w:val="single" w:sz="2" w:space="0" w:color="1F497D"/>
              <w:bottom w:val="single" w:sz="2" w:space="0" w:color="1F497D"/>
              <w:right w:val="single" w:sz="2" w:space="0" w:color="1F497D"/>
              <w:insideH w:val="single" w:sz="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24</w:t>
            </w:r>
          </w:p>
        </w:tc>
      </w:tr>
      <w:tr>
        <w:trPr/>
        <w:tc>
          <w:tcPr>
            <w:tcW w:w="2580" w:type="dxa"/>
            <w:tcBorders>
              <w:top w:val="single" w:sz="2" w:space="0" w:color="1F497D"/>
              <w:bottom w:val="single" w:sz="12" w:space="0" w:color="1F497D"/>
              <w:right w:val="single" w:sz="2" w:space="0" w:color="1F497D"/>
              <w:insideH w:val="single" w:sz="12" w:space="0" w:color="1F497D"/>
              <w:insideV w:val="single" w:sz="2" w:space="0" w:color="1F497D"/>
            </w:tcBorders>
            <w:shd w:color="auto" w:fill="FFFFFF" w:val="clear"/>
          </w:tcPr>
          <w:p>
            <w:pPr>
              <w:pStyle w:val="TableContents"/>
              <w:spacing w:before="120" w:after="120"/>
              <w:rPr>
                <w:szCs w:val="22"/>
              </w:rPr>
            </w:pPr>
            <w:r>
              <w:rPr>
                <w:szCs w:val="22"/>
              </w:rPr>
              <w:t>xylenes</w:t>
            </w:r>
          </w:p>
        </w:tc>
        <w:tc>
          <w:tcPr>
            <w:tcW w:w="2582" w:type="dxa"/>
            <w:tcBorders>
              <w:top w:val="single" w:sz="2" w:space="0" w:color="1F497D"/>
              <w:left w:val="single" w:sz="2" w:space="0" w:color="1F497D"/>
              <w:bottom w:val="single" w:sz="12" w:space="0" w:color="1F497D"/>
              <w:right w:val="single" w:sz="2" w:space="0" w:color="1F497D"/>
              <w:insideH w:val="single" w:sz="1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2.060</w:t>
            </w:r>
          </w:p>
        </w:tc>
        <w:tc>
          <w:tcPr>
            <w:tcW w:w="2578" w:type="dxa"/>
            <w:tcBorders>
              <w:top w:val="single" w:sz="2" w:space="0" w:color="1F497D"/>
              <w:left w:val="single" w:sz="2" w:space="0" w:color="1F497D"/>
              <w:bottom w:val="single" w:sz="12" w:space="0" w:color="1F497D"/>
              <w:right w:val="single" w:sz="2" w:space="0" w:color="1F497D"/>
              <w:insideH w:val="single" w:sz="12" w:space="0" w:color="1F497D"/>
              <w:insideV w:val="single" w:sz="2" w:space="0" w:color="1F497D"/>
            </w:tcBorders>
            <w:shd w:color="auto" w:fill="FFFFFF" w:val="clear"/>
            <w:tcMar>
              <w:left w:w="-2" w:type="dxa"/>
            </w:tcMar>
          </w:tcPr>
          <w:p>
            <w:pPr>
              <w:pStyle w:val="TableContents"/>
              <w:spacing w:before="120" w:after="120"/>
              <w:jc w:val="center"/>
              <w:rPr>
                <w:szCs w:val="22"/>
              </w:rPr>
            </w:pPr>
            <w:r>
              <w:rPr>
                <w:szCs w:val="22"/>
              </w:rPr>
              <w:t>&gt;106 solubility</w:t>
            </w:r>
            <w:r>
              <w:rPr>
                <w:szCs w:val="22"/>
                <w:vertAlign w:val="superscript"/>
              </w:rPr>
              <w:t>2</w:t>
            </w:r>
          </w:p>
        </w:tc>
        <w:tc>
          <w:tcPr>
            <w:tcW w:w="2577" w:type="dxa"/>
            <w:tcBorders>
              <w:top w:val="single" w:sz="2" w:space="0" w:color="1F497D"/>
              <w:left w:val="single" w:sz="2" w:space="0" w:color="1F497D"/>
              <w:bottom w:val="single" w:sz="12" w:space="0" w:color="1F497D"/>
              <w:right w:val="single" w:sz="2" w:space="0" w:color="1F497D"/>
              <w:insideH w:val="single" w:sz="12" w:space="0" w:color="1F497D"/>
              <w:insideV w:val="single" w:sz="2" w:space="0" w:color="1F497D"/>
            </w:tcBorders>
            <w:shd w:color="auto" w:fill="FFFFFF" w:val="clear"/>
            <w:tcMar>
              <w:left w:w="-2" w:type="dxa"/>
            </w:tcMar>
          </w:tcPr>
          <w:p>
            <w:pPr>
              <w:pStyle w:val="TableContents"/>
              <w:spacing w:before="120" w:after="120"/>
              <w:jc w:val="right"/>
              <w:rPr>
                <w:szCs w:val="22"/>
              </w:rPr>
            </w:pPr>
            <w:r>
              <w:rPr>
                <w:szCs w:val="22"/>
              </w:rPr>
              <w:t>220</w:t>
            </w:r>
          </w:p>
        </w:tc>
      </w:tr>
    </w:tbl>
    <w:p>
      <w:pPr>
        <w:pStyle w:val="Normal"/>
        <w:rPr/>
      </w:pPr>
      <w:r>
        <w:rPr/>
      </w:r>
    </w:p>
    <w:p>
      <w:pPr>
        <w:pStyle w:val="Heading2"/>
        <w:numPr>
          <w:ilvl w:val="1"/>
          <w:numId w:val="2"/>
        </w:numPr>
        <w:rPr/>
      </w:pPr>
      <w:r>
        <w:rPr/>
        <w:t>Toxicity Assessment</w:t>
      </w:r>
    </w:p>
    <w:p>
      <w:pPr>
        <w:pStyle w:val="Normal"/>
        <w:rPr/>
      </w:pPr>
      <w:r>
        <w:rPr/>
        <w:t xml:space="preserve"> </w:t>
      </w:r>
      <w:r>
        <w:rPr/>
        <w:t>adopted the toxicity profiles stipulated in NEPC (2013) for the majority of the target compounds. For dichlorodifluoromethane and trichlorofluoromethane, the toxicity data listed in  (2016) Table 15 were adopted. Toxicity values are included in the BP Risc output in Appendix A of this report.</w:t>
      </w:r>
    </w:p>
    <w:p>
      <w:pPr>
        <w:pStyle w:val="Heading2"/>
        <w:numPr>
          <w:ilvl w:val="1"/>
          <w:numId w:val="2"/>
        </w:numPr>
        <w:rPr/>
      </w:pPr>
      <w:r>
        <w:rPr/>
        <w:t>Exposure Assessment</w:t>
      </w:r>
    </w:p>
    <w:p>
      <w:pPr>
        <w:pStyle w:val="Normal"/>
        <w:rPr/>
      </w:pPr>
      <w:r>
        <w:rPr/>
        <w:t xml:space="preserve"> </w:t>
      </w:r>
      <w:r>
        <w:rPr/>
        <w:t>used the same exposure settings as adopted by  (2016) Section 4.</w:t>
      </w:r>
    </w:p>
    <w:p>
      <w:pPr>
        <w:pStyle w:val="Normal"/>
        <w:rPr/>
      </w:pPr>
      <w:r>
        <w:rPr/>
      </w:r>
    </w:p>
    <w:p>
      <w:pPr>
        <w:pStyle w:val="Heading2"/>
        <w:numPr>
          <w:ilvl w:val="1"/>
          <w:numId w:val="2"/>
        </w:numPr>
        <w:rPr/>
      </w:pPr>
      <w:r>
        <w:rPr/>
        <w:t>Risk Calculation</w:t>
      </w:r>
    </w:p>
    <w:p>
      <w:pPr>
        <w:pStyle w:val="Normal"/>
        <w:rPr/>
      </w:pPr>
      <w:r>
        <w:rPr/>
        <w:t>Risks calculation was conducted using BP Risc. Input and output data is presented in Appendix A.</w:t>
      </w:r>
    </w:p>
    <w:p>
      <w:pPr>
        <w:pStyle w:val="Heading1"/>
        <w:numPr>
          <w:ilvl w:val="0"/>
          <w:numId w:val="2"/>
        </w:numPr>
        <w:rPr/>
      </w:pPr>
      <w:r>
        <w:rPr/>
        <w:t>Findings</w:t>
      </w:r>
    </w:p>
    <w:p>
      <w:pPr>
        <w:pStyle w:val="Heading2"/>
        <w:numPr>
          <w:ilvl w:val="1"/>
          <w:numId w:val="2"/>
        </w:numPr>
        <w:rPr/>
      </w:pPr>
      <w:r>
        <w:rPr/>
        <w:t>Scenario 1 – Open Space</w:t>
      </w:r>
    </w:p>
    <w:p>
      <w:pPr>
        <w:pStyle w:val="Normal"/>
        <w:rPr/>
      </w:pPr>
      <w:r>
        <w:rPr/>
        <w:t>The open space scenario was modelled for risk firstly using the maximum observed contaminant concentrations (Scenario 1A) and then assuming all contaminant concentrations were at the SSTLs (cleanup levels). Whilst  acknowledge that  have calculate the SSTLs on the assumption that significant risk contribution is made by no more than five compounds, it remains that cleanup complying with the SSTLs as presented could result in residual impact with more than five compounds at or close to the SSTL. As a conservative measure this scenario has been assessed.</w:t>
      </w:r>
    </w:p>
    <w:p>
      <w:pPr>
        <w:pStyle w:val="Heading2"/>
        <w:numPr>
          <w:ilvl w:val="1"/>
          <w:numId w:val="2"/>
        </w:numPr>
        <w:rPr/>
      </w:pPr>
      <w:r>
        <w:rPr/>
        <w:t>Scenario 2 – Intrusive Worker</w:t>
      </w:r>
    </w:p>
    <w:p>
      <w:pPr>
        <w:pStyle w:val="Normal"/>
        <w:rPr/>
      </w:pPr>
      <w:r>
        <w:rPr/>
        <w:t>The intrusive worker exposure scenario includes dermal exposure to impacted groundwater and incidental consumption of groundwater at a minimal level (5 mL/day). Skin exposure is for hands, forearms and lower legs, estimated by  as 3,800 cm</w:t>
      </w:r>
      <w:r>
        <w:rPr>
          <w:vertAlign w:val="superscript"/>
        </w:rPr>
        <w:t>2</w:t>
      </w:r>
      <w:bookmarkStart w:id="6" w:name="_GoBack"/>
      <w:bookmarkEnd w:id="6"/>
      <w:r>
        <w:rPr/>
        <w:t xml:space="preserve"> for an average adult. Exposure to groundwater in the excavation was assumed by  to be 4 hours per day of exposure, with a construction worker body weight of 78kg. These exposure assumptions have been relied upon in this cross check assessment.</w:t>
      </w:r>
    </w:p>
    <w:p>
      <w:pPr>
        <w:pStyle w:val="Normal"/>
        <w:rPr/>
      </w:pPr>
      <w:r>
        <w:rPr/>
        <w:t>Kind Regards</w:t>
      </w:r>
    </w:p>
    <w:p>
      <w:pPr>
        <w:pStyle w:val="Normal"/>
        <w:rPr>
          <w:sz w:val="18"/>
        </w:rPr>
      </w:pPr>
      <w:r>
        <w:rPr>
          <w:sz w:val="18"/>
        </w:rPr>
      </w:r>
    </w:p>
    <w:p>
      <w:pPr>
        <w:pStyle w:val="Normal"/>
        <w:rPr>
          <w:sz w:val="18"/>
        </w:rPr>
      </w:pPr>
      <w:r>
        <w:rPr>
          <w:sz w:val="18"/>
        </w:rPr>
      </w:r>
    </w:p>
    <w:p>
      <w:pPr>
        <w:pStyle w:val="Normal"/>
        <w:tabs>
          <w:tab w:val="left" w:pos="3586" w:leader="none"/>
        </w:tabs>
        <w:rPr>
          <w:sz w:val="18"/>
        </w:rPr>
      </w:pPr>
      <w:r>
        <w:rPr>
          <w:sz w:val="18"/>
        </w:rPr>
        <w:tab/>
      </w:r>
    </w:p>
    <w:p>
      <w:pPr>
        <w:pStyle w:val="Normal"/>
        <w:rPr>
          <w:sz w:val="18"/>
        </w:rPr>
      </w:pPr>
      <w:r>
        <w:rPr>
          <w:sz w:val="18"/>
        </w:rPr>
      </w:r>
    </w:p>
    <w:p>
      <w:pPr>
        <w:pStyle w:val="Normal"/>
        <w:rPr>
          <w:sz w:val="18"/>
        </w:rPr>
      </w:pPr>
      <w:r>
        <w:rPr>
          <w:sz w:val="18"/>
        </w:rPr>
      </w:r>
    </w:p>
    <w:p>
      <w:pPr>
        <w:pStyle w:val="ESLetterAddressStyle"/>
        <w:tabs>
          <w:tab w:val="right" w:pos="10206" w:leader="none"/>
        </w:tabs>
        <w:rPr>
          <w:lang w:val="en-AU"/>
        </w:rPr>
      </w:pPr>
      <w:r>
        <w:rPr>
          <w:lang w:val="en-AU"/>
        </w:rPr>
        <w:t>Dave Wally,</w:t>
        <w:tab/>
        <w:t>Other Wally</w:t>
      </w:r>
    </w:p>
    <w:p>
      <w:pPr>
        <w:pStyle w:val="ESLetterAddressStyle"/>
        <w:tabs>
          <w:tab w:val="right" w:pos="10206" w:leader="none"/>
        </w:tabs>
        <w:rPr>
          <w:lang w:val="en-AU"/>
        </w:rPr>
      </w:pPr>
      <w:r>
        <w:rPr>
          <w:lang w:val="en-AU"/>
        </w:rPr>
        <w:t>Principal Hydrogeologist</w:t>
        <w:tab/>
        <w:t>Project Director</w:t>
      </w:r>
    </w:p>
    <w:p>
      <w:pPr>
        <w:pStyle w:val="ESLetterAddressStyle"/>
        <w:tabs>
          <w:tab w:val="right" w:pos="10206" w:leader="none"/>
        </w:tabs>
        <w:rPr>
          <w:lang w:val="en-AU"/>
        </w:rPr>
      </w:pPr>
      <w:r>
        <w:rPr>
          <w:lang w:val="en-AU"/>
        </w:rPr>
        <w:t xml:space="preserve"> </w:t>
      </w:r>
      <w:r>
        <w:rPr>
          <w:lang w:val="en-AU"/>
        </w:rPr>
        <w:t>Pty Ltd</w:t>
        <w:tab/>
        <w:t xml:space="preserve"> Pty Ltd</w:t>
      </w:r>
    </w:p>
    <w:p>
      <w:pPr>
        <w:pStyle w:val="ESLetterAddressStyle"/>
        <w:tabs>
          <w:tab w:val="right" w:pos="10206" w:leader="none"/>
        </w:tabs>
        <w:rPr>
          <w:lang w:val="en-AU"/>
        </w:rPr>
      </w:pPr>
      <w:r>
        <w:rPr>
          <w:lang w:val="en-AU"/>
        </w:rPr>
        <w:t>+61 05555 333 555</w:t>
        <w:tab/>
        <w:t>+61 05555 333 666</w:t>
      </w:r>
    </w:p>
    <w:p>
      <w:pPr>
        <w:pStyle w:val="ESLetterAddressStyle"/>
        <w:tabs>
          <w:tab w:val="right" w:pos="10206" w:leader="none"/>
        </w:tabs>
        <w:rPr/>
      </w:pPr>
      <w:r>
        <w:rPr/>
      </w:r>
    </w:p>
    <w:sectPr>
      <w:headerReference w:type="default" r:id="rId4"/>
      <w:footerReference w:type="default" r:id="rId5"/>
      <w:footnotePr>
        <w:numFmt w:val="decimal"/>
      </w:footnotePr>
      <w:type w:val="nextPage"/>
      <w:pgSz w:w="11906" w:h="16838"/>
      <w:pgMar w:left="1021" w:right="567" w:header="709" w:top="1242" w:footer="918" w:bottom="1418"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1"/>
    <w:family w:val="swiss"/>
    <w:pitch w:val="default"/>
  </w:font>
  <w:font w:name="Calibri">
    <w:charset w:val="01"/>
    <w:family w:val="swiss"/>
    <w:pitch w:val="default"/>
  </w:font>
  <w:font w:name="Rockwell">
    <w:charset w:val="01"/>
    <w:family w:val="swiss"/>
    <w:pitch w:val="default"/>
  </w:font>
  <w:font w:name="PMingLiU">
    <w:charset w:val="01"/>
    <w:family w:val="swiss"/>
    <w:pitch w:val="default"/>
  </w:font>
  <w:font w:name="Lucida Grande">
    <w:charset w:val="01"/>
    <w:family w:val="swiss"/>
    <w:pitch w:val="default"/>
  </w:font>
  <w:font w:name="Century Gothic">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hanging="0"/>
      <w:rPr/>
    </w:pPr>
    <w:bookmarkStart w:id="1" w:name="__UnoMark__6_715505902"/>
    <w:bookmarkStart w:id="2" w:name="__UnoMark__6_715505902"/>
    <w:bookmarkEnd w:id="2"/>
    <w:r>
      <w:rPr/>
      <mc:AlternateContent>
        <mc:Choice Requires="wps">
          <w:drawing>
            <wp:anchor behindDoc="1" distT="0" distB="0" distL="114935" distR="114935" simplePos="0" locked="0" layoutInCell="1" allowOverlap="1" relativeHeight="2">
              <wp:simplePos x="0" y="0"/>
              <wp:positionH relativeFrom="page">
                <wp:posOffset>648335</wp:posOffset>
              </wp:positionH>
              <wp:positionV relativeFrom="page">
                <wp:posOffset>9142095</wp:posOffset>
              </wp:positionV>
              <wp:extent cx="3615690" cy="246380"/>
              <wp:effectExtent l="0" t="0" r="0" b="0"/>
              <wp:wrapSquare wrapText="bothSides"/>
              <wp:docPr id="2" name="Frame1"/>
              <a:graphic xmlns:a="http://schemas.openxmlformats.org/drawingml/2006/main">
                <a:graphicData uri="http://schemas.microsoft.com/office/word/2010/wordprocessingShape">
                  <wps:wsp>
                    <wps:cNvSpPr/>
                    <wps:spPr>
                      <a:xfrm>
                        <a:off x="0" y="0"/>
                        <a:ext cx="3615120" cy="245880"/>
                      </a:xfrm>
                      <a:prstGeom prst="rect">
                        <a:avLst/>
                      </a:prstGeom>
                      <a:noFill/>
                      <a:ln>
                        <a:noFill/>
                      </a:ln>
                    </wps:spPr>
                    <wps:style>
                      <a:lnRef idx="0"/>
                      <a:fillRef idx="0"/>
                      <a:effectRef idx="0"/>
                      <a:fontRef idx="minor"/>
                    </wps:style>
                    <wps:txbx>
                      <w:txbxContent>
                        <w:p>
                          <w:pPr>
                            <w:pStyle w:val="FrameContents"/>
                            <w:spacing w:before="120" w:after="120"/>
                            <w:rPr>
                              <w:color w:val="000000"/>
                            </w:rPr>
                          </w:pPr>
                          <w:r>
                            <w:rPr>
                              <w:color w:val="000000"/>
                            </w:rPr>
                          </w:r>
                        </w:p>
                      </w:txbxContent>
                    </wps:txbx>
                    <wps:bodyPr lIns="0" rIns="0" tIns="0" bIns="0">
                      <a:spAutoFit/>
                    </wps:bodyPr>
                  </wps:wsp>
                </a:graphicData>
              </a:graphic>
            </wp:anchor>
          </w:drawing>
        </mc:Choice>
        <mc:Fallback>
          <w:pict>
            <v:rect id="shape_0" ID="Frame1" stroked="f" style="position:absolute;margin-left:51.05pt;margin-top:719.85pt;width:284.6pt;height:19.3pt;mso-position-horizontal-relative:page;mso-position-vertical-relative:page">
              <w10:wrap type="none"/>
              <v:fill o:detectmouseclick="t" on="false"/>
              <v:stroke color="#3465a4" joinstyle="round" endcap="flat"/>
              <v:textbox>
                <w:txbxContent>
                  <w:p>
                    <w:pPr>
                      <w:pStyle w:val="FrameContents"/>
                      <w:spacing w:before="120" w:after="120"/>
                      <w:rPr>
                        <w:color w:val="000000"/>
                      </w:rPr>
                    </w:pPr>
                    <w:r>
                      <w:rPr>
                        <w:color w:val="000000"/>
                      </w:rPr>
                    </w:r>
                  </w:p>
                </w:txbxContent>
              </v:textbox>
            </v:rect>
          </w:pict>
        </mc:Fallback>
      </mc:AlternateContent>
      <w:drawing>
        <wp:anchor behindDoc="1" distT="0" distB="0" distL="139700" distR="126365" simplePos="0" locked="0" layoutInCell="1" allowOverlap="1" relativeHeight="3">
          <wp:simplePos x="0" y="0"/>
          <wp:positionH relativeFrom="column">
            <wp:posOffset>-241300</wp:posOffset>
          </wp:positionH>
          <wp:positionV relativeFrom="page">
            <wp:posOffset>8688070</wp:posOffset>
          </wp:positionV>
          <wp:extent cx="1842135" cy="2125345"/>
          <wp:effectExtent l="0" t="0" r="0" b="0"/>
          <wp:wrapNone/>
          <wp:docPr id="4" name="Picture 11" descr="Reverse Swirl 5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Reverse Swirl 50mm.jpg"/>
                  <pic:cNvPicPr>
                    <a:picLocks noChangeAspect="1" noChangeArrowheads="1"/>
                  </pic:cNvPicPr>
                </pic:nvPicPr>
                <pic:blipFill>
                  <a:blip r:embed="rId1"/>
                  <a:stretch>
                    <a:fillRect/>
                  </a:stretch>
                </pic:blipFill>
                <pic:spPr bwMode="auto">
                  <a:xfrm>
                    <a:off x="0" y="0"/>
                    <a:ext cx="1842135" cy="212534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spacing w:before="120" w:after="120"/>
        <w:rPr/>
      </w:pPr>
      <w:r>
        <w:rPr/>
        <w:footnoteRef/>
        <w:tab/>
      </w:r>
      <w:r>
        <w:rPr/>
        <w:t xml:space="preserve">National Environment Protection Council (2013) </w:t>
      </w:r>
      <w:r>
        <w:rPr>
          <w:i/>
        </w:rPr>
        <w:t>National Environment Protection (Assessment of Site Contamination) Amendment Measure No 1.</w:t>
      </w:r>
    </w:p>
  </w:footnote>
  <w:footnote w:id="3">
    <w:p>
      <w:pPr>
        <w:pStyle w:val="Footnotetext"/>
        <w:spacing w:before="120" w:after="120"/>
        <w:rPr/>
      </w:pPr>
      <w:r>
        <w:rPr/>
        <w:footnoteRef/>
        <w:tab/>
      </w:r>
      <w:r>
        <w:rPr/>
        <w:t>Solubility of pure product in water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left" w:pos="5504" w:leader="none"/>
        <w:tab w:val="right" w:pos="8640" w:leader="none"/>
      </w:tabs>
      <w:jc w:val="right"/>
      <w:rPr/>
    </w:pPr>
    <w:r>
      <w:rPr/>
      <w:drawing>
        <wp:anchor behindDoc="1" distT="0" distB="0" distL="133350" distR="114300" simplePos="0" locked="0" layoutInCell="1" allowOverlap="1" relativeHeight="4">
          <wp:simplePos x="0" y="0"/>
          <wp:positionH relativeFrom="column">
            <wp:posOffset>3429000</wp:posOffset>
          </wp:positionH>
          <wp:positionV relativeFrom="paragraph">
            <wp:posOffset>-226695</wp:posOffset>
          </wp:positionV>
          <wp:extent cx="3235960" cy="711200"/>
          <wp:effectExtent l="0" t="0" r="0" b="0"/>
          <wp:wrapNone/>
          <wp:docPr id="1" name="Picture 1" descr="ES Logo - Large Hi 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S Logo - Large Hi Res.gif"/>
                  <pic:cNvPicPr>
                    <a:picLocks noChangeAspect="1" noChangeArrowheads="1"/>
                  </pic:cNvPicPr>
                </pic:nvPicPr>
                <pic:blipFill>
                  <a:blip r:embed="rId1"/>
                  <a:stretch>
                    <a:fillRect/>
                  </a:stretch>
                </pic:blipFill>
                <pic:spPr bwMode="auto">
                  <a:xfrm>
                    <a:off x="0" y="0"/>
                    <a:ext cx="3235960" cy="71120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ind w:left="1080" w:hanging="360"/>
      </w:pPr>
      <w:rPr>
        <w:rFonts w:ascii="Wingdings" w:hAnsi="Wingdings" w:cs="Wingdings" w:hint="default"/>
        <w:rFonts w:cs="Wingdings"/>
        <w:color w:val="7F7F7F"/>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embedSystemFonts/>
  <w:defaultTabStop w:val="72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ahoma"/>
        <w:szCs w:val="24"/>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120" w:after="120"/>
      <w:jc w:val="left"/>
    </w:pPr>
    <w:rPr>
      <w:rFonts w:ascii="Calibri" w:hAnsi="Calibri" w:eastAsia="Cambria" w:cs="Tahoma"/>
      <w:color w:val="00000A"/>
      <w:sz w:val="22"/>
      <w:szCs w:val="24"/>
      <w:lang w:val="en-AU" w:eastAsia="en-US" w:bidi="ar-SA"/>
    </w:rPr>
  </w:style>
  <w:style w:type="paragraph" w:styleId="Heading1">
    <w:name w:val="Heading 1"/>
    <w:basedOn w:val="Normal"/>
    <w:next w:val="Normal"/>
    <w:qFormat/>
    <w:pPr>
      <w:keepNext/>
      <w:keepLines/>
      <w:numPr>
        <w:ilvl w:val="0"/>
        <w:numId w:val="1"/>
      </w:numPr>
      <w:spacing w:before="480" w:after="0"/>
      <w:outlineLvl w:val="0"/>
      <w:outlineLvl w:val="0"/>
    </w:pPr>
    <w:rPr>
      <w:b/>
      <w:bCs/>
      <w:color w:val="345A8A"/>
      <w:sz w:val="32"/>
      <w:szCs w:val="32"/>
    </w:rPr>
  </w:style>
  <w:style w:type="paragraph" w:styleId="Heading2">
    <w:name w:val="Heading 2"/>
    <w:basedOn w:val="Normal"/>
    <w:next w:val="Normal"/>
    <w:qFormat/>
    <w:pPr>
      <w:keepNext/>
      <w:keepLines/>
      <w:numPr>
        <w:ilvl w:val="1"/>
        <w:numId w:val="1"/>
      </w:numPr>
      <w:spacing w:before="200" w:after="0"/>
      <w:outlineLvl w:val="1"/>
      <w:outlineLvl w:val="1"/>
    </w:pPr>
    <w:rPr>
      <w:b/>
      <w:bCs/>
      <w:color w:val="1F497D"/>
      <w:szCs w:val="26"/>
    </w:rPr>
  </w:style>
  <w:style w:type="paragraph" w:styleId="Heading3">
    <w:name w:val="Heading 3"/>
    <w:basedOn w:val="Normal"/>
    <w:next w:val="Normal"/>
    <w:qFormat/>
    <w:pPr>
      <w:keepNext/>
      <w:keepLines/>
      <w:numPr>
        <w:ilvl w:val="2"/>
        <w:numId w:val="1"/>
      </w:numPr>
      <w:spacing w:before="200" w:after="0"/>
      <w:ind w:left="1440" w:hanging="0"/>
      <w:outlineLvl w:val="2"/>
      <w:outlineLvl w:val="2"/>
    </w:pPr>
    <w:rPr>
      <w:b/>
      <w:bCs/>
      <w:color w:val="1F497D"/>
    </w:rPr>
  </w:style>
  <w:style w:type="paragraph" w:styleId="Heading4">
    <w:name w:val="Heading 4"/>
    <w:basedOn w:val="Normal"/>
    <w:next w:val="Normal"/>
    <w:qFormat/>
    <w:pPr>
      <w:keepNext/>
      <w:keepLines/>
      <w:numPr>
        <w:ilvl w:val="3"/>
        <w:numId w:val="1"/>
      </w:numPr>
      <w:spacing w:before="200" w:after="0"/>
      <w:outlineLvl w:val="3"/>
      <w:outlineLvl w:val="3"/>
    </w:pPr>
    <w:rPr>
      <w:b/>
      <w:bCs/>
      <w:i/>
      <w:iCs/>
      <w:color w:val="4F81BD"/>
    </w:rPr>
  </w:style>
  <w:style w:type="paragraph" w:styleId="Heading5">
    <w:name w:val="Heading 5"/>
    <w:basedOn w:val="Normal"/>
    <w:next w:val="Normal"/>
    <w:qFormat/>
    <w:pPr>
      <w:keepNext/>
      <w:keepLines/>
      <w:numPr>
        <w:ilvl w:val="4"/>
        <w:numId w:val="1"/>
      </w:numPr>
      <w:spacing w:before="200" w:after="0"/>
      <w:outlineLvl w:val="4"/>
      <w:outlineLvl w:val="4"/>
    </w:pPr>
    <w:rPr>
      <w:color w:val="244061"/>
    </w:rPr>
  </w:style>
  <w:style w:type="paragraph" w:styleId="Heading6">
    <w:name w:val="Heading 6"/>
    <w:basedOn w:val="Normal"/>
    <w:next w:val="Normal"/>
    <w:qFormat/>
    <w:pPr>
      <w:keepNext/>
      <w:keepLines/>
      <w:numPr>
        <w:ilvl w:val="5"/>
        <w:numId w:val="1"/>
      </w:numPr>
      <w:spacing w:before="200" w:after="0"/>
      <w:outlineLvl w:val="5"/>
      <w:outlineLvl w:val="5"/>
    </w:pPr>
    <w:rPr>
      <w:i/>
      <w:iCs/>
      <w:color w:val="244061"/>
    </w:rPr>
  </w:style>
  <w:style w:type="paragraph" w:styleId="Heading7">
    <w:name w:val="Heading 7"/>
    <w:basedOn w:val="Normal"/>
    <w:next w:val="Normal"/>
    <w:qFormat/>
    <w:pPr>
      <w:keepNext/>
      <w:keepLines/>
      <w:numPr>
        <w:ilvl w:val="6"/>
        <w:numId w:val="1"/>
      </w:numPr>
      <w:spacing w:before="200" w:after="0"/>
      <w:outlineLvl w:val="6"/>
      <w:outlineLvl w:val="6"/>
    </w:pPr>
    <w:rPr>
      <w:i/>
      <w:iCs/>
      <w:color w:val="404040"/>
    </w:rPr>
  </w:style>
  <w:style w:type="paragraph" w:styleId="Heading8">
    <w:name w:val="Heading 8"/>
    <w:basedOn w:val="Normal"/>
    <w:next w:val="Normal"/>
    <w:qFormat/>
    <w:pPr>
      <w:keepNext/>
      <w:keepLines/>
      <w:numPr>
        <w:ilvl w:val="7"/>
        <w:numId w:val="1"/>
      </w:numPr>
      <w:spacing w:before="200" w:after="0"/>
      <w:outlineLvl w:val="7"/>
      <w:outlineLvl w:val="7"/>
    </w:pPr>
    <w:rPr>
      <w:color w:val="363636"/>
      <w:sz w:val="20"/>
      <w:szCs w:val="20"/>
    </w:rPr>
  </w:style>
  <w:style w:type="paragraph" w:styleId="Heading9">
    <w:name w:val="Heading 9"/>
    <w:basedOn w:val="Normal"/>
    <w:next w:val="Normal"/>
    <w:qFormat/>
    <w:pPr>
      <w:keepNext/>
      <w:keepLines/>
      <w:numPr>
        <w:ilvl w:val="8"/>
        <w:numId w:val="1"/>
      </w:numPr>
      <w:spacing w:before="200" w:after="0"/>
      <w:outlineLvl w:val="8"/>
      <w:outlineLvl w:val="8"/>
    </w:pPr>
    <w:rPr>
      <w:i/>
      <w:iCs/>
      <w:color w:val="363636"/>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Rockwell" w:hAnsi="Rockwell" w:eastAsia="Cambria" w:cs="Tahoma"/>
      <w:b/>
      <w:bCs/>
      <w:color w:val="345A8A"/>
      <w:sz w:val="32"/>
      <w:szCs w:val="32"/>
    </w:rPr>
  </w:style>
  <w:style w:type="character" w:styleId="Heading2Char" w:customStyle="1">
    <w:name w:val="Heading 2 Char"/>
    <w:basedOn w:val="DefaultParagraphFont"/>
    <w:qFormat/>
    <w:rPr>
      <w:rFonts w:ascii="Rockwell" w:hAnsi="Rockwell" w:eastAsia="Cambria" w:cs="Tahoma"/>
      <w:b/>
      <w:bCs/>
      <w:color w:val="1F497D"/>
      <w:szCs w:val="26"/>
    </w:rPr>
  </w:style>
  <w:style w:type="character" w:styleId="Heading3Char" w:customStyle="1">
    <w:name w:val="Heading 3 Char"/>
    <w:basedOn w:val="DefaultParagraphFont"/>
    <w:qFormat/>
    <w:rPr>
      <w:rFonts w:ascii="Rockwell" w:hAnsi="Rockwell" w:eastAsia="Cambria" w:cs="Tahoma"/>
      <w:b/>
      <w:bCs/>
      <w:color w:val="1F497D"/>
    </w:rPr>
  </w:style>
  <w:style w:type="character" w:styleId="Heading4Char" w:customStyle="1">
    <w:name w:val="Heading 4 Char"/>
    <w:basedOn w:val="DefaultParagraphFont"/>
    <w:qFormat/>
    <w:rPr>
      <w:rFonts w:ascii="Calibri" w:hAnsi="Calibri" w:eastAsia="Cambria" w:cs="Tahoma"/>
      <w:b/>
      <w:bCs/>
      <w:i/>
      <w:iCs/>
      <w:color w:val="4F81BD"/>
    </w:rPr>
  </w:style>
  <w:style w:type="character" w:styleId="Heading5Char" w:customStyle="1">
    <w:name w:val="Heading 5 Char"/>
    <w:basedOn w:val="DefaultParagraphFont"/>
    <w:qFormat/>
    <w:rPr>
      <w:rFonts w:ascii="Calibri" w:hAnsi="Calibri" w:eastAsia="Cambria" w:cs="Tahoma"/>
      <w:color w:val="244061"/>
    </w:rPr>
  </w:style>
  <w:style w:type="character" w:styleId="Heading6Char" w:customStyle="1">
    <w:name w:val="Heading 6 Char"/>
    <w:basedOn w:val="DefaultParagraphFont"/>
    <w:qFormat/>
    <w:rPr>
      <w:rFonts w:ascii="Calibri" w:hAnsi="Calibri" w:eastAsia="Cambria" w:cs="Tahoma"/>
      <w:i/>
      <w:iCs/>
      <w:color w:val="244061"/>
    </w:rPr>
  </w:style>
  <w:style w:type="character" w:styleId="Heading7Char" w:customStyle="1">
    <w:name w:val="Heading 7 Char"/>
    <w:basedOn w:val="DefaultParagraphFont"/>
    <w:qFormat/>
    <w:rPr>
      <w:rFonts w:ascii="Calibri" w:hAnsi="Calibri" w:eastAsia="Cambria" w:cs="Tahoma"/>
      <w:i/>
      <w:iCs/>
      <w:color w:val="404040"/>
    </w:rPr>
  </w:style>
  <w:style w:type="character" w:styleId="Heading8Char" w:customStyle="1">
    <w:name w:val="Heading 8 Char"/>
    <w:basedOn w:val="DefaultParagraphFont"/>
    <w:qFormat/>
    <w:rPr>
      <w:rFonts w:ascii="Calibri" w:hAnsi="Calibri" w:eastAsia="Cambria" w:cs="Tahoma"/>
      <w:color w:val="363636"/>
      <w:sz w:val="20"/>
      <w:szCs w:val="20"/>
    </w:rPr>
  </w:style>
  <w:style w:type="character" w:styleId="Heading9Char" w:customStyle="1">
    <w:name w:val="Heading 9 Char"/>
    <w:basedOn w:val="DefaultParagraphFont"/>
    <w:qFormat/>
    <w:rPr>
      <w:rFonts w:ascii="Calibri" w:hAnsi="Calibri" w:eastAsia="Cambria" w:cs="Tahoma"/>
      <w:i/>
      <w:iCs/>
      <w:color w:val="363636"/>
      <w:sz w:val="20"/>
      <w:szCs w:val="20"/>
    </w:rPr>
  </w:style>
  <w:style w:type="character" w:styleId="NoSpacingChar" w:customStyle="1">
    <w:name w:val="No Spacing Char"/>
    <w:basedOn w:val="DefaultParagraphFont"/>
    <w:qFormat/>
    <w:rPr>
      <w:rFonts w:ascii="PMingLiU" w:hAnsi="PMingLiU" w:eastAsia="Cambria"/>
      <w:sz w:val="22"/>
      <w:szCs w:val="22"/>
    </w:rPr>
  </w:style>
  <w:style w:type="character" w:styleId="HeaderChar" w:customStyle="1">
    <w:name w:val="Header Char"/>
    <w:basedOn w:val="DefaultParagraphFont"/>
    <w:qFormat/>
    <w:rPr>
      <w:rFonts w:ascii="Rockwell" w:hAnsi="Rockwell"/>
    </w:rPr>
  </w:style>
  <w:style w:type="character" w:styleId="Pagenumber">
    <w:name w:val="page number"/>
    <w:basedOn w:val="DefaultParagraphFont"/>
    <w:qFormat/>
    <w:rPr/>
  </w:style>
  <w:style w:type="character" w:styleId="BalloonTextChar" w:customStyle="1">
    <w:name w:val="Balloon Text Char"/>
    <w:basedOn w:val="DefaultParagraphFont"/>
    <w:qFormat/>
    <w:rPr>
      <w:rFonts w:ascii="Lucida Grande" w:hAnsi="Lucida Grande"/>
      <w:sz w:val="18"/>
      <w:szCs w:val="18"/>
    </w:rPr>
  </w:style>
  <w:style w:type="character" w:styleId="FootnoteTextChar" w:customStyle="1">
    <w:name w:val="Footnote Text Char"/>
    <w:basedOn w:val="DefaultParagraphFont"/>
    <w:qFormat/>
    <w:rPr>
      <w:rFonts w:ascii="Rockwell" w:hAnsi="Rockwell"/>
      <w:sz w:val="16"/>
    </w:rPr>
  </w:style>
  <w:style w:type="character" w:styleId="ESFooterChar" w:customStyle="1">
    <w:name w:val="ES Footer Char"/>
    <w:basedOn w:val="DefaultParagraphFont"/>
    <w:qFormat/>
    <w:rPr>
      <w:rFonts w:ascii="Century Gothic" w:hAnsi="Century Gothic"/>
      <w:i/>
      <w:sz w:val="18"/>
    </w:rPr>
  </w:style>
  <w:style w:type="character" w:styleId="FooterChar" w:customStyle="1">
    <w:name w:val="Footer Char"/>
    <w:basedOn w:val="DefaultParagraphFont"/>
    <w:qFormat/>
    <w:rPr>
      <w:rFonts w:ascii="Century Gothic" w:hAnsi="Century Gothic"/>
    </w:rPr>
  </w:style>
  <w:style w:type="character" w:styleId="ESLetterHeaderChar" w:customStyle="1">
    <w:name w:val="ES Letter Header Char"/>
    <w:basedOn w:val="HeaderChar"/>
    <w:qFormat/>
    <w:rPr>
      <w:rFonts w:ascii="Century Gothic" w:hAnsi="Century Gothic"/>
      <w:i/>
      <w:sz w:val="18"/>
    </w:rPr>
  </w:style>
  <w:style w:type="character" w:styleId="InternetLink" w:customStyle="1">
    <w:name w:val="Internet Link"/>
    <w:basedOn w:val="DefaultParagraphFont"/>
    <w:rPr>
      <w:color w:val="0000FF"/>
      <w:u w:val="single"/>
    </w:rPr>
  </w:style>
  <w:style w:type="character" w:styleId="Footnotereference">
    <w:name w:val="footnote reference"/>
    <w:basedOn w:val="DefaultParagraphFont"/>
    <w:qFormat/>
    <w:rPr>
      <w:vertAlign w:val="superscript"/>
    </w:rPr>
  </w:style>
  <w:style w:type="character" w:styleId="ListLabel1" w:customStyle="1">
    <w:name w:val="ListLabel 1"/>
    <w:qFormat/>
    <w:rPr>
      <w:rFonts w:cs="Wingdings"/>
    </w:rPr>
  </w:style>
  <w:style w:type="character" w:styleId="ListLabel2" w:customStyle="1">
    <w:name w:val="ListLabel 2"/>
    <w:qFormat/>
    <w:rPr>
      <w:rFonts w:cs="Wingdings"/>
    </w:rPr>
  </w:style>
  <w:style w:type="character" w:styleId="ListLabel3" w:customStyle="1">
    <w:name w:val="ListLabel 3"/>
    <w:qFormat/>
    <w:rPr>
      <w:rFonts w:cs="Wingdings"/>
    </w:rPr>
  </w:style>
  <w:style w:type="character" w:styleId="ListLabel4" w:customStyle="1">
    <w:name w:val="ListLabel 4"/>
    <w:qFormat/>
    <w:rPr>
      <w:color w:val="808080"/>
    </w:rPr>
  </w:style>
  <w:style w:type="character" w:styleId="ListLabel5" w:customStyle="1">
    <w:name w:val="ListLabel 5"/>
    <w:qFormat/>
    <w:rPr>
      <w:color w:val="808080"/>
    </w:rPr>
  </w:style>
  <w:style w:type="character" w:styleId="ListLabel6" w:customStyle="1">
    <w:name w:val="ListLabel 6"/>
    <w:qFormat/>
    <w:rPr>
      <w:color w:val="7F7F7F"/>
    </w:rPr>
  </w:style>
  <w:style w:type="character" w:styleId="Bullets" w:customStyle="1">
    <w:name w:val="Bullets"/>
    <w:qFormat/>
    <w:rPr>
      <w:rFonts w:ascii="OpenSymbol" w:hAnsi="OpenSymbol" w:eastAsia="OpenSymbol" w:cs="OpenSymbol"/>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cs="Symbol"/>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rFonts w:cs="Symbol"/>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Wingdings"/>
      <w:color w:val="7F7F7F"/>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Symbol"/>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FootnoteCharacters" w:customStyle="1">
    <w:name w:val="Footnote Characters"/>
    <w:qForma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ListLabel24" w:customStyle="1">
    <w:name w:val="ListLabel 24"/>
    <w:qFormat/>
    <w:rPr>
      <w:rFonts w:cs="Wingdings"/>
      <w:color w:val="7F7F7F"/>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Symbol"/>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Wingdings"/>
      <w:color w:val="7F7F7F"/>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Wingdings"/>
      <w:color w:val="7F7F7F"/>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Symbol"/>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name w:val="ListLabel 51"/>
    <w:qFormat/>
    <w:rPr>
      <w:rFonts w:cs="Wingdings"/>
      <w:color w:val="7F7F7F"/>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Wingdings"/>
      <w:color w:val="7F7F7F"/>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sz w:val="24"/>
      <w:szCs w:val="24"/>
    </w:rPr>
  </w:style>
  <w:style w:type="paragraph" w:styleId="Index" w:customStyle="1">
    <w:name w:val="Index"/>
    <w:basedOn w:val="Normal"/>
    <w:qFormat/>
    <w:pPr>
      <w:suppressLineNumbers/>
    </w:pPr>
    <w:rPr>
      <w:rFonts w:ascii="Liberation Sans" w:hAnsi="Liberation Sans" w:cs="Mangal"/>
    </w:rPr>
  </w:style>
  <w:style w:type="paragraph" w:styleId="Caption1">
    <w:name w:val="caption"/>
    <w:basedOn w:val="Normal"/>
    <w:qFormat/>
    <w:pPr>
      <w:suppressLineNumbers/>
    </w:pPr>
    <w:rPr>
      <w:rFonts w:ascii="Liberation Sans" w:hAnsi="Liberation Sans" w:cs="Mangal"/>
      <w:i/>
      <w:iCs/>
      <w:sz w:val="24"/>
    </w:rPr>
  </w:style>
  <w:style w:type="paragraph" w:styleId="TOCHeading">
    <w:name w:val="TOC Heading"/>
    <w:basedOn w:val="Heading1"/>
    <w:next w:val="Normal"/>
    <w:qFormat/>
    <w:pPr>
      <w:numPr>
        <w:ilvl w:val="0"/>
        <w:numId w:val="0"/>
      </w:numPr>
      <w:spacing w:lineRule="auto" w:line="276"/>
    </w:pPr>
    <w:rPr>
      <w:color w:val="365F91"/>
      <w:sz w:val="28"/>
      <w:szCs w:val="28"/>
    </w:rPr>
  </w:style>
  <w:style w:type="paragraph" w:styleId="Contents1">
    <w:name w:val="TOC 1"/>
    <w:basedOn w:val="Normal"/>
    <w:next w:val="Normal"/>
    <w:autoRedefine/>
    <w:pPr>
      <w:tabs>
        <w:tab w:val="left" w:pos="426" w:leader="none"/>
        <w:tab w:val="right" w:pos="8290" w:leader="dot"/>
      </w:tabs>
      <w:spacing w:before="120" w:after="0"/>
    </w:pPr>
    <w:rPr>
      <w:b/>
      <w:color w:val="1F497D"/>
      <w:sz w:val="28"/>
    </w:rPr>
  </w:style>
  <w:style w:type="paragraph" w:styleId="Contents2">
    <w:name w:val="TOC 2"/>
    <w:basedOn w:val="Normal"/>
    <w:next w:val="Normal"/>
    <w:autoRedefine/>
    <w:pPr>
      <w:tabs>
        <w:tab w:val="left" w:pos="529" w:leader="none"/>
        <w:tab w:val="right" w:pos="8290" w:leader="dot"/>
      </w:tabs>
      <w:spacing w:before="0" w:after="0"/>
    </w:pPr>
    <w:rPr>
      <w:szCs w:val="22"/>
    </w:rPr>
  </w:style>
  <w:style w:type="paragraph" w:styleId="Contents3">
    <w:name w:val="TOC 3"/>
    <w:basedOn w:val="Normal"/>
    <w:next w:val="Normal"/>
    <w:autoRedefine/>
    <w:pPr>
      <w:tabs>
        <w:tab w:val="left" w:pos="916" w:leader="none"/>
        <w:tab w:val="right" w:pos="8290" w:leader="dot"/>
      </w:tabs>
      <w:spacing w:before="0" w:after="0"/>
      <w:ind w:left="240" w:hanging="0"/>
    </w:pPr>
    <w:rPr/>
  </w:style>
  <w:style w:type="paragraph" w:styleId="Contents4">
    <w:name w:val="TOC 4"/>
    <w:basedOn w:val="Normal"/>
    <w:next w:val="Normal"/>
    <w:autoRedefine/>
    <w:pPr>
      <w:spacing w:before="0" w:after="0"/>
      <w:ind w:left="480" w:hanging="0"/>
    </w:pPr>
    <w:rPr>
      <w:rFonts w:ascii="Cambria" w:hAnsi="Cambria"/>
      <w:sz w:val="20"/>
      <w:szCs w:val="20"/>
    </w:rPr>
  </w:style>
  <w:style w:type="paragraph" w:styleId="Contents5">
    <w:name w:val="TOC 5"/>
    <w:basedOn w:val="Normal"/>
    <w:next w:val="Normal"/>
    <w:autoRedefine/>
    <w:pPr>
      <w:spacing w:before="0" w:after="0"/>
      <w:ind w:left="720" w:hanging="0"/>
    </w:pPr>
    <w:rPr>
      <w:rFonts w:ascii="Cambria" w:hAnsi="Cambria"/>
      <w:sz w:val="20"/>
      <w:szCs w:val="20"/>
    </w:rPr>
  </w:style>
  <w:style w:type="paragraph" w:styleId="Contents6">
    <w:name w:val="TOC 6"/>
    <w:basedOn w:val="Normal"/>
    <w:next w:val="Normal"/>
    <w:autoRedefine/>
    <w:pPr>
      <w:spacing w:before="0" w:after="0"/>
      <w:ind w:left="960" w:hanging="0"/>
    </w:pPr>
    <w:rPr>
      <w:rFonts w:ascii="Cambria" w:hAnsi="Cambria"/>
      <w:sz w:val="20"/>
      <w:szCs w:val="20"/>
    </w:rPr>
  </w:style>
  <w:style w:type="paragraph" w:styleId="Contents7">
    <w:name w:val="TOC 7"/>
    <w:basedOn w:val="Normal"/>
    <w:next w:val="Normal"/>
    <w:autoRedefine/>
    <w:pPr>
      <w:spacing w:before="0" w:after="0"/>
      <w:ind w:left="1200" w:hanging="0"/>
    </w:pPr>
    <w:rPr>
      <w:rFonts w:ascii="Cambria" w:hAnsi="Cambria"/>
      <w:sz w:val="20"/>
      <w:szCs w:val="20"/>
    </w:rPr>
  </w:style>
  <w:style w:type="paragraph" w:styleId="Contents8">
    <w:name w:val="TOC 8"/>
    <w:basedOn w:val="Normal"/>
    <w:next w:val="Normal"/>
    <w:autoRedefine/>
    <w:pPr>
      <w:spacing w:before="0" w:after="0"/>
      <w:ind w:left="1440" w:hanging="0"/>
    </w:pPr>
    <w:rPr>
      <w:rFonts w:ascii="Cambria" w:hAnsi="Cambria"/>
      <w:sz w:val="20"/>
      <w:szCs w:val="20"/>
    </w:rPr>
  </w:style>
  <w:style w:type="paragraph" w:styleId="Contents9">
    <w:name w:val="TOC 9"/>
    <w:basedOn w:val="Normal"/>
    <w:next w:val="Normal"/>
    <w:autoRedefine/>
    <w:pPr>
      <w:spacing w:before="0" w:after="0"/>
      <w:ind w:left="1680" w:hanging="0"/>
    </w:pPr>
    <w:rPr>
      <w:rFonts w:ascii="Cambria" w:hAnsi="Cambria"/>
      <w:sz w:val="20"/>
      <w:szCs w:val="20"/>
    </w:rPr>
  </w:style>
  <w:style w:type="paragraph" w:styleId="NoSpacing">
    <w:name w:val="No Spacing"/>
    <w:qFormat/>
    <w:pPr>
      <w:widowControl/>
      <w:bidi w:val="0"/>
      <w:jc w:val="left"/>
    </w:pPr>
    <w:rPr>
      <w:rFonts w:ascii="PMingLiU" w:hAnsi="PMingLiU" w:eastAsia="Cambria" w:cs="Tahoma"/>
      <w:color w:val="00000A"/>
      <w:sz w:val="22"/>
      <w:szCs w:val="22"/>
      <w:lang w:val="en-US" w:eastAsia="en-US" w:bidi="ar-SA"/>
    </w:rPr>
  </w:style>
  <w:style w:type="paragraph" w:styleId="Header">
    <w:name w:val="Header"/>
    <w:basedOn w:val="Normal"/>
    <w:pPr>
      <w:tabs>
        <w:tab w:val="center" w:pos="4320" w:leader="none"/>
        <w:tab w:val="right" w:pos="8640" w:leader="none"/>
      </w:tabs>
      <w:spacing w:before="0" w:after="0"/>
    </w:pPr>
    <w:rPr/>
  </w:style>
  <w:style w:type="paragraph" w:styleId="ListParagraph">
    <w:name w:val="List Paragraph"/>
    <w:basedOn w:val="Normal"/>
    <w:qFormat/>
    <w:pPr>
      <w:spacing w:before="0" w:after="0"/>
      <w:ind w:left="720" w:hanging="0"/>
      <w:contextualSpacing/>
    </w:pPr>
    <w:rPr>
      <w:rFonts w:ascii="Cambria" w:hAnsi="Cambria"/>
    </w:rPr>
  </w:style>
  <w:style w:type="paragraph" w:styleId="BalloonText">
    <w:name w:val="Balloon Text"/>
    <w:basedOn w:val="Normal"/>
    <w:qFormat/>
    <w:pPr>
      <w:spacing w:before="0" w:after="0"/>
    </w:pPr>
    <w:rPr>
      <w:rFonts w:ascii="Lucida Grande" w:hAnsi="Lucida Grande"/>
      <w:sz w:val="18"/>
      <w:szCs w:val="18"/>
    </w:rPr>
  </w:style>
  <w:style w:type="paragraph" w:styleId="Footnotetext">
    <w:name w:val="footnote text"/>
    <w:basedOn w:val="Normal"/>
    <w:qFormat/>
    <w:pPr/>
    <w:rPr/>
  </w:style>
  <w:style w:type="paragraph" w:styleId="ESTableNotes" w:customStyle="1">
    <w:name w:val="ES Table Notes"/>
    <w:basedOn w:val="Normal"/>
    <w:qFormat/>
    <w:pPr>
      <w:spacing w:before="0" w:after="0"/>
    </w:pPr>
    <w:rPr>
      <w:bCs/>
      <w:sz w:val="16"/>
      <w:szCs w:val="18"/>
      <w:lang w:val="en-GB"/>
    </w:rPr>
  </w:style>
  <w:style w:type="paragraph" w:styleId="ESBullet" w:customStyle="1">
    <w:name w:val="ES Bullet"/>
    <w:basedOn w:val="Normal"/>
    <w:qFormat/>
    <w:pPr>
      <w:spacing w:before="0" w:after="0"/>
      <w:ind w:left="567" w:hanging="567"/>
    </w:pPr>
    <w:rPr/>
  </w:style>
  <w:style w:type="paragraph" w:styleId="ESBulletSub" w:customStyle="1">
    <w:name w:val="ES Bullet Sub"/>
    <w:basedOn w:val="ESBullet"/>
    <w:qFormat/>
    <w:pPr>
      <w:ind w:left="1491" w:hanging="567"/>
    </w:pPr>
    <w:rPr/>
  </w:style>
  <w:style w:type="paragraph" w:styleId="ESTableCaption" w:customStyle="1">
    <w:name w:val="ES Table Caption"/>
    <w:basedOn w:val="Normal"/>
    <w:qFormat/>
    <w:pPr>
      <w:spacing w:before="0" w:after="200"/>
    </w:pPr>
    <w:rPr>
      <w:b/>
      <w:bCs/>
      <w:szCs w:val="18"/>
      <w:lang w:val="en-GB"/>
    </w:rPr>
  </w:style>
  <w:style w:type="paragraph" w:styleId="ESFooter" w:customStyle="1">
    <w:name w:val="ES Footer"/>
    <w:basedOn w:val="Normal"/>
    <w:qFormat/>
    <w:pPr>
      <w:tabs>
        <w:tab w:val="center" w:pos="4320" w:leader="none"/>
        <w:tab w:val="left" w:pos="7712" w:leader="none"/>
        <w:tab w:val="right" w:pos="8364" w:leader="none"/>
        <w:tab w:val="right" w:pos="8930" w:leader="none"/>
      </w:tabs>
      <w:spacing w:before="0" w:after="0"/>
    </w:pPr>
    <w:rPr>
      <w:i/>
      <w:sz w:val="18"/>
    </w:rPr>
  </w:style>
  <w:style w:type="paragraph" w:styleId="Footer">
    <w:name w:val="Footer"/>
    <w:basedOn w:val="Normal"/>
    <w:pPr>
      <w:tabs>
        <w:tab w:val="center" w:pos="4320" w:leader="none"/>
        <w:tab w:val="right" w:pos="8640" w:leader="none"/>
      </w:tabs>
      <w:spacing w:before="0" w:after="0"/>
    </w:pPr>
    <w:rPr/>
  </w:style>
  <w:style w:type="paragraph" w:styleId="ESLetterAddressStyle" w:customStyle="1">
    <w:name w:val="ES Letter Address Style"/>
    <w:basedOn w:val="Normal"/>
    <w:qFormat/>
    <w:pPr>
      <w:spacing w:before="0" w:after="0"/>
    </w:pPr>
    <w:rPr>
      <w:sz w:val="24"/>
      <w:lang w:val="en-GB"/>
    </w:rPr>
  </w:style>
  <w:style w:type="paragraph" w:styleId="ESLetterDocumentInfo" w:customStyle="1">
    <w:name w:val="ES Letter Document Info"/>
    <w:basedOn w:val="ESLetterAddressStyle"/>
    <w:qFormat/>
    <w:pPr/>
    <w:rPr>
      <w:i/>
    </w:rPr>
  </w:style>
  <w:style w:type="paragraph" w:styleId="ESLetterTitle" w:customStyle="1">
    <w:name w:val="ES Letter Title"/>
    <w:basedOn w:val="ESLetterAddressStyle"/>
    <w:qFormat/>
    <w:pPr/>
    <w:rPr>
      <w:b/>
    </w:rPr>
  </w:style>
  <w:style w:type="paragraph" w:styleId="ESLetterHeader" w:customStyle="1">
    <w:name w:val="ES Letter Header"/>
    <w:basedOn w:val="Header"/>
    <w:qFormat/>
    <w:pPr/>
    <w:rPr>
      <w:i/>
      <w:sz w:val="18"/>
    </w:rPr>
  </w:style>
  <w:style w:type="paragraph" w:styleId="FrameContents" w:customStyle="1">
    <w:name w:val="Frame Contents"/>
    <w:basedOn w:val="Normal"/>
    <w:qFormat/>
    <w:pPr/>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Table" w:customStyle="1">
    <w:name w:val="Table"/>
    <w:basedOn w:val="Caption1"/>
    <w:qFormat/>
    <w:pPr/>
    <w:rPr>
      <w:rFonts w:ascii="Calibri" w:hAnsi="Calibri"/>
      <w:b/>
      <w:i w:val="false"/>
      <w:color w:val="3465A4"/>
      <w:sz w:val="22"/>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Application>LibreOffice/5.1.3.2$Windows_X86_64 LibreOffice_project/644e4637d1d8544fd9f56425bd6cec110e49301b</Application>
  <Pages>4</Pages>
  <Words>903</Words>
  <Characters>5078</Characters>
  <CharactersWithSpaces>5866</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2016-05-11T17:28:00Z</dcterms:created>
  <dc:creator>Tim Chambers</dc:creator>
  <dc:description/>
  <dc:language>en-AU</dc:language>
  <cp:lastModifiedBy>Tim Chambers</cp:lastModifiedBy>
  <cp:lastPrinted>2010-11-30T02:56:00Z</cp:lastPrinted>
  <dcterms:modified xsi:type="dcterms:W3CDTF">2016-05-17T10:09:33Z</dcterms:modified>
  <cp:revision>45</cp:revision>
  <dc:subject/>
  <dc:title>Report Title. Edit this under Document Properties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