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F23F" w14:textId="77777777" w:rsidR="003C3BF1" w:rsidRDefault="003C3BF1">
      <w:pPr>
        <w:spacing w:before="240" w:after="240" w:line="240" w:lineRule="auto"/>
        <w:jc w:val="both"/>
      </w:pPr>
    </w:p>
    <w:p w14:paraId="1F72F646" w14:textId="77777777" w:rsidR="003C3BF1" w:rsidRDefault="00DC55A9">
      <w:r>
        <w:br w:type="page"/>
      </w:r>
    </w:p>
    <w:p w14:paraId="0485779F" w14:textId="77777777" w:rsidR="003C3BF1" w:rsidRDefault="00DC55A9">
      <w:pPr>
        <w:spacing w:before="281" w:after="281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lastRenderedPageBreak/>
        <w:t>II) Ocenění tržním porovnáním</w:t>
      </w:r>
    </w:p>
    <w:p w14:paraId="139CDCA2" w14:textId="77777777" w:rsidR="003C3BF1" w:rsidRDefault="00DC55A9">
      <w:pPr>
        <w:spacing w:before="281" w:after="281" w:line="240" w:lineRule="auto"/>
        <w:outlineLvl w:val="2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Ocenění srovnávací metodou</w:t>
      </w:r>
    </w:p>
    <w:p w14:paraId="5FA0D022" w14:textId="77777777" w:rsidR="003C3BF1" w:rsidRDefault="00DC55A9">
      <w:pPr>
        <w:spacing w:before="240" w:after="24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Metoda tržního porovnání je založena na porovnání nemovitosti s obdobnými nemovitostmi nabízenými k prodeji nebo prodanými v blízké lokalitě. Metoda tak poskytuje relevantní informaci o tržní hodnotě, za kterou by nemovitost mohla být směněna. Při porovnáv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ání se u porovnávaných nemovitostí uvažuje s mnoha faktory (např. lokalita, velikost, stav či příslušenství).</w:t>
      </w:r>
    </w:p>
    <w:p w14:paraId="29E520A8" w14:textId="77777777" w:rsidR="003C3BF1" w:rsidRDefault="00DC55A9">
      <w:pPr>
        <w:spacing w:before="240" w:after="24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Tyto faktory jsou zohledněny korekčními koeficienty. Na základě porovnání těchto parametrů a vyhodnocením jejich vlivu lze stanovit hodnotu oceňov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ané nemovitosti.</w:t>
      </w:r>
    </w:p>
    <w:p w14:paraId="1F470FAD" w14:textId="77777777" w:rsidR="003C3BF1" w:rsidRDefault="00DC55A9">
      <w:pPr>
        <w:spacing w:before="240" w:after="24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​Srovnávané nemovitosti jsou uvedeny v příloze.</w:t>
      </w:r>
    </w:p>
    <w:p w14:paraId="22455EB1" w14:textId="77777777" w:rsidR="003C3BF1" w:rsidRDefault="00DC55A9">
      <w:pPr>
        <w:spacing w:before="240" w:after="24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Pozemek parc. č. 3298/2, 3298/4 v katastrálním území Výprachtice</w:t>
      </w:r>
    </w:p>
    <w:tbl>
      <w:tblPr>
        <w:tblStyle w:val="NormalTablePHPDOCX"/>
        <w:tblW w:w="5000" w:type="pct"/>
        <w:tblInd w:w="108" w:type="dxa"/>
        <w:tblLook w:val="04A0" w:firstRow="1" w:lastRow="0" w:firstColumn="1" w:lastColumn="0" w:noHBand="0" w:noVBand="1"/>
      </w:tblPr>
      <w:tblGrid>
        <w:gridCol w:w="1101"/>
        <w:gridCol w:w="2100"/>
        <w:gridCol w:w="874"/>
        <w:gridCol w:w="1262"/>
        <w:gridCol w:w="1123"/>
        <w:gridCol w:w="2260"/>
      </w:tblGrid>
      <w:tr w:rsidR="003C3BF1" w14:paraId="1EB2FAB6" w14:textId="77777777">
        <w:tc>
          <w:tcPr>
            <w:tcW w:w="0" w:type="auto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07E8D7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Pozemek v katastrálním území Výprachtice, obec Výprachtice</w:t>
            </w:r>
          </w:p>
        </w:tc>
      </w:tr>
      <w:tr w:rsidR="003C3BF1" w14:paraId="6E7BEAA2" w14:textId="77777777">
        <w:tc>
          <w:tcPr>
            <w:tcW w:w="0" w:type="auto"/>
            <w:gridSpan w:val="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E4A9CD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 </w:t>
            </w:r>
          </w:p>
        </w:tc>
      </w:tr>
      <w:tr w:rsidR="003C3BF1" w14:paraId="28636CE8" w14:textId="77777777"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AF66FB5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č.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EA63C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K1 - poloha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0C6227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K2 - velikost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AF33C8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K3 - účel užití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66AD5D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K4 - inženýrské sítě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AED6AE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K5 - další vlastnosti</w:t>
            </w:r>
          </w:p>
        </w:tc>
      </w:tr>
      <w:tr w:rsidR="003C3BF1" w14:paraId="4F6584BE" w14:textId="77777777">
        <w:tc>
          <w:tcPr>
            <w:tcW w:w="0" w:type="auto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AF38FC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 </w:t>
            </w:r>
          </w:p>
        </w:tc>
      </w:tr>
      <w:tr w:rsidR="003C3BF1" w14:paraId="7BCBA1A5" w14:textId="77777777">
        <w:tc>
          <w:tcPr>
            <w:tcW w:w="0" w:type="auto"/>
            <w:tcBorders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31F366D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Oceňovaný objekt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3E4B52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Výprachtice, Výprachtice, okres Ústí nad Orlicí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0211A0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plocha 79 m</w:t>
            </w:r>
            <w:r>
              <w:rPr>
                <w:color w:val="000000"/>
                <w:position w:val="3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7D58B9D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louka, pastvina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B372BC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bez sítí</w:t>
            </w:r>
          </w:p>
        </w:tc>
        <w:tc>
          <w:tcPr>
            <w:tcW w:w="0" w:type="auto"/>
            <w:tcBorders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C7CFA5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svažitý, slouží jako část louky a pastviny, obhospodařovaný</w:t>
            </w:r>
          </w:p>
        </w:tc>
      </w:tr>
      <w:tr w:rsidR="003C3BF1" w14:paraId="15AA318D" w14:textId="77777777">
        <w:tc>
          <w:tcPr>
            <w:tcW w:w="0" w:type="auto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512BE8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 </w:t>
            </w:r>
          </w:p>
        </w:tc>
      </w:tr>
      <w:tr w:rsidR="003C3BF1" w14:paraId="206A2017" w14:textId="77777777"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9841BE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F7EA8E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Dolní Heřmanice, Horní Heřmanice, okres Ústí nad Orlicí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C15246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plocha 1404 m</w:t>
            </w:r>
            <w:r>
              <w:rPr>
                <w:color w:val="000000"/>
                <w:position w:val="3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4B008C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zemědělské využití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DDB3C1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bez sítí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7DA18B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obhospodařovaný, jeden celek</w:t>
            </w:r>
          </w:p>
        </w:tc>
      </w:tr>
      <w:tr w:rsidR="003C3BF1" w14:paraId="59CF0EF5" w14:textId="77777777"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F999B5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B3EE24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Bartošovice v Orlických horách, okres Rychnov nad Kněžnou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B6046F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plocha 968 m</w:t>
            </w:r>
            <w:r>
              <w:rPr>
                <w:color w:val="000000"/>
                <w:position w:val="3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D0144E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přírodní zeleň v okolí obce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808C44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v dosahu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C1C0F8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neudržovaný, svažitý</w:t>
            </w:r>
          </w:p>
        </w:tc>
      </w:tr>
      <w:tr w:rsidR="003C3BF1" w14:paraId="370DC62A" w14:textId="77777777"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CD5EC4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3EFE05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Dlouhá Třebová, okres Ústí nad Orlicí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25DC09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plocha 4267 m</w:t>
            </w:r>
            <w:r>
              <w:rPr>
                <w:color w:val="000000"/>
                <w:position w:val="3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CBDC04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zemědělské využítí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D13F6C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v dosahu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AB58A0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mírně svažitý, udržovaný</w:t>
            </w:r>
          </w:p>
        </w:tc>
      </w:tr>
    </w:tbl>
    <w:p w14:paraId="08CE6F91" w14:textId="77777777" w:rsidR="003C3BF1" w:rsidRDefault="00DC55A9">
      <w:r>
        <w:br w:type="page"/>
      </w:r>
    </w:p>
    <w:tbl>
      <w:tblPr>
        <w:tblStyle w:val="NormalTablePHPDOCX"/>
        <w:tblW w:w="5000" w:type="pct"/>
        <w:tblInd w:w="108" w:type="dxa"/>
        <w:tblLook w:val="04A0" w:firstRow="1" w:lastRow="0" w:firstColumn="1" w:lastColumn="0" w:noHBand="0" w:noVBand="1"/>
      </w:tblPr>
      <w:tblGrid>
        <w:gridCol w:w="291"/>
        <w:gridCol w:w="983"/>
        <w:gridCol w:w="766"/>
        <w:gridCol w:w="716"/>
        <w:gridCol w:w="650"/>
        <w:gridCol w:w="708"/>
        <w:gridCol w:w="500"/>
        <w:gridCol w:w="908"/>
        <w:gridCol w:w="825"/>
        <w:gridCol w:w="750"/>
        <w:gridCol w:w="629"/>
        <w:gridCol w:w="1041"/>
      </w:tblGrid>
      <w:tr w:rsidR="003C3BF1" w14:paraId="13B042E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4B3B29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lastRenderedPageBreak/>
              <w:t>č</w:t>
            </w:r>
          </w:p>
        </w:tc>
        <w:tc>
          <w:tcPr>
            <w:tcW w:w="0" w:type="auto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2295F9F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Cena požadovaná resp. zaplacená za 1 m</w:t>
            </w:r>
            <w:r>
              <w:rPr>
                <w:b/>
                <w:bCs/>
                <w:color w:val="000000"/>
                <w:position w:val="3"/>
                <w:sz w:val="13"/>
                <w:szCs w:val="13"/>
                <w:vertAlign w:val="superscript"/>
              </w:rPr>
              <w:t>2</w:t>
            </w:r>
          </w:p>
        </w:tc>
        <w:tc>
          <w:tcPr>
            <w:tcW w:w="0" w:type="auto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78260A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Koef. redukce na pramen</w:t>
            </w:r>
          </w:p>
        </w:tc>
        <w:tc>
          <w:tcPr>
            <w:tcW w:w="0" w:type="auto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C47AE4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Cena po redukci na pramen</w:t>
            </w:r>
          </w:p>
        </w:tc>
        <w:tc>
          <w:tcPr>
            <w:tcW w:w="0" w:type="auto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7FFF4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K1 - poloha</w:t>
            </w:r>
          </w:p>
        </w:tc>
        <w:tc>
          <w:tcPr>
            <w:tcW w:w="0" w:type="auto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526B387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K2 - velikost</w:t>
            </w:r>
          </w:p>
        </w:tc>
        <w:tc>
          <w:tcPr>
            <w:tcW w:w="0" w:type="auto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6AED930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K3 - účel užití</w:t>
            </w:r>
          </w:p>
        </w:tc>
        <w:tc>
          <w:tcPr>
            <w:tcW w:w="0" w:type="auto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1C8D3F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K4 - inženýrské sítě</w:t>
            </w:r>
          </w:p>
        </w:tc>
        <w:tc>
          <w:tcPr>
            <w:tcW w:w="0" w:type="auto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F347C98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K5 - další vlastnosti</w:t>
            </w:r>
          </w:p>
        </w:tc>
        <w:tc>
          <w:tcPr>
            <w:tcW w:w="0" w:type="auto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3FB200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K6 - úvaha odhadce</w:t>
            </w:r>
          </w:p>
        </w:tc>
        <w:tc>
          <w:tcPr>
            <w:tcW w:w="0" w:type="auto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CDF86F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K1 x. x K6</w:t>
            </w:r>
          </w:p>
        </w:tc>
        <w:tc>
          <w:tcPr>
            <w:tcW w:w="0" w:type="auto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09681D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Cena oceňovaného objektu odvozená ze srovnání</w:t>
            </w:r>
          </w:p>
        </w:tc>
      </w:tr>
      <w:tr w:rsidR="003C3BF1" w14:paraId="432C75B5" w14:textId="77777777"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6B20A0C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F56037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29</w:t>
            </w:r>
            <w:r>
              <w:rPr>
                <w:color w:val="000000"/>
                <w:position w:val="-2"/>
                <w:sz w:val="15"/>
                <w:szCs w:val="15"/>
              </w:rPr>
              <w:t>,99 Kč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67B21A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Nepoužit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1520BB1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29,99 Kč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B99E8C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881DDEC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0.95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D35938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004727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022CEB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877BDE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AF7AB5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0.9500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14A4B0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31,57 Kč</w:t>
            </w:r>
          </w:p>
        </w:tc>
      </w:tr>
      <w:tr w:rsidR="003C3BF1" w14:paraId="71D0CBFC" w14:textId="77777777"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44751B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D43B35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46,49 Kč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AF401B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Nepoužit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3B7EBE5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46,49 Kč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702AC9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0.95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F5A78D2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0.95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C1107F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1.10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F1AFB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1.05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B4E2D6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0.95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189942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136957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0.9903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8DAA03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46,94 Kč</w:t>
            </w:r>
          </w:p>
        </w:tc>
      </w:tr>
      <w:tr w:rsidR="003C3BF1" w14:paraId="58E534D1" w14:textId="77777777"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778152" w14:textId="77777777" w:rsidR="003C3BF1" w:rsidRDefault="00DC55A9">
            <w:pPr>
              <w:spacing w:after="0" w:line="240" w:lineRule="auto"/>
              <w:jc w:val="center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16948E3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51,56 Kč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A4B5E0E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Nepoužit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05A432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51,56 Kč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A3137C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1.20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97E91A5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0.92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972490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638BA2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1.10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8BDEBC1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1.05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B04A76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1.00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ADFCD6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1.2751</w:t>
            </w:r>
          </w:p>
        </w:tc>
        <w:tc>
          <w:tcPr>
            <w:tcW w:w="0" w:type="auto"/>
            <w:tcBorders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811153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40,43 Kč</w:t>
            </w:r>
          </w:p>
        </w:tc>
      </w:tr>
      <w:tr w:rsidR="003C3BF1" w14:paraId="2308CD26" w14:textId="77777777">
        <w:tc>
          <w:tcPr>
            <w:tcW w:w="0" w:type="auto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5FA44CD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   </w:t>
            </w:r>
          </w:p>
        </w:tc>
      </w:tr>
      <w:tr w:rsidR="003C3BF1" w14:paraId="2A9D512A" w14:textId="77777777">
        <w:tc>
          <w:tcPr>
            <w:tcW w:w="0" w:type="auto"/>
            <w:gridSpan w:val="11"/>
            <w:tcBorders>
              <w:left w:val="single" w:sz="5" w:space="0" w:color="000000"/>
              <w:bottom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2D7D22" w14:textId="77777777" w:rsidR="003C3BF1" w:rsidRDefault="00DC55A9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Celkem průměr</w:t>
            </w: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8512C39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39,65 Kč</w:t>
            </w:r>
          </w:p>
        </w:tc>
      </w:tr>
      <w:tr w:rsidR="003C3BF1" w14:paraId="1BEB80F7" w14:textId="77777777">
        <w:tc>
          <w:tcPr>
            <w:tcW w:w="0" w:type="auto"/>
            <w:gridSpan w:val="11"/>
            <w:tcBorders>
              <w:left w:val="single" w:sz="5" w:space="0" w:color="000000"/>
              <w:bottom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856D0B" w14:textId="77777777" w:rsidR="003C3BF1" w:rsidRDefault="00DC55A9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Minimum</w:t>
            </w: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B72CEC2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31,57 Kč</w:t>
            </w:r>
          </w:p>
        </w:tc>
      </w:tr>
      <w:tr w:rsidR="003C3BF1" w14:paraId="3ACBC9F9" w14:textId="77777777">
        <w:tc>
          <w:tcPr>
            <w:tcW w:w="0" w:type="auto"/>
            <w:gridSpan w:val="11"/>
            <w:tcBorders>
              <w:left w:val="single" w:sz="5" w:space="0" w:color="000000"/>
              <w:bottom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D4D2257" w14:textId="77777777" w:rsidR="003C3BF1" w:rsidRDefault="00DC55A9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Maximum</w:t>
            </w: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B9A9BB4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46,94 Kč</w:t>
            </w:r>
          </w:p>
        </w:tc>
      </w:tr>
      <w:tr w:rsidR="003C3BF1" w14:paraId="608B7691" w14:textId="77777777">
        <w:tc>
          <w:tcPr>
            <w:tcW w:w="0" w:type="auto"/>
            <w:gridSpan w:val="11"/>
            <w:tcBorders>
              <w:left w:val="single" w:sz="5" w:space="0" w:color="000000"/>
              <w:bottom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935540" w14:textId="77777777" w:rsidR="003C3BF1" w:rsidRDefault="00DC55A9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Směrodatná odchylka - s</w:t>
            </w: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1D92A4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7,71 Kč</w:t>
            </w:r>
          </w:p>
        </w:tc>
      </w:tr>
      <w:tr w:rsidR="003C3BF1" w14:paraId="38AE7303" w14:textId="77777777">
        <w:tc>
          <w:tcPr>
            <w:tcW w:w="0" w:type="auto"/>
            <w:gridSpan w:val="11"/>
            <w:tcBorders>
              <w:left w:val="single" w:sz="5" w:space="0" w:color="000000"/>
              <w:bottom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571A15" w14:textId="77777777" w:rsidR="003C3BF1" w:rsidRDefault="00DC55A9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Pravděpodobná spodní hranice - průměr - s</w:t>
            </w: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6BDDF2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31,94 Kč</w:t>
            </w:r>
          </w:p>
        </w:tc>
      </w:tr>
      <w:tr w:rsidR="003C3BF1" w14:paraId="6573AA45" w14:textId="77777777">
        <w:tc>
          <w:tcPr>
            <w:tcW w:w="0" w:type="auto"/>
            <w:gridSpan w:val="11"/>
            <w:tcBorders>
              <w:left w:val="single" w:sz="5" w:space="0" w:color="000000"/>
              <w:bottom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5D35CA" w14:textId="77777777" w:rsidR="003C3BF1" w:rsidRDefault="00DC55A9">
            <w:pPr>
              <w:spacing w:after="0" w:line="240" w:lineRule="auto"/>
            </w:pPr>
            <w:r>
              <w:rPr>
                <w:b/>
                <w:bCs/>
                <w:color w:val="000000"/>
                <w:position w:val="-2"/>
                <w:sz w:val="15"/>
                <w:szCs w:val="15"/>
              </w:rPr>
              <w:t>Pravděpodobná horní hranice - průměr + s</w:t>
            </w:r>
          </w:p>
        </w:tc>
        <w:tc>
          <w:tcPr>
            <w:tcW w:w="0" w:type="auto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AC28AA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47,36 Kč</w:t>
            </w:r>
          </w:p>
        </w:tc>
      </w:tr>
      <w:tr w:rsidR="003C3BF1" w14:paraId="435A24BB" w14:textId="77777777">
        <w:tc>
          <w:tcPr>
            <w:tcW w:w="0" w:type="auto"/>
            <w:gridSpan w:val="12"/>
            <w:tcBorders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4744BBF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K1 - Koeficient úpravy na polohu nemovitosti</w:t>
            </w:r>
          </w:p>
        </w:tc>
      </w:tr>
      <w:tr w:rsidR="003C3BF1" w14:paraId="08DB942A" w14:textId="77777777">
        <w:tc>
          <w:tcPr>
            <w:tcW w:w="0" w:type="auto"/>
            <w:gridSpan w:val="12"/>
            <w:tcBorders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CF6253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K2 - Koeficient úpravy na velikost pozemku</w:t>
            </w:r>
          </w:p>
        </w:tc>
      </w:tr>
      <w:tr w:rsidR="003C3BF1" w14:paraId="0A6AA325" w14:textId="77777777">
        <w:tc>
          <w:tcPr>
            <w:tcW w:w="0" w:type="auto"/>
            <w:gridSpan w:val="12"/>
            <w:tcBorders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8E745B6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K3 - Koeficient úpravy na využití nemovitosti</w:t>
            </w:r>
          </w:p>
        </w:tc>
      </w:tr>
      <w:tr w:rsidR="003C3BF1" w14:paraId="77B0E579" w14:textId="77777777">
        <w:tc>
          <w:tcPr>
            <w:tcW w:w="0" w:type="auto"/>
            <w:gridSpan w:val="12"/>
            <w:tcBorders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13B2943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K4 - Koeficient úpravy dle vzdálenosti inženýrských sítí</w:t>
            </w:r>
          </w:p>
        </w:tc>
      </w:tr>
      <w:tr w:rsidR="003C3BF1" w14:paraId="2582042B" w14:textId="77777777">
        <w:tc>
          <w:tcPr>
            <w:tcW w:w="0" w:type="auto"/>
            <w:gridSpan w:val="12"/>
            <w:tcBorders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94702A6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K5 - Koeficient úpravy na ev. další vlastnosti</w:t>
            </w:r>
          </w:p>
        </w:tc>
      </w:tr>
      <w:tr w:rsidR="003C3BF1" w14:paraId="1E6B26BB" w14:textId="77777777">
        <w:tc>
          <w:tcPr>
            <w:tcW w:w="0" w:type="auto"/>
            <w:gridSpan w:val="12"/>
            <w:tcBorders>
              <w:left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B7F902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K6 - Koeficient úpravy dle odborné úvahy odhadce (lepší - horší)</w:t>
            </w:r>
          </w:p>
        </w:tc>
      </w:tr>
      <w:tr w:rsidR="003C3BF1" w14:paraId="5476F639" w14:textId="77777777">
        <w:tc>
          <w:tcPr>
            <w:tcW w:w="0" w:type="auto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3DB883" w14:textId="77777777" w:rsidR="003C3BF1" w:rsidRDefault="00DC55A9">
            <w:pPr>
              <w:spacing w:after="0" w:line="240" w:lineRule="auto"/>
            </w:pPr>
            <w:r>
              <w:rPr>
                <w:color w:val="000000"/>
                <w:position w:val="-2"/>
                <w:sz w:val="15"/>
                <w:szCs w:val="15"/>
              </w:rPr>
              <w:t>Koeficient redukce na pramen ceny - u inzerce přiměřeně nižší</w:t>
            </w:r>
          </w:p>
        </w:tc>
      </w:tr>
    </w:tbl>
    <w:p w14:paraId="5CEC7B43" w14:textId="77777777" w:rsidR="003C3BF1" w:rsidRDefault="00DC55A9">
      <w:pPr>
        <w:spacing w:before="240" w:after="240" w:line="240" w:lineRule="auto"/>
      </w:pPr>
      <w:r>
        <w:rPr>
          <w:color w:val="000000"/>
          <w:sz w:val="24"/>
          <w:szCs w:val="24"/>
        </w:rPr>
        <w:t>Komentář k nemovitosti č. 1: Celkový koeficient úpravy (K1 x. x K6) odráží vysokou podobnost vzorku a oceňované nemovitosti.</w:t>
      </w:r>
    </w:p>
    <w:p w14:paraId="55078110" w14:textId="77777777" w:rsidR="003C3BF1" w:rsidRDefault="00DC55A9">
      <w:pPr>
        <w:spacing w:before="240" w:after="240" w:line="240" w:lineRule="auto"/>
      </w:pPr>
      <w:r>
        <w:rPr>
          <w:color w:val="000000"/>
          <w:sz w:val="24"/>
          <w:szCs w:val="24"/>
        </w:rPr>
        <w:t>Komentář k nemovitosti č. 2: Celkový koeficient úpravy (K1 x. x K6) odráží ve výsledku vysokou podobnost vzorku a oceňované nemovitosti.</w:t>
      </w:r>
    </w:p>
    <w:p w14:paraId="0C9D3A80" w14:textId="77777777" w:rsidR="003C3BF1" w:rsidRDefault="00DC55A9">
      <w:pPr>
        <w:spacing w:before="240" w:after="240" w:line="240" w:lineRule="auto"/>
      </w:pPr>
      <w:r>
        <w:rPr>
          <w:color w:val="000000"/>
          <w:sz w:val="24"/>
          <w:szCs w:val="24"/>
        </w:rPr>
        <w:t>Komentář k nemovitosti č. 3: Srovnávaný vzorek má relativně lepší vlastnosti – zejména lokalita pozemku v blízkosti vět</w:t>
      </w:r>
      <w:r>
        <w:rPr>
          <w:color w:val="000000"/>
          <w:sz w:val="24"/>
          <w:szCs w:val="24"/>
        </w:rPr>
        <w:t>šího města. Z toho důvodu je celkový koeficient úpravy (K1 x. x K6) vyšší než 1.</w:t>
      </w:r>
    </w:p>
    <w:p w14:paraId="371692BB" w14:textId="77777777" w:rsidR="003C3BF1" w:rsidRDefault="00DC55A9">
      <w:pPr>
        <w:spacing w:before="240" w:after="240" w:line="240" w:lineRule="auto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Komentář: Jedná se o podobné objekty ve srovnatelném stavu. Lokality jsou též srovnatelné.</w:t>
      </w:r>
    </w:p>
    <w:p w14:paraId="365CBB42" w14:textId="77777777" w:rsidR="003C3BF1" w:rsidRDefault="7217F358">
      <w:pPr>
        <w:spacing w:before="240" w:after="240" w:line="240" w:lineRule="auto"/>
      </w:pPr>
      <w:r w:rsidRPr="7217F35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Srovnávací hodnota nemovitostí celkem:</w:t>
      </w:r>
    </w:p>
    <w:p w14:paraId="301285FF" w14:textId="77777777" w:rsidR="003C3BF1" w:rsidRDefault="00DC55A9">
      <w:pPr>
        <w:spacing w:after="0" w:line="240" w:lineRule="auto"/>
      </w:pPr>
      <w:r>
        <w:rPr>
          <w:color w:val="000000"/>
          <w:sz w:val="24"/>
          <w:szCs w:val="24"/>
        </w:rPr>
        <w:t xml:space="preserve">  </w:t>
      </w:r>
    </w:p>
    <w:sectPr w:rsidR="003C3BF1" w:rsidSect="000F6147">
      <w:footerReference w:type="default" r:id="rId8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B680F" w14:textId="77777777" w:rsidR="00DC55A9" w:rsidRDefault="00DC55A9" w:rsidP="006E0FDA">
      <w:pPr>
        <w:spacing w:after="0" w:line="240" w:lineRule="auto"/>
      </w:pPr>
      <w:r>
        <w:separator/>
      </w:r>
    </w:p>
  </w:endnote>
  <w:endnote w:type="continuationSeparator" w:id="0">
    <w:p w14:paraId="4395B10C" w14:textId="77777777" w:rsidR="00DC55A9" w:rsidRDefault="00DC55A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9FAAB8" w14:textId="77777777" w:rsidR="003C3BF1" w:rsidRDefault="00DC55A9">
    <w:pPr>
      <w:jc w:val="right"/>
      <w:rPr>
        <w:b/>
        <w:bCs/>
        <w:color w:val="000000"/>
        <w:sz w:val="20"/>
        <w:szCs w:val="20"/>
      </w:rPr>
    </w:pPr>
    <w:r>
      <w:fldChar w:fldCharType="begin"/>
    </w:r>
    <w:r>
      <w:instrText xml:space="preserve">PAGE \* </w:instrText>
    </w:r>
    <w:r>
      <w:instrText>MERGEFORMAT</w:instrText>
    </w:r>
    <w:r>
      <w:fldChar w:fldCharType="separate"/>
    </w:r>
    <w:r>
      <w:rPr>
        <w:b/>
        <w:bCs/>
        <w:color w:val="000000"/>
        <w:sz w:val="20"/>
        <w:szCs w:val="20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3CC6E" w14:textId="77777777" w:rsidR="00DC55A9" w:rsidRDefault="00DC55A9" w:rsidP="006E0FDA">
      <w:pPr>
        <w:spacing w:after="0" w:line="240" w:lineRule="auto"/>
      </w:pPr>
      <w:r>
        <w:separator/>
      </w:r>
    </w:p>
  </w:footnote>
  <w:footnote w:type="continuationSeparator" w:id="0">
    <w:p w14:paraId="38EBED52" w14:textId="77777777" w:rsidR="00DC55A9" w:rsidRDefault="00DC55A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E75F35"/>
    <w:multiLevelType w:val="hybridMultilevel"/>
    <w:tmpl w:val="87CE8C66"/>
    <w:lvl w:ilvl="0" w:tplc="8197593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C423E84"/>
    <w:multiLevelType w:val="hybridMultilevel"/>
    <w:tmpl w:val="293C6064"/>
    <w:lvl w:ilvl="0" w:tplc="74013511">
      <w:start w:val="1"/>
      <w:numFmt w:val="decimal"/>
      <w:lvlText w:val="%1."/>
      <w:lvlJc w:val="left"/>
      <w:pPr>
        <w:ind w:left="720" w:hanging="360"/>
      </w:pPr>
    </w:lvl>
    <w:lvl w:ilvl="1" w:tplc="74013511" w:tentative="1">
      <w:start w:val="1"/>
      <w:numFmt w:val="lowerLetter"/>
      <w:lvlText w:val="%2."/>
      <w:lvlJc w:val="left"/>
      <w:pPr>
        <w:ind w:left="1440" w:hanging="360"/>
      </w:pPr>
    </w:lvl>
    <w:lvl w:ilvl="2" w:tplc="74013511" w:tentative="1">
      <w:start w:val="1"/>
      <w:numFmt w:val="lowerRoman"/>
      <w:lvlText w:val="%3."/>
      <w:lvlJc w:val="right"/>
      <w:pPr>
        <w:ind w:left="2160" w:hanging="180"/>
      </w:pPr>
    </w:lvl>
    <w:lvl w:ilvl="3" w:tplc="74013511" w:tentative="1">
      <w:start w:val="1"/>
      <w:numFmt w:val="decimal"/>
      <w:lvlText w:val="%4."/>
      <w:lvlJc w:val="left"/>
      <w:pPr>
        <w:ind w:left="2880" w:hanging="360"/>
      </w:pPr>
    </w:lvl>
    <w:lvl w:ilvl="4" w:tplc="74013511" w:tentative="1">
      <w:start w:val="1"/>
      <w:numFmt w:val="lowerLetter"/>
      <w:lvlText w:val="%5."/>
      <w:lvlJc w:val="left"/>
      <w:pPr>
        <w:ind w:left="3600" w:hanging="360"/>
      </w:pPr>
    </w:lvl>
    <w:lvl w:ilvl="5" w:tplc="74013511" w:tentative="1">
      <w:start w:val="1"/>
      <w:numFmt w:val="lowerRoman"/>
      <w:lvlText w:val="%6."/>
      <w:lvlJc w:val="right"/>
      <w:pPr>
        <w:ind w:left="4320" w:hanging="180"/>
      </w:pPr>
    </w:lvl>
    <w:lvl w:ilvl="6" w:tplc="74013511" w:tentative="1">
      <w:start w:val="1"/>
      <w:numFmt w:val="decimal"/>
      <w:lvlText w:val="%7."/>
      <w:lvlJc w:val="left"/>
      <w:pPr>
        <w:ind w:left="5040" w:hanging="360"/>
      </w:pPr>
    </w:lvl>
    <w:lvl w:ilvl="7" w:tplc="74013511" w:tentative="1">
      <w:start w:val="1"/>
      <w:numFmt w:val="lowerLetter"/>
      <w:lvlText w:val="%8."/>
      <w:lvlJc w:val="left"/>
      <w:pPr>
        <w:ind w:left="5760" w:hanging="360"/>
      </w:pPr>
    </w:lvl>
    <w:lvl w:ilvl="8" w:tplc="74013511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3C3BF1"/>
    <w:rsid w:val="00480A83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C55A9"/>
    <w:rsid w:val="00DF064E"/>
    <w:rsid w:val="00FB45FF"/>
    <w:rsid w:val="5B10CBFA"/>
    <w:rsid w:val="7217F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F4987"/>
  <w15:docId w15:val="{63295DA3-5B20-41C8-A816-F5F60680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bs-Latn-BA" w:eastAsia="bs-Latn-B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 Harkink</dc:creator>
  <cp:keywords/>
  <dc:description/>
  <cp:lastModifiedBy>T</cp:lastModifiedBy>
  <cp:revision>2</cp:revision>
  <dcterms:created xsi:type="dcterms:W3CDTF">2021-03-06T13:14:00Z</dcterms:created>
  <dcterms:modified xsi:type="dcterms:W3CDTF">2021-03-06T13:14:00Z</dcterms:modified>
</cp:coreProperties>
</file>