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Default Extension="fntdata" ContentType="application/x-fontdata"/>
  <Override PartName="/word/header3.xml" ContentType="application/vnd.openxmlformats-officedocument.wordprocessingml.header+xml"/>
  <Override PartName="/word/styles.xml" ContentType="application/vnd.openxmlformats-officedocument.wordprocessingml.styles+xml"/>
  <Override PartName="/word/footer1.xml" ContentType="application/vnd.openxmlformats-officedocument.wordprocessingml.footer+xml"/>
  <Override PartName="/word/footer2.xml" ContentType="application/vnd.openxmlformats-officedocument.wordprocessingml.footer+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33.odttf" ContentType="application/vnd.openxmlformats-officedocument.obfuscatedFont"/>
  <Override PartName="/word/fonts/font8.odttf" ContentType="application/vnd.openxmlformats-officedocument.obfuscatedFont"/>
  <Override PartName="/word/fonts/font32.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9.odttf" ContentType="application/vnd.openxmlformats-officedocument.obfuscatedFont"/>
  <Override PartName="/word/fonts/font12.odttf" ContentType="application/vnd.openxmlformats-officedocument.obfuscatedFont"/>
  <Override PartName="/word/fonts/font28.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23.odttf" ContentType="application/vnd.openxmlformats-officedocument.obfuscatedFont"/>
  <Override PartName="/word/fonts/font18.odttf" ContentType="application/vnd.openxmlformats-officedocument.obfuscatedFont"/>
  <Override PartName="/word/fonts/font22.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fonts/font30.odttf" ContentType="application/vnd.openxmlformats-officedocument.obfuscatedFont"/>
  <Override PartName="/word/fonts/font31.odttf" ContentType="application/vnd.openxmlformats-officedocument.obfuscatedFont"/>
  <Override PartName="/word/document.xml" ContentType="application/vnd.openxmlformats-officedocument.wordprocessingml.document.main+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fontTable.xml.rels" ContentType="application/vnd.openxmlformats-package.relationships+xml"/>
  <Override PartName="/docProps/custom.xml" ContentType="application/vnd.openxmlformats-officedocument.custom-properties+xml"/>
  <Override PartName="/docProps/core.xml" ContentType="application/vnd.openxmlformats-package.core-properties+xml"/>
  <Override PartName="/docProps/app.xml" ContentType="application/vnd.openxmlformats-officedocument.extended-properties+xml"/>
  <Override PartName="/customXml/item1.xml" ContentType="application/xml"/>
  <Override PartName="/customXml/itemProps4.xml" ContentType="application/vnd.openxmlformats-officedocument.customXmlProperties+xml"/>
  <Override PartName="/customXml/item2.xml" ContentType="application/xml"/>
  <Override PartName="/customXml/itemProps1.xml" ContentType="application/vnd.openxmlformats-officedocument.customXmlProperties+xml"/>
  <Override PartName="/customXml/item3.xml" ContentType="application/xml"/>
  <Override PartName="/customXml/item4.xml" ContentType="application/xml"/>
  <Override PartName="/customXml/itemProps2.xml" ContentType="application/vnd.openxmlformats-officedocument.customXmlProperties+xml"/>
  <Override PartName="/customXml/itemProps3.xml" ContentType="application/vnd.openxmlformats-officedocument.customXmlProperties+xml"/>
  <Override PartName="/customXml/_rels/item1.xml.rels" ContentType="application/vnd.openxmlformats-package.relationships+xml"/>
  <Override PartName="/customXml/_rels/item2.xml.rels" ContentType="application/vnd.openxmlformats-package.relationships+xml"/>
  <Override PartName="/customXml/_rels/item3.xml.rels" ContentType="application/vnd.openxmlformats-package.relationships+xml"/>
  <Override PartName="/customXml/_rels/item4.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tbl>
      <w:tblPr>
        <w:tblStyle w:val="TableGrid"/>
        <w:tblW w:w="10926" w:type="dxa"/>
        <w:jc w:val="start"/>
        <w:tblInd w:w="-582" w:type="dxa"/>
        <w:tblLayout w:type="fixed"/>
        <w:tblCellMar>
          <w:top w:w="0" w:type="dxa"/>
          <w:start w:w="108" w:type="dxa"/>
          <w:bottom w:w="0" w:type="dxa"/>
          <w:end w:w="108" w:type="dxa"/>
        </w:tblCellMar>
        <w:tblLook w:firstRow="0" w:noVBand="0" w:lastRow="0" w:firstColumn="0" w:lastColumn="0" w:noHBand="0" w:val="0000"/>
      </w:tblPr>
      <w:tblGrid>
        <w:gridCol w:w="1400"/>
        <w:gridCol w:w="1871"/>
        <w:gridCol w:w="283"/>
        <w:gridCol w:w="1548"/>
        <w:gridCol w:w="2005"/>
        <w:gridCol w:w="1691"/>
        <w:gridCol w:w="850"/>
        <w:gridCol w:w="1278"/>
      </w:tblGrid>
      <w:tr>
        <w:trPr>
          <w:trHeight w:val="300" w:hRule="atLeast"/>
        </w:trPr>
        <w:tc>
          <w:tcPr>
            <w:tcW w:w="3271" w:type="dxa"/>
            <w:gridSpan w:val="2"/>
            <w:vMerge w:val="restart"/>
            <w:tcBorders/>
            <w:vAlign w:val="center"/>
          </w:tcPr>
          <w:p>
            <w:pPr>
              <w:pStyle w:val="FormTitleHeader"/>
              <w:widowControl w:val="false"/>
              <w:suppressAutoHyphens w:val="true"/>
              <w:spacing w:before="0" w:after="0"/>
              <w:jc w:val="start"/>
              <w:rPr>
                <w:kern w:val="0"/>
                <w:lang w:val="en-US" w:eastAsia="en-US" w:bidi="ar-SA"/>
              </w:rPr>
            </w:pPr>
            <w:r>
              <w:rPr>
                <w:kern w:val="0"/>
                <w:sz w:val="22"/>
                <w:szCs w:val="22"/>
                <w:lang w:val="en-US" w:eastAsia="en-US" w:bidi="ar-SA"/>
              </w:rPr>
              <w:t xml:space="preserve"> </w:t>
            </w:r>
            <w:r>
              <w:rPr>
                <w:kern w:val="0"/>
                <w:lang w:val="en-US" w:eastAsia="en-US" w:bidi="ar-SA"/>
              </w:rPr>
              <w:t>MINUTES OF MEETING</w:t>
            </w:r>
          </w:p>
        </w:tc>
        <w:tc>
          <w:tcPr>
            <w:tcW w:w="1831" w:type="dxa"/>
            <w:gridSpan w:val="2"/>
            <w:tcBorders/>
            <w:shd w:color="D0CECE" w:fill="D0CECE" w:themeColor="background2" w:themeFill="background2" w:themeFillShade="e6" w:themeShade="e6" w:val="pct10"/>
          </w:tcPr>
          <w:p>
            <w:pPr>
              <w:pStyle w:val="TableField"/>
              <w:widowControl w:val="false"/>
              <w:suppressAutoHyphens w:val="true"/>
              <w:spacing w:before="0" w:after="0"/>
              <w:rPr>
                <w:kern w:val="0"/>
                <w:lang w:val="en-US" w:eastAsia="en-US" w:bidi="ar-SA"/>
              </w:rPr>
            </w:pPr>
            <w:r>
              <w:rPr>
                <w:kern w:val="0"/>
                <w:lang w:val="en-US" w:eastAsia="en-US" w:bidi="ar-SA"/>
              </w:rPr>
              <w:t>Date:</w:t>
            </w:r>
          </w:p>
        </w:tc>
        <w:tc>
          <w:tcPr>
            <w:tcW w:w="2005" w:type="dxa"/>
            <w:tcBorders/>
            <w:vAlign w:val="cente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US" w:eastAsia="en-US" w:bidi="ar-SA"/>
              </w:rPr>
              <w:t>27-05-2025</w:t>
            </w:r>
          </w:p>
        </w:tc>
        <w:tc>
          <w:tcPr>
            <w:tcW w:w="1691" w:type="dxa"/>
            <w:tcBorders/>
            <w:shd w:color="D0CECE" w:fill="D0CECE" w:themeColor="background2" w:themeFill="background2" w:themeFillShade="e6" w:themeShade="e6" w:val="pct10"/>
          </w:tcPr>
          <w:p>
            <w:pPr>
              <w:pStyle w:val="TableField"/>
              <w:widowControl w:val="false"/>
              <w:suppressAutoHyphens w:val="true"/>
              <w:spacing w:before="0" w:after="0"/>
              <w:rPr>
                <w:kern w:val="0"/>
                <w:lang w:val="en-US" w:eastAsia="en-US" w:bidi="ar-SA"/>
              </w:rPr>
            </w:pPr>
            <w:r>
              <w:rPr>
                <w:kern w:val="0"/>
                <w:lang w:val="en-US" w:eastAsia="en-US" w:bidi="ar-SA"/>
              </w:rPr>
              <w:t>Time:</w:t>
            </w:r>
          </w:p>
        </w:tc>
        <w:tc>
          <w:tcPr>
            <w:tcW w:w="2128" w:type="dxa"/>
            <w:gridSpan w:val="2"/>
            <w:tcBorders/>
            <w:vAlign w:val="cente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US" w:eastAsia="en-US" w:bidi="ar-SA"/>
              </w:rPr>
              <w:t>11:00</w:t>
            </w:r>
          </w:p>
        </w:tc>
      </w:tr>
      <w:tr>
        <w:trPr>
          <w:trHeight w:val="300" w:hRule="atLeast"/>
        </w:trPr>
        <w:tc>
          <w:tcPr>
            <w:tcW w:w="3271" w:type="dxa"/>
            <w:gridSpan w:val="2"/>
            <w:vMerge w:val="continue"/>
            <w:tcBorders/>
          </w:tcPr>
          <w:p>
            <w:pPr>
              <w:pStyle w:val="Normal"/>
              <w:widowControl w:val="false"/>
              <w:suppressAutoHyphens w:val="true"/>
              <w:spacing w:before="0" w:after="0"/>
              <w:jc w:val="center"/>
              <w:rPr>
                <w:rFonts w:ascii="PT Sans" w:hAnsi="PT Sans" w:cs="Arial"/>
                <w:b/>
                <w:sz w:val="26"/>
                <w:szCs w:val="26"/>
              </w:rPr>
            </w:pPr>
            <w:r>
              <w:rPr>
                <w:rFonts w:cs="Arial" w:ascii="PT Sans" w:hAnsi="PT Sans"/>
                <w:b/>
                <w:kern w:val="0"/>
                <w:sz w:val="26"/>
                <w:szCs w:val="26"/>
                <w:lang w:val="en-US" w:eastAsia="en-US" w:bidi="ar-SA"/>
              </w:rPr>
            </w:r>
          </w:p>
        </w:tc>
        <w:tc>
          <w:tcPr>
            <w:tcW w:w="1831" w:type="dxa"/>
            <w:gridSpan w:val="2"/>
            <w:tcBorders/>
            <w:shd w:color="D0CECE" w:fill="D0CECE" w:themeColor="background2" w:themeFill="background2" w:themeFillShade="e6" w:themeShade="e6" w:val="pct10"/>
          </w:tcPr>
          <w:p>
            <w:pPr>
              <w:pStyle w:val="TableField"/>
              <w:widowControl w:val="false"/>
              <w:suppressAutoHyphens w:val="true"/>
              <w:spacing w:before="0" w:after="0"/>
              <w:rPr>
                <w:kern w:val="0"/>
                <w:lang w:val="en-US" w:eastAsia="en-US" w:bidi="ar-SA"/>
              </w:rPr>
            </w:pPr>
            <w:r>
              <w:rPr>
                <w:kern w:val="0"/>
                <w:lang w:val="en-US" w:eastAsia="en-US" w:bidi="ar-SA"/>
              </w:rPr>
              <w:t>Location:</w:t>
            </w:r>
          </w:p>
        </w:tc>
        <w:tc>
          <w:tcPr>
            <w:tcW w:w="5824" w:type="dxa"/>
            <w:gridSpan w:val="4"/>
            <w:tcBorders/>
            <w:shd w:color="auto" w:fill="auto" w:val="clear"/>
            <w:vAlign w:val="cente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MS Teams Meeting</w:t>
            </w:r>
          </w:p>
        </w:tc>
      </w:tr>
      <w:tr>
        <w:trPr>
          <w:trHeight w:val="300" w:hRule="atLeast"/>
        </w:trPr>
        <w:tc>
          <w:tcPr>
            <w:tcW w:w="1400" w:type="dxa"/>
            <w:tcBorders/>
            <w:shd w:color="D0CECE" w:fill="D0CECE" w:themeColor="background2" w:themeFill="background2" w:themeFillShade="e6" w:themeShade="e6" w:val="pct10"/>
            <w:vAlign w:val="center"/>
          </w:tcPr>
          <w:p>
            <w:pPr>
              <w:pStyle w:val="TableField"/>
              <w:widowControl w:val="false"/>
              <w:suppressAutoHyphens w:val="true"/>
              <w:spacing w:before="0" w:after="0"/>
              <w:rPr>
                <w:bCs/>
                <w:sz w:val="18"/>
                <w:szCs w:val="18"/>
                <w:u w:val="single"/>
              </w:rPr>
            </w:pPr>
            <w:r>
              <w:rPr>
                <w:kern w:val="0"/>
                <w:lang w:val="en-US" w:eastAsia="en-US" w:bidi="ar-SA"/>
              </w:rPr>
              <w:t xml:space="preserve">Reference Number:  </w:t>
            </w:r>
          </w:p>
        </w:tc>
        <w:tc>
          <w:tcPr>
            <w:tcW w:w="1871" w:type="dxa"/>
            <w:tcBorders/>
            <w:vAlign w:val="center"/>
          </w:tcPr>
          <w:p>
            <w:pPr>
              <w:pStyle w:val="TableField"/>
              <w:widowControl w:val="false"/>
              <w:suppressAutoHyphens w:val="true"/>
              <w:spacing w:before="0" w:after="0"/>
              <w:rPr>
                <w:b w:val="false"/>
                <w:bCs/>
                <w:sz w:val="18"/>
                <w:szCs w:val="18"/>
                <w:u w:val="single"/>
              </w:rPr>
            </w:pPr>
            <w:r>
              <w:rPr>
                <w:b w:val="false"/>
                <w:bCs/>
                <w:kern w:val="0"/>
                <w:lang w:val="en-US" w:eastAsia="en-US" w:bidi="ar-SA"/>
              </w:rPr>
              <w:t>mom_value</w:t>
            </w:r>
          </w:p>
        </w:tc>
        <w:tc>
          <w:tcPr>
            <w:tcW w:w="1831" w:type="dxa"/>
            <w:gridSpan w:val="2"/>
            <w:tcBorders/>
            <w:shd w:color="D0CECE" w:fill="D0CECE" w:themeColor="background2" w:themeFill="background2" w:themeFillShade="e6" w:themeShade="e6" w:val="pct10"/>
          </w:tcPr>
          <w:p>
            <w:pPr>
              <w:pStyle w:val="TableText"/>
              <w:widowControl w:val="false"/>
              <w:suppressAutoHyphens w:val="true"/>
              <w:spacing w:before="0" w:after="0"/>
              <w:jc w:val="end"/>
              <w:rPr>
                <w:b/>
                <w:bCs/>
              </w:rPr>
            </w:pPr>
            <w:r>
              <w:rPr>
                <w:rFonts w:eastAsia="Calibri"/>
                <w:b/>
                <w:bCs/>
                <w:kern w:val="0"/>
                <w:sz w:val="22"/>
                <w:szCs w:val="22"/>
                <w:lang w:val="en-US" w:eastAsia="en-US" w:bidi="ar-SA"/>
              </w:rPr>
              <w:t>Subject:</w:t>
            </w:r>
          </w:p>
        </w:tc>
        <w:tc>
          <w:tcPr>
            <w:tcW w:w="5824" w:type="dxa"/>
            <w:gridSpan w:val="4"/>
            <w:tcBorders/>
          </w:tcPr>
          <w:p>
            <w:pPr>
              <w:pStyle w:val="TableText"/>
              <w:widowControl w:val="false"/>
              <w:suppressAutoHyphens w:val="true"/>
              <w:spacing w:before="0" w:after="0"/>
              <w:jc w:val="start"/>
              <w:rPr>
                <w:color w:themeColor="text1" w:val="000000"/>
              </w:rPr>
            </w:pPr>
            <w:r>
              <w:rPr>
                <w:rFonts w:eastAsia="Calibri"/>
                <w:kern w:val="0"/>
                <w:sz w:val="22"/>
                <w:szCs w:val="22"/>
                <w:lang w:val="en-GB" w:eastAsia="en-US" w:bidi="ar-SA"/>
              </w:rPr>
              <w:t>126</w:t>
            </w:r>
            <w:r>
              <w:rPr>
                <w:rFonts w:eastAsia="Calibri"/>
                <w:kern w:val="0"/>
                <w:sz w:val="22"/>
                <w:szCs w:val="22"/>
                <w:vertAlign w:val="superscript"/>
                <w:lang w:val="en-GB" w:eastAsia="en-US" w:bidi="ar-SA"/>
              </w:rPr>
              <w:t>th</w:t>
            </w:r>
            <w:r>
              <w:rPr>
                <w:rFonts w:eastAsia="Calibri"/>
                <w:kern w:val="0"/>
                <w:sz w:val="22"/>
                <w:szCs w:val="22"/>
                <w:lang w:val="en-GB" w:eastAsia="en-US" w:bidi="ar-SA"/>
              </w:rPr>
              <w:t xml:space="preserve"> Progress Meeting HSR Study (P2103)</w:t>
            </w:r>
          </w:p>
        </w:tc>
      </w:tr>
      <w:tr>
        <w:trPr>
          <w:trHeight w:val="300" w:hRule="atLeast"/>
        </w:trPr>
        <w:tc>
          <w:tcPr>
            <w:tcW w:w="10926" w:type="dxa"/>
            <w:gridSpan w:val="8"/>
            <w:tcBorders/>
            <w:shd w:color="auto" w:fill="A6A6A6" w:themeFill="background1" w:themeFillShade="a6" w:val="clear"/>
          </w:tcPr>
          <w:p>
            <w:pPr>
              <w:pStyle w:val="FormTitleHeader"/>
              <w:widowControl w:val="false"/>
              <w:suppressAutoHyphens w:val="true"/>
              <w:spacing w:before="0" w:after="0"/>
              <w:jc w:val="start"/>
              <w:rPr>
                <w:kern w:val="0"/>
                <w:lang w:val="en-US" w:eastAsia="en-US" w:bidi="ar-SA"/>
              </w:rPr>
            </w:pPr>
            <w:r>
              <w:rPr>
                <w:kern w:val="0"/>
                <w:lang w:val="en-US" w:eastAsia="en-US" w:bidi="ar-SA"/>
              </w:rPr>
              <w:t>Attendees</w:t>
            </w:r>
          </w:p>
        </w:tc>
      </w:tr>
      <w:tr>
        <w:trPr>
          <w:trHeight w:val="300" w:hRule="atLeast"/>
        </w:trPr>
        <w:tc>
          <w:tcPr>
            <w:tcW w:w="1400" w:type="dxa"/>
            <w:tcBorders/>
            <w:shd w:color="auto" w:fill="D9D9D9" w:themeFill="background1" w:themeFillShade="d9" w:val="clear"/>
          </w:tcPr>
          <w:p>
            <w:pPr>
              <w:pStyle w:val="TableHeader"/>
              <w:widowControl w:val="false"/>
              <w:suppressAutoHyphens w:val="true"/>
              <w:spacing w:before="0" w:after="0"/>
              <w:rPr>
                <w:kern w:val="0"/>
                <w:lang w:val="en-US" w:eastAsia="en-US" w:bidi="ar-SA"/>
              </w:rPr>
            </w:pPr>
            <w:r>
              <w:rPr>
                <w:kern w:val="0"/>
                <w:lang w:val="en-US" w:eastAsia="en-US" w:bidi="ar-SA"/>
              </w:rPr>
              <w:t>No.</w:t>
            </w:r>
          </w:p>
        </w:tc>
        <w:tc>
          <w:tcPr>
            <w:tcW w:w="2154" w:type="dxa"/>
            <w:gridSpan w:val="2"/>
            <w:tcBorders/>
            <w:shd w:color="auto" w:fill="D9D9D9" w:themeFill="background1" w:themeFillShade="d9" w:val="clear"/>
          </w:tcPr>
          <w:p>
            <w:pPr>
              <w:pStyle w:val="TableHeader"/>
              <w:widowControl w:val="false"/>
              <w:suppressAutoHyphens w:val="true"/>
              <w:spacing w:before="0" w:after="0"/>
              <w:rPr>
                <w:kern w:val="0"/>
                <w:lang w:val="en-US" w:eastAsia="en-US" w:bidi="ar-SA"/>
              </w:rPr>
            </w:pPr>
            <w:r>
              <w:rPr>
                <w:kern w:val="0"/>
                <w:lang w:val="en-US" w:eastAsia="en-US" w:bidi="ar-SA"/>
              </w:rPr>
              <w:t>Name</w:t>
            </w:r>
          </w:p>
        </w:tc>
        <w:tc>
          <w:tcPr>
            <w:tcW w:w="5244" w:type="dxa"/>
            <w:gridSpan w:val="3"/>
            <w:tcBorders/>
            <w:shd w:color="auto" w:fill="D9D9D9" w:themeFill="background1" w:themeFillShade="d9" w:val="clear"/>
          </w:tcPr>
          <w:p>
            <w:pPr>
              <w:pStyle w:val="TableHeader"/>
              <w:widowControl w:val="false"/>
              <w:suppressAutoHyphens w:val="true"/>
              <w:spacing w:before="0" w:after="0"/>
              <w:rPr>
                <w:kern w:val="0"/>
                <w:lang w:val="en-US" w:eastAsia="en-US" w:bidi="ar-SA"/>
              </w:rPr>
            </w:pPr>
            <w:r>
              <w:rPr>
                <w:kern w:val="0"/>
                <w:lang w:val="en-US" w:eastAsia="en-US" w:bidi="ar-SA"/>
              </w:rPr>
              <w:t>Title</w:t>
            </w:r>
          </w:p>
        </w:tc>
        <w:tc>
          <w:tcPr>
            <w:tcW w:w="2128" w:type="dxa"/>
            <w:gridSpan w:val="2"/>
            <w:tcBorders/>
            <w:shd w:color="auto" w:fill="D9D9D9" w:themeFill="background1" w:themeFillShade="d9" w:val="clear"/>
          </w:tcPr>
          <w:p>
            <w:pPr>
              <w:pStyle w:val="TableHeader"/>
              <w:widowControl w:val="false"/>
              <w:suppressAutoHyphens w:val="true"/>
              <w:spacing w:before="0" w:after="0"/>
              <w:rPr>
                <w:kern w:val="0"/>
                <w:lang w:val="en-US" w:eastAsia="en-US" w:bidi="ar-SA"/>
              </w:rPr>
            </w:pPr>
            <w:r>
              <w:rPr>
                <w:kern w:val="0"/>
                <w:lang w:val="en-US" w:eastAsia="en-US" w:bidi="ar-SA"/>
              </w:rPr>
              <w:t>Unit/Organization</w:t>
            </w:r>
          </w:p>
        </w:tc>
      </w:tr>
      <w:tr>
        <w:trPr>
          <w:trHeight w:val="300" w:hRule="atLeast"/>
        </w:trPr>
        <w:tc>
          <w:tcPr>
            <w:tcW w:w="1400" w:type="dxa"/>
            <w:tcBorders/>
            <w:shd w:color="auto" w:fill="auto" w:val="clear"/>
            <w:vAlign w:val="center"/>
          </w:tcPr>
          <w:p>
            <w:pPr>
              <w:pStyle w:val="TableLineNumbering"/>
              <w:widowControl w:val="false"/>
              <w:numPr>
                <w:ilvl w:val="0"/>
                <w:numId w:val="34"/>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US" w:eastAsia="en-US" w:bidi="ar-SA"/>
              </w:rPr>
              <w:t>Mr. Adam Fernandes</w:t>
            </w:r>
          </w:p>
        </w:tc>
        <w:tc>
          <w:tcPr>
            <w:tcW w:w="5244" w:type="dxa"/>
            <w:gridSpan w:val="3"/>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Project Commercial Manager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US" w:eastAsia="en-US" w:bidi="ar-SA"/>
              </w:rPr>
              <w:t>Mr. Adriaan Wolmhuter</w:t>
            </w:r>
          </w:p>
        </w:tc>
        <w:tc>
          <w:tcPr>
            <w:tcW w:w="5244" w:type="dxa"/>
            <w:gridSpan w:val="3"/>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Engineering Manager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GB" w:eastAsia="en-US" w:bidi="ar-SA"/>
              </w:rPr>
              <w:t>Mr. Michel Gerges</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Project Control</w:t>
            </w:r>
          </w:p>
        </w:tc>
        <w:tc>
          <w:tcPr>
            <w:tcW w:w="2128" w:type="dxa"/>
            <w:gridSpan w:val="2"/>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US" w:eastAsia="en-US" w:bidi="ar-SA"/>
              </w:rPr>
              <w:t>Mr. Babry Harish</w:t>
            </w:r>
          </w:p>
        </w:tc>
        <w:tc>
          <w:tcPr>
            <w:tcW w:w="5244" w:type="dxa"/>
            <w:gridSpan w:val="3"/>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US" w:eastAsia="en-US" w:bidi="ar-SA"/>
              </w:rPr>
              <w:t>Engineering Lead system</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GB" w:eastAsia="en-US" w:bidi="ar-SA"/>
              </w:rPr>
              <w:t>Mr. Shajahan Shameem</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Stakeholder Manager</w:t>
            </w:r>
          </w:p>
        </w:tc>
        <w:tc>
          <w:tcPr>
            <w:tcW w:w="2128" w:type="dxa"/>
            <w:gridSpan w:val="2"/>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US" w:eastAsia="en-US" w:bidi="ar-SA"/>
              </w:rPr>
              <w:t>Mr. Didier Leperou</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Executive Director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US" w:eastAsia="en-US" w:bidi="ar-SA"/>
              </w:rPr>
              <w:t>Mr. Esmaeil Ghahremani</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Project Director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PMC</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GB" w:eastAsia="en-US" w:bidi="ar-SA"/>
              </w:rPr>
              <w:t>Mr. Atef Salem</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Design Coordinator</w:t>
            </w:r>
          </w:p>
        </w:tc>
        <w:tc>
          <w:tcPr>
            <w:tcW w:w="2128" w:type="dxa"/>
            <w:gridSpan w:val="2"/>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PMC</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GB" w:eastAsia="en-US" w:bidi="ar-SA"/>
              </w:rPr>
              <w:t>Mr. Matvey Klopov</w:t>
            </w:r>
          </w:p>
        </w:tc>
        <w:tc>
          <w:tcPr>
            <w:tcW w:w="5244" w:type="dxa"/>
            <w:gridSpan w:val="3"/>
            <w:tcBorders/>
            <w:shd w:color="auto" w:fill="auto" w:val="clear"/>
          </w:tcPr>
          <w:p>
            <w:pPr>
              <w:pStyle w:val="TableText"/>
              <w:widowControl w:val="false"/>
              <w:suppressAutoHyphens w:val="true"/>
              <w:spacing w:before="0" w:after="0"/>
              <w:jc w:val="start"/>
              <w:rPr>
                <w:lang w:val="en-GB"/>
              </w:rPr>
            </w:pPr>
            <w:r>
              <w:rPr>
                <w:rStyle w:val="ui-provider"/>
                <w:rFonts w:eastAsia="Calibri"/>
                <w:kern w:val="0"/>
                <w:sz w:val="22"/>
                <w:szCs w:val="22"/>
                <w:lang w:val="en-US" w:eastAsia="en-US" w:bidi="ar-SA"/>
              </w:rPr>
              <w:t>Alignment and Track Engineer</w:t>
            </w:r>
          </w:p>
        </w:tc>
        <w:tc>
          <w:tcPr>
            <w:tcW w:w="2128" w:type="dxa"/>
            <w:gridSpan w:val="2"/>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PMC</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US" w:eastAsia="en-US" w:bidi="ar-SA"/>
              </w:rPr>
              <w:t>Dr. Reza Mohammadi</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Transport Planning Manager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PMC</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US" w:eastAsia="en-US" w:bidi="ar-SA"/>
              </w:rPr>
              <w:t>Ms. Shruti Shetty</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Project Controller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PMC</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GB" w:eastAsia="en-US" w:bidi="ar-SA"/>
              </w:rPr>
              <w:t>Mr. Karthik Sambandam</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MEP &amp; Utility Lead</w:t>
            </w:r>
          </w:p>
        </w:tc>
        <w:tc>
          <w:tcPr>
            <w:tcW w:w="2128" w:type="dxa"/>
            <w:gridSpan w:val="2"/>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PMC</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US" w:eastAsia="en-US" w:bidi="ar-SA"/>
              </w:rPr>
              <w:t>Mr. Jafar Bagheri</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Tendering/ Systems Design Review Manager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PMC</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US" w:eastAsia="en-US" w:bidi="ar-SA"/>
              </w:rPr>
              <w:t>Mr. Fouad Antoine</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Tendering/ Civil Design Review Manager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PMC</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US" w:eastAsia="en-US" w:bidi="ar-SA"/>
              </w:rPr>
              <w:t>Mr. Jean-Philippe Lavallee</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Railway O&amp;M expert</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PMC</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US" w:eastAsia="en-US" w:bidi="ar-SA"/>
              </w:rPr>
              <w:t>Mayank Sharma</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Interface/Sys Assurance Manager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PMC</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US" w:eastAsia="en-US" w:bidi="ar-SA"/>
              </w:rPr>
              <w:t>Mr. Javier Valero</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Project Director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US" w:eastAsia="en-US" w:bidi="ar-SA"/>
              </w:rPr>
              <w:t>Ms. Cristina Baleia</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Alignment Expert</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GB" w:eastAsia="en-US" w:bidi="ar-SA"/>
              </w:rPr>
              <w:t>Ms. Sandra Alcalde</w:t>
            </w:r>
          </w:p>
        </w:tc>
        <w:tc>
          <w:tcPr>
            <w:tcW w:w="5244" w:type="dxa"/>
            <w:gridSpan w:val="3"/>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Project Controls Expert</w:t>
            </w:r>
          </w:p>
        </w:tc>
        <w:tc>
          <w:tcPr>
            <w:tcW w:w="2128" w:type="dxa"/>
            <w:gridSpan w:val="2"/>
            <w:tcBorders/>
            <w:shd w:color="auto" w:fill="auto" w:val="clear"/>
            <w:vAlign w:val="cente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GB" w:eastAsia="en-US" w:bidi="ar-SA"/>
              </w:rPr>
              <w:t>Ms. Asimina Kanellaidi</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Commercial/Contracts Manager</w:t>
            </w:r>
          </w:p>
        </w:tc>
        <w:tc>
          <w:tcPr>
            <w:tcW w:w="2128" w:type="dxa"/>
            <w:gridSpan w:val="2"/>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GB" w:eastAsia="en-US" w:bidi="ar-SA"/>
              </w:rPr>
              <w:t>Mr. Saeed Hussien</w:t>
            </w:r>
          </w:p>
        </w:tc>
        <w:tc>
          <w:tcPr>
            <w:tcW w:w="5244" w:type="dxa"/>
            <w:gridSpan w:val="3"/>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Stakeholder Manager</w:t>
            </w:r>
          </w:p>
        </w:tc>
        <w:tc>
          <w:tcPr>
            <w:tcW w:w="2128" w:type="dxa"/>
            <w:gridSpan w:val="2"/>
            <w:tcBorders/>
            <w:shd w:color="auto" w:fill="auto" w:val="clear"/>
            <w:vAlign w:val="cente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US" w:eastAsia="en-US" w:bidi="ar-SA"/>
              </w:rPr>
              <w:t>Mr. Pedro Quadros</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Deputy Project Director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US" w:eastAsia="en-US" w:bidi="ar-SA"/>
              </w:rPr>
              <w:t>Ms. Vicky Chou</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Civil Engineer/Procurement Coordinator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US" w:eastAsia="en-US" w:bidi="ar-SA"/>
              </w:rPr>
              <w:t>Ms. Mónica Lopez</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Headquarters Project Coordinator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GB" w:eastAsia="en-US" w:bidi="ar-SA"/>
              </w:rPr>
              <w:t>Mr. Pablo Fernández</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Engineering Manager - Architecture</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GB" w:eastAsia="en-US" w:bidi="ar-SA"/>
              </w:rPr>
              <w:t>Mr. Martin Thomas</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Transport Planning Expert</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GB" w:eastAsia="en-US" w:bidi="ar-SA"/>
              </w:rPr>
              <w:t>Mr. Jorge Tuda</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TIS Manager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GB" w:eastAsia="en-US" w:bidi="ar-SA"/>
              </w:rPr>
              <w:t>Mr. Rui Brito</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Civil Procurement Lead</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US" w:eastAsia="en-US" w:bidi="ar-SA"/>
              </w:rPr>
              <w:t>Mr. Alejandro Varon</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 xml:space="preserve">Procurement Lead </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GB" w:eastAsia="en-US" w:bidi="ar-SA"/>
              </w:rPr>
              <w:t>Mr. Ahmed Elnajjar</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Geotechnical Engineer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GB" w:eastAsia="en-US" w:bidi="ar-SA"/>
              </w:rPr>
              <w:t>Mr. Erlantz Osa</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Geotechnical Engineer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GB" w:eastAsia="en-US" w:bidi="ar-SA"/>
              </w:rPr>
              <w:t>Mr. Stefan Ljungberg</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Alignment Expert</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GB" w:eastAsia="en-US" w:bidi="ar-SA"/>
              </w:rPr>
              <w:t>Mr. Toni Castro</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Engineering Manager - Systems</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GB" w:eastAsia="en-US" w:bidi="ar-SA"/>
              </w:rPr>
              <w:t>Mr. Iñaki Catalan</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 xml:space="preserve">Engineering Manager – Civil </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US" w:eastAsia="en-US" w:bidi="ar-SA"/>
              </w:rPr>
              <w:t>Mr. Kamaleldin Khaled</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Stakeholder Engineer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US" w:eastAsia="en-US" w:bidi="ar-SA"/>
              </w:rPr>
              <w:t>Mr. Mirza Ibrshrahim</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MEP(FLS) Expert</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vAlign w:val="cente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GB" w:eastAsia="en-US" w:bidi="ar-SA"/>
              </w:rPr>
              <w:t>Mr. Martin Moreno</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MEP Engineer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18"/>
              </w:numPr>
              <w:suppressAutoHyphens w:val="true"/>
              <w:spacing w:before="0" w:after="0"/>
              <w:jc w:val="end"/>
              <w:rPr>
                <w:sz w:val="22"/>
                <w:szCs w:val="22"/>
              </w:rPr>
            </w:pPr>
            <w:r>
              <w:rPr>
                <w:kern w:val="0"/>
                <w:sz w:val="22"/>
                <w:szCs w:val="22"/>
                <w:lang w:val="en-US" w:eastAsia="en-US" w:bidi="ar-SA"/>
              </w:rPr>
            </w:r>
          </w:p>
        </w:tc>
        <w:tc>
          <w:tcPr>
            <w:tcW w:w="2154" w:type="dxa"/>
            <w:gridSpan w:val="2"/>
            <w:tcBorders/>
            <w:shd w:color="auto" w:fill="auto" w:val="clea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GB" w:eastAsia="en-US" w:bidi="ar-SA"/>
              </w:rPr>
              <w:t>Mr. Mohamed Allam</w:t>
            </w:r>
          </w:p>
        </w:tc>
        <w:tc>
          <w:tcPr>
            <w:tcW w:w="5244" w:type="dxa"/>
            <w:gridSpan w:val="3"/>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Interface and Integration</w:t>
            </w:r>
          </w:p>
        </w:tc>
        <w:tc>
          <w:tcPr>
            <w:tcW w:w="2128" w:type="dxa"/>
            <w:gridSpan w:val="2"/>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0926" w:type="dxa"/>
            <w:gridSpan w:val="8"/>
            <w:tcBorders/>
            <w:shd w:color="auto" w:fill="A6A6A6" w:themeFill="background1" w:themeFillShade="a6" w:val="clear"/>
            <w:vAlign w:val="center"/>
          </w:tcPr>
          <w:p>
            <w:pPr>
              <w:pStyle w:val="FormTitleHeader"/>
              <w:widowControl w:val="false"/>
              <w:suppressAutoHyphens w:val="true"/>
              <w:spacing w:before="0" w:after="0"/>
              <w:jc w:val="start"/>
              <w:rPr>
                <w:color w:themeColor="text1" w:val="000000"/>
              </w:rPr>
            </w:pPr>
            <w:r>
              <w:rPr>
                <w:color w:themeColor="text1" w:val="000000"/>
                <w:kern w:val="0"/>
                <w:lang w:val="en-US" w:eastAsia="en-US" w:bidi="ar-SA"/>
              </w:rPr>
              <w:t>Apologies</w:t>
            </w:r>
          </w:p>
        </w:tc>
      </w:tr>
      <w:tr>
        <w:trPr>
          <w:trHeight w:val="300" w:hRule="atLeast"/>
        </w:trPr>
        <w:tc>
          <w:tcPr>
            <w:tcW w:w="1400" w:type="dxa"/>
            <w:tcBorders/>
            <w:shd w:color="auto" w:fill="auto" w:val="clear"/>
            <w:vAlign w:val="center"/>
          </w:tcPr>
          <w:p>
            <w:pPr>
              <w:pStyle w:val="TableLineNumbering"/>
              <w:widowControl w:val="false"/>
              <w:numPr>
                <w:ilvl w:val="0"/>
                <w:numId w:val="35"/>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vAlign w:val="cente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US" w:eastAsia="en-US" w:bidi="ar-SA"/>
              </w:rPr>
              <w:t>Mr. Ahmed Alriyami</w:t>
            </w:r>
          </w:p>
        </w:tc>
        <w:tc>
          <w:tcPr>
            <w:tcW w:w="5527" w:type="dxa"/>
            <w:gridSpan w:val="4"/>
            <w:tcBorders/>
            <w:shd w:color="auto" w:fill="auto" w:val="clear"/>
            <w:vAlign w:val="cente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GB" w:eastAsia="en-US" w:bidi="ar-SA"/>
              </w:rPr>
              <w:t>Right of Way Lead</w:t>
            </w:r>
          </w:p>
        </w:tc>
        <w:tc>
          <w:tcPr>
            <w:tcW w:w="2128" w:type="dxa"/>
            <w:gridSpan w:val="2"/>
            <w:tcBorders/>
            <w:shd w:color="auto" w:fill="auto" w:val="clear"/>
            <w:vAlign w:val="cente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36"/>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GB" w:eastAsia="en-US" w:bidi="ar-SA"/>
              </w:rPr>
              <w:t>Mr. Mohd Hourani</w:t>
            </w:r>
          </w:p>
        </w:tc>
        <w:tc>
          <w:tcPr>
            <w:tcW w:w="5527" w:type="dxa"/>
            <w:gridSpan w:val="4"/>
            <w:tcBorders/>
            <w:shd w:color="auto" w:fill="auto" w:val="clea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GB" w:eastAsia="en-US" w:bidi="ar-SA"/>
              </w:rPr>
              <w:t>Stakeholder Manager</w:t>
            </w:r>
          </w:p>
        </w:tc>
        <w:tc>
          <w:tcPr>
            <w:tcW w:w="2128" w:type="dxa"/>
            <w:gridSpan w:val="2"/>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37"/>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vAlign w:val="cente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US" w:eastAsia="en-US" w:bidi="ar-SA"/>
              </w:rPr>
              <w:t>Ms. Fatima Alhouti</w:t>
            </w:r>
          </w:p>
        </w:tc>
        <w:tc>
          <w:tcPr>
            <w:tcW w:w="5527" w:type="dxa"/>
            <w:gridSpan w:val="4"/>
            <w:tcBorders/>
            <w:shd w:color="auto" w:fill="auto" w:val="clea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GB" w:eastAsia="en-US" w:bidi="ar-SA"/>
              </w:rPr>
              <w:t>Technical Coordinator Engineer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38"/>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vAlign w:val="cente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US" w:eastAsia="en-US" w:bidi="ar-SA"/>
              </w:rPr>
              <w:t>Mr. Tarun Kumar</w:t>
            </w:r>
          </w:p>
        </w:tc>
        <w:tc>
          <w:tcPr>
            <w:tcW w:w="5527" w:type="dxa"/>
            <w:gridSpan w:val="4"/>
            <w:tcBorders/>
            <w:shd w:color="auto" w:fill="auto" w:val="clear"/>
            <w:vAlign w:val="cente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GB" w:eastAsia="en-US" w:bidi="ar-SA"/>
              </w:rPr>
              <w:t>Catenary and Third Rail Expert</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39"/>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vAlign w:val="cente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US" w:eastAsia="en-US" w:bidi="ar-SA"/>
              </w:rPr>
              <w:t>Mr. Kushal Jain</w:t>
            </w:r>
          </w:p>
        </w:tc>
        <w:tc>
          <w:tcPr>
            <w:tcW w:w="5527" w:type="dxa"/>
            <w:gridSpan w:val="4"/>
            <w:tcBorders/>
            <w:shd w:color="auto" w:fill="auto" w:val="clea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GB" w:eastAsia="en-US" w:bidi="ar-SA"/>
              </w:rPr>
              <w:t>Systems</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40"/>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vAlign w:val="cente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US" w:eastAsia="en-US" w:bidi="ar-SA"/>
              </w:rPr>
              <w:t>Mr. Ibrahim Sheikh</w:t>
            </w:r>
          </w:p>
        </w:tc>
        <w:tc>
          <w:tcPr>
            <w:tcW w:w="5527" w:type="dxa"/>
            <w:gridSpan w:val="4"/>
            <w:tcBorders/>
            <w:shd w:color="auto" w:fill="auto" w:val="clear"/>
            <w:vAlign w:val="cente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GB" w:eastAsia="en-US" w:bidi="ar-SA"/>
              </w:rPr>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41"/>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GB" w:eastAsia="en-US" w:bidi="ar-SA"/>
              </w:rPr>
              <w:t>Mr. Djamel Attoui</w:t>
            </w:r>
          </w:p>
        </w:tc>
        <w:tc>
          <w:tcPr>
            <w:tcW w:w="5527" w:type="dxa"/>
            <w:gridSpan w:val="4"/>
            <w:tcBorders/>
            <w:shd w:color="auto" w:fill="auto" w:val="clea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GB" w:eastAsia="en-US" w:bidi="ar-SA"/>
              </w:rPr>
              <w:t>Systems Director</w:t>
            </w:r>
          </w:p>
        </w:tc>
        <w:tc>
          <w:tcPr>
            <w:tcW w:w="2128" w:type="dxa"/>
            <w:gridSpan w:val="2"/>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42"/>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tcPr>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GB" w:eastAsia="en-US" w:bidi="ar-SA"/>
              </w:rPr>
              <w:t>Mr. Stephen Bennett</w:t>
            </w:r>
          </w:p>
        </w:tc>
        <w:tc>
          <w:tcPr>
            <w:tcW w:w="5527" w:type="dxa"/>
            <w:gridSpan w:val="4"/>
            <w:tcBorders/>
            <w:shd w:color="auto" w:fill="auto" w:val="clea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GB" w:eastAsia="en-US" w:bidi="ar-SA"/>
              </w:rPr>
              <w:t>Transport Planning Expert</w:t>
            </w:r>
          </w:p>
        </w:tc>
        <w:tc>
          <w:tcPr>
            <w:tcW w:w="2128" w:type="dxa"/>
            <w:gridSpan w:val="2"/>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43"/>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vAlign w:val="cente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US" w:eastAsia="en-US" w:bidi="ar-SA"/>
              </w:rPr>
              <w:t>Mr. Abdulla Alebri</w:t>
            </w:r>
          </w:p>
        </w:tc>
        <w:tc>
          <w:tcPr>
            <w:tcW w:w="5527" w:type="dxa"/>
            <w:gridSpan w:val="4"/>
            <w:tcBorders/>
            <w:shd w:color="auto" w:fill="auto" w:val="clear"/>
            <w:vAlign w:val="cente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GB" w:eastAsia="en-US" w:bidi="ar-SA"/>
              </w:rPr>
              <w:t>Civil Engineer Graduate</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44"/>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vAlign w:val="cente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US" w:eastAsia="en-US" w:bidi="ar-SA"/>
              </w:rPr>
              <w:t>Mr. Ali Almheiri</w:t>
            </w:r>
          </w:p>
        </w:tc>
        <w:tc>
          <w:tcPr>
            <w:tcW w:w="5527" w:type="dxa"/>
            <w:gridSpan w:val="4"/>
            <w:tcBorders/>
            <w:shd w:color="auto" w:fill="auto" w:val="clear"/>
            <w:vAlign w:val="cente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GB" w:eastAsia="en-US" w:bidi="ar-SA"/>
              </w:rPr>
              <w:t>Civil Engineer Graduate</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45"/>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Mr. Abdulaziz Alholy</w:t>
            </w:r>
          </w:p>
        </w:tc>
        <w:tc>
          <w:tcPr>
            <w:tcW w:w="5527" w:type="dxa"/>
            <w:gridSpan w:val="4"/>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Stations Design Expert</w:t>
            </w:r>
          </w:p>
        </w:tc>
        <w:tc>
          <w:tcPr>
            <w:tcW w:w="2128" w:type="dxa"/>
            <w:gridSpan w:val="2"/>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46"/>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Mr. Yousef Kakish</w:t>
            </w:r>
          </w:p>
        </w:tc>
        <w:tc>
          <w:tcPr>
            <w:tcW w:w="5527" w:type="dxa"/>
            <w:gridSpan w:val="4"/>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 xml:space="preserve">Stakeholder lead </w:t>
            </w:r>
          </w:p>
        </w:tc>
        <w:tc>
          <w:tcPr>
            <w:tcW w:w="2128" w:type="dxa"/>
            <w:gridSpan w:val="2"/>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47"/>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Ms. Fatima Alhouti</w:t>
            </w:r>
          </w:p>
        </w:tc>
        <w:tc>
          <w:tcPr>
            <w:tcW w:w="5527" w:type="dxa"/>
            <w:gridSpan w:val="4"/>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Senior Right of Way Engineer</w:t>
            </w:r>
          </w:p>
        </w:tc>
        <w:tc>
          <w:tcPr>
            <w:tcW w:w="2128" w:type="dxa"/>
            <w:gridSpan w:val="2"/>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48"/>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Mr. Khalid Belhaj</w:t>
            </w:r>
          </w:p>
        </w:tc>
        <w:tc>
          <w:tcPr>
            <w:tcW w:w="5527" w:type="dxa"/>
            <w:gridSpan w:val="4"/>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System Assurance Expert</w:t>
            </w:r>
          </w:p>
        </w:tc>
        <w:tc>
          <w:tcPr>
            <w:tcW w:w="2128" w:type="dxa"/>
            <w:gridSpan w:val="2"/>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49"/>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Mr. Ishak Hisyamizan</w:t>
            </w:r>
          </w:p>
        </w:tc>
        <w:tc>
          <w:tcPr>
            <w:tcW w:w="5527" w:type="dxa"/>
            <w:gridSpan w:val="4"/>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Interface</w:t>
            </w:r>
          </w:p>
        </w:tc>
        <w:tc>
          <w:tcPr>
            <w:tcW w:w="2128" w:type="dxa"/>
            <w:gridSpan w:val="2"/>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50"/>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Mr. Mohamed Hegab</w:t>
            </w:r>
          </w:p>
        </w:tc>
        <w:tc>
          <w:tcPr>
            <w:tcW w:w="5527" w:type="dxa"/>
            <w:gridSpan w:val="4"/>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Project Schedule &amp; Cost Expert</w:t>
            </w:r>
          </w:p>
        </w:tc>
        <w:tc>
          <w:tcPr>
            <w:tcW w:w="2128" w:type="dxa"/>
            <w:gridSpan w:val="2"/>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51"/>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vAlign w:val="cente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US" w:eastAsia="en-US" w:bidi="ar-SA"/>
              </w:rPr>
              <w:t>Mr. Almansoori Humaid</w:t>
            </w:r>
          </w:p>
        </w:tc>
        <w:tc>
          <w:tcPr>
            <w:tcW w:w="5527" w:type="dxa"/>
            <w:gridSpan w:val="4"/>
            <w:tcBorders/>
            <w:shd w:color="auto" w:fill="auto" w:val="clear"/>
            <w:vAlign w:val="cente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Stakeholder Manager</w:t>
            </w:r>
          </w:p>
        </w:tc>
        <w:tc>
          <w:tcPr>
            <w:tcW w:w="2128" w:type="dxa"/>
            <w:gridSpan w:val="2"/>
            <w:tcBorders/>
            <w:shd w:color="auto" w:fill="auto" w:val="clear"/>
            <w:vAlign w:val="cente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52"/>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Mr. Mohammed Alshehhi</w:t>
            </w:r>
          </w:p>
        </w:tc>
        <w:tc>
          <w:tcPr>
            <w:tcW w:w="5527" w:type="dxa"/>
            <w:gridSpan w:val="4"/>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Chief Projects Officer</w:t>
            </w:r>
          </w:p>
        </w:tc>
        <w:tc>
          <w:tcPr>
            <w:tcW w:w="2128" w:type="dxa"/>
            <w:gridSpan w:val="2"/>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53"/>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Style w:val="ui-provider"/>
                <w:rFonts w:eastAsia="Calibri"/>
                <w:kern w:val="0"/>
                <w:sz w:val="22"/>
                <w:szCs w:val="22"/>
                <w:lang w:val="en-US" w:eastAsia="en-US" w:bidi="ar-SA"/>
              </w:rPr>
              <w:t>Ms. Aysha Raoof</w:t>
            </w:r>
          </w:p>
        </w:tc>
        <w:tc>
          <w:tcPr>
            <w:tcW w:w="5527" w:type="dxa"/>
            <w:gridSpan w:val="4"/>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Transport Planning Expert</w:t>
            </w:r>
          </w:p>
        </w:tc>
        <w:tc>
          <w:tcPr>
            <w:tcW w:w="2128" w:type="dxa"/>
            <w:gridSpan w:val="2"/>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54"/>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Mr. Ali Al Sammarraie</w:t>
            </w:r>
          </w:p>
        </w:tc>
        <w:tc>
          <w:tcPr>
            <w:tcW w:w="5527" w:type="dxa"/>
            <w:gridSpan w:val="4"/>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Transport Planning Expert</w:t>
            </w:r>
          </w:p>
        </w:tc>
        <w:tc>
          <w:tcPr>
            <w:tcW w:w="2128" w:type="dxa"/>
            <w:gridSpan w:val="2"/>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55"/>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Mr. Ghady Ghanem</w:t>
            </w:r>
          </w:p>
        </w:tc>
        <w:tc>
          <w:tcPr>
            <w:tcW w:w="5527" w:type="dxa"/>
            <w:gridSpan w:val="4"/>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Business Development</w:t>
            </w:r>
          </w:p>
        </w:tc>
        <w:tc>
          <w:tcPr>
            <w:tcW w:w="2128" w:type="dxa"/>
            <w:gridSpan w:val="2"/>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56"/>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Mr. Fadi Elzouhbi</w:t>
            </w:r>
          </w:p>
        </w:tc>
        <w:tc>
          <w:tcPr>
            <w:tcW w:w="5527" w:type="dxa"/>
            <w:gridSpan w:val="4"/>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Security Manager</w:t>
            </w:r>
          </w:p>
        </w:tc>
        <w:tc>
          <w:tcPr>
            <w:tcW w:w="2128" w:type="dxa"/>
            <w:gridSpan w:val="2"/>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57"/>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Mr. Martin Payne</w:t>
            </w:r>
          </w:p>
        </w:tc>
        <w:tc>
          <w:tcPr>
            <w:tcW w:w="5527" w:type="dxa"/>
            <w:gridSpan w:val="4"/>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Contract Manager</w:t>
            </w:r>
          </w:p>
        </w:tc>
        <w:tc>
          <w:tcPr>
            <w:tcW w:w="2128" w:type="dxa"/>
            <w:gridSpan w:val="2"/>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58"/>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Mr. Frederic Koenig</w:t>
            </w:r>
          </w:p>
        </w:tc>
        <w:tc>
          <w:tcPr>
            <w:tcW w:w="5527" w:type="dxa"/>
            <w:gridSpan w:val="4"/>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Project Controls director</w:t>
            </w:r>
          </w:p>
        </w:tc>
        <w:tc>
          <w:tcPr>
            <w:tcW w:w="2128" w:type="dxa"/>
            <w:gridSpan w:val="2"/>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59"/>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Ms. Azza AlSuwaidi</w:t>
            </w:r>
          </w:p>
        </w:tc>
        <w:tc>
          <w:tcPr>
            <w:tcW w:w="5527" w:type="dxa"/>
            <w:gridSpan w:val="4"/>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 xml:space="preserve">Director </w:t>
            </w:r>
          </w:p>
        </w:tc>
        <w:tc>
          <w:tcPr>
            <w:tcW w:w="2128" w:type="dxa"/>
            <w:gridSpan w:val="2"/>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60"/>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Mr. Sébastien Mangeant</w:t>
            </w:r>
          </w:p>
        </w:tc>
        <w:tc>
          <w:tcPr>
            <w:tcW w:w="5527" w:type="dxa"/>
            <w:gridSpan w:val="4"/>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Executive Project Director</w:t>
            </w:r>
          </w:p>
        </w:tc>
        <w:tc>
          <w:tcPr>
            <w:tcW w:w="2128" w:type="dxa"/>
            <w:gridSpan w:val="2"/>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ERL</w:t>
            </w:r>
          </w:p>
        </w:tc>
      </w:tr>
      <w:tr>
        <w:trPr>
          <w:trHeight w:val="300" w:hRule="atLeast"/>
        </w:trPr>
        <w:tc>
          <w:tcPr>
            <w:tcW w:w="1400" w:type="dxa"/>
            <w:tcBorders/>
            <w:shd w:color="auto" w:fill="auto" w:val="clear"/>
            <w:vAlign w:val="center"/>
          </w:tcPr>
          <w:p>
            <w:pPr>
              <w:pStyle w:val="TableLineNumbering"/>
              <w:widowControl w:val="false"/>
              <w:numPr>
                <w:ilvl w:val="0"/>
                <w:numId w:val="61"/>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 xml:space="preserve">Mr. Alireza Amini </w:t>
            </w:r>
          </w:p>
        </w:tc>
        <w:tc>
          <w:tcPr>
            <w:tcW w:w="5527" w:type="dxa"/>
            <w:gridSpan w:val="4"/>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Cost Estimates Manager</w:t>
            </w:r>
          </w:p>
        </w:tc>
        <w:tc>
          <w:tcPr>
            <w:tcW w:w="2128" w:type="dxa"/>
            <w:gridSpan w:val="2"/>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PMC</w:t>
            </w:r>
          </w:p>
        </w:tc>
      </w:tr>
      <w:tr>
        <w:trPr>
          <w:trHeight w:val="300" w:hRule="atLeast"/>
        </w:trPr>
        <w:tc>
          <w:tcPr>
            <w:tcW w:w="1400" w:type="dxa"/>
            <w:tcBorders/>
            <w:shd w:color="auto" w:fill="auto" w:val="clear"/>
            <w:vAlign w:val="center"/>
          </w:tcPr>
          <w:p>
            <w:pPr>
              <w:pStyle w:val="TableLineNumbering"/>
              <w:widowControl w:val="false"/>
              <w:numPr>
                <w:ilvl w:val="0"/>
                <w:numId w:val="62"/>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Mr. Laurent Perocheau</w:t>
            </w:r>
          </w:p>
        </w:tc>
        <w:tc>
          <w:tcPr>
            <w:tcW w:w="5527" w:type="dxa"/>
            <w:gridSpan w:val="4"/>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Engineering Lead - Systems</w:t>
            </w:r>
          </w:p>
        </w:tc>
        <w:tc>
          <w:tcPr>
            <w:tcW w:w="2128" w:type="dxa"/>
            <w:gridSpan w:val="2"/>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PMC</w:t>
            </w:r>
          </w:p>
        </w:tc>
      </w:tr>
      <w:tr>
        <w:trPr>
          <w:trHeight w:val="300" w:hRule="atLeast"/>
        </w:trPr>
        <w:tc>
          <w:tcPr>
            <w:tcW w:w="1400" w:type="dxa"/>
            <w:tcBorders/>
            <w:shd w:color="auto" w:fill="auto" w:val="clear"/>
            <w:vAlign w:val="center"/>
          </w:tcPr>
          <w:p>
            <w:pPr>
              <w:pStyle w:val="TableLineNumbering"/>
              <w:widowControl w:val="false"/>
              <w:numPr>
                <w:ilvl w:val="0"/>
                <w:numId w:val="63"/>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vAlign w:val="center"/>
          </w:tcPr>
          <w:p>
            <w:pPr>
              <w:pStyle w:val="TableText"/>
              <w:widowControl w:val="false"/>
              <w:suppressAutoHyphens w:val="true"/>
              <w:spacing w:before="0" w:after="0"/>
              <w:jc w:val="start"/>
              <w:rPr>
                <w:highlight w:val="yellow"/>
              </w:rPr>
            </w:pPr>
            <w:r>
              <w:rPr>
                <w:rFonts w:eastAsia="Calibri"/>
                <w:kern w:val="0"/>
                <w:sz w:val="22"/>
                <w:szCs w:val="22"/>
                <w:lang w:val="en-US" w:eastAsia="en-US" w:bidi="ar-SA"/>
              </w:rPr>
              <w:t>Mr. Ghazi Faisal</w:t>
            </w:r>
          </w:p>
        </w:tc>
        <w:tc>
          <w:tcPr>
            <w:tcW w:w="5527" w:type="dxa"/>
            <w:gridSpan w:val="4"/>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Stakeholder Manager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PMC</w:t>
            </w:r>
          </w:p>
        </w:tc>
      </w:tr>
      <w:tr>
        <w:trPr>
          <w:trHeight w:val="300" w:hRule="atLeast"/>
        </w:trPr>
        <w:tc>
          <w:tcPr>
            <w:tcW w:w="1400" w:type="dxa"/>
            <w:tcBorders/>
            <w:shd w:color="auto" w:fill="auto" w:val="clear"/>
            <w:vAlign w:val="center"/>
          </w:tcPr>
          <w:p>
            <w:pPr>
              <w:pStyle w:val="TableLineNumbering"/>
              <w:widowControl w:val="false"/>
              <w:numPr>
                <w:ilvl w:val="0"/>
                <w:numId w:val="64"/>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vAlign w:val="center"/>
          </w:tcPr>
          <w:p>
            <w:pPr>
              <w:pStyle w:val="TableText"/>
              <w:widowControl w:val="false"/>
              <w:suppressAutoHyphens w:val="true"/>
              <w:spacing w:before="0" w:after="0"/>
              <w:jc w:val="start"/>
              <w:rPr>
                <w:highlight w:val="yellow"/>
              </w:rPr>
            </w:pPr>
            <w:r>
              <w:rPr>
                <w:rFonts w:eastAsia="Calibri"/>
                <w:kern w:val="0"/>
                <w:sz w:val="22"/>
                <w:szCs w:val="22"/>
                <w:lang w:val="en-US" w:eastAsia="en-US" w:bidi="ar-SA"/>
              </w:rPr>
              <w:t>Ms. Mery Delgado Palomo</w:t>
            </w:r>
          </w:p>
        </w:tc>
        <w:tc>
          <w:tcPr>
            <w:tcW w:w="5527" w:type="dxa"/>
            <w:gridSpan w:val="4"/>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System Engineer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PMC</w:t>
            </w:r>
          </w:p>
        </w:tc>
      </w:tr>
      <w:tr>
        <w:trPr>
          <w:trHeight w:val="300" w:hRule="atLeast"/>
        </w:trPr>
        <w:tc>
          <w:tcPr>
            <w:tcW w:w="1400" w:type="dxa"/>
            <w:tcBorders/>
            <w:shd w:color="auto" w:fill="auto" w:val="clear"/>
            <w:vAlign w:val="center"/>
          </w:tcPr>
          <w:p>
            <w:pPr>
              <w:pStyle w:val="TableLineNumbering"/>
              <w:widowControl w:val="false"/>
              <w:numPr>
                <w:ilvl w:val="0"/>
                <w:numId w:val="65"/>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vAlign w:val="cente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US" w:eastAsia="en-US" w:bidi="ar-SA"/>
              </w:rPr>
              <w:t>Mr. Purnesh Kulkarni</w:t>
            </w:r>
          </w:p>
        </w:tc>
        <w:tc>
          <w:tcPr>
            <w:tcW w:w="5527" w:type="dxa"/>
            <w:gridSpan w:val="4"/>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PMO Officer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PMC</w:t>
            </w:r>
          </w:p>
        </w:tc>
      </w:tr>
      <w:tr>
        <w:trPr>
          <w:trHeight w:val="300" w:hRule="atLeast"/>
        </w:trPr>
        <w:tc>
          <w:tcPr>
            <w:tcW w:w="1400" w:type="dxa"/>
            <w:tcBorders/>
            <w:shd w:color="auto" w:fill="auto" w:val="clear"/>
            <w:vAlign w:val="center"/>
          </w:tcPr>
          <w:p>
            <w:pPr>
              <w:pStyle w:val="TableLineNumbering"/>
              <w:widowControl w:val="false"/>
              <w:numPr>
                <w:ilvl w:val="0"/>
                <w:numId w:val="66"/>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vAlign w:val="cente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US" w:eastAsia="en-US" w:bidi="ar-SA"/>
              </w:rPr>
              <w:t>Mr. Milen KOCEV</w:t>
            </w:r>
          </w:p>
        </w:tc>
        <w:tc>
          <w:tcPr>
            <w:tcW w:w="5527" w:type="dxa"/>
            <w:gridSpan w:val="4"/>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PMO</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PMC</w:t>
            </w:r>
          </w:p>
        </w:tc>
      </w:tr>
      <w:tr>
        <w:trPr>
          <w:trHeight w:val="300" w:hRule="atLeast"/>
        </w:trPr>
        <w:tc>
          <w:tcPr>
            <w:tcW w:w="1400" w:type="dxa"/>
            <w:tcBorders/>
            <w:shd w:color="auto" w:fill="auto" w:val="clear"/>
            <w:vAlign w:val="center"/>
          </w:tcPr>
          <w:p>
            <w:pPr>
              <w:pStyle w:val="TableLineNumbering"/>
              <w:widowControl w:val="false"/>
              <w:numPr>
                <w:ilvl w:val="0"/>
                <w:numId w:val="67"/>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vAlign w:val="cente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US" w:eastAsia="en-US" w:bidi="ar-SA"/>
              </w:rPr>
              <w:t>Mr. Soheil Mohammadkhani Shali</w:t>
            </w:r>
          </w:p>
        </w:tc>
        <w:tc>
          <w:tcPr>
            <w:tcW w:w="5527" w:type="dxa"/>
            <w:gridSpan w:val="4"/>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Engineering Lead – Civil</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PMC</w:t>
            </w:r>
          </w:p>
        </w:tc>
      </w:tr>
      <w:tr>
        <w:trPr>
          <w:trHeight w:val="300" w:hRule="atLeast"/>
        </w:trPr>
        <w:tc>
          <w:tcPr>
            <w:tcW w:w="1400" w:type="dxa"/>
            <w:tcBorders/>
            <w:shd w:color="auto" w:fill="auto" w:val="clear"/>
            <w:vAlign w:val="center"/>
          </w:tcPr>
          <w:p>
            <w:pPr>
              <w:pStyle w:val="TableLineNumbering"/>
              <w:widowControl w:val="false"/>
              <w:numPr>
                <w:ilvl w:val="0"/>
                <w:numId w:val="68"/>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vAlign w:val="cente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 xml:space="preserve">Ms. Nuria Torres </w:t>
            </w:r>
          </w:p>
        </w:tc>
        <w:tc>
          <w:tcPr>
            <w:tcW w:w="5527" w:type="dxa"/>
            <w:gridSpan w:val="4"/>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Roadways Expert</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69"/>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vAlign w:val="center"/>
          </w:tcPr>
          <w:p>
            <w:pPr>
              <w:pStyle w:val="TableText"/>
              <w:widowControl w:val="false"/>
              <w:suppressAutoHyphens w:val="true"/>
              <w:spacing w:before="0" w:after="0"/>
              <w:jc w:val="start"/>
              <w:rPr>
                <w:highlight w:val="yellow"/>
                <w:lang w:val="en-GB"/>
              </w:rPr>
            </w:pPr>
            <w:r>
              <w:rPr>
                <w:rFonts w:eastAsia="Calibri"/>
                <w:kern w:val="0"/>
                <w:sz w:val="22"/>
                <w:szCs w:val="22"/>
                <w:lang w:val="en-US" w:eastAsia="en-US" w:bidi="ar-SA"/>
              </w:rPr>
              <w:t>Mr. Jose Manuel Martin</w:t>
            </w:r>
          </w:p>
        </w:tc>
        <w:tc>
          <w:tcPr>
            <w:tcW w:w="5527" w:type="dxa"/>
            <w:gridSpan w:val="4"/>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Systems Coordinator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70"/>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vAlign w:val="cente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US" w:eastAsia="en-US" w:bidi="ar-SA"/>
              </w:rPr>
              <w:t>Mr. Ivan Quintana</w:t>
            </w:r>
          </w:p>
        </w:tc>
        <w:tc>
          <w:tcPr>
            <w:tcW w:w="5527" w:type="dxa"/>
            <w:gridSpan w:val="4"/>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MEP Engineer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71"/>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US" w:eastAsia="en-US" w:bidi="ar-SA"/>
              </w:rPr>
              <w:t>Mr. Andres Moriel</w:t>
            </w:r>
          </w:p>
        </w:tc>
        <w:tc>
          <w:tcPr>
            <w:tcW w:w="5527" w:type="dxa"/>
            <w:gridSpan w:val="4"/>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Systems Assurance</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72"/>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vAlign w:val="cente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GB" w:eastAsia="en-US" w:bidi="ar-SA"/>
              </w:rPr>
              <w:t>Mr. Pablo Ramos</w:t>
            </w:r>
          </w:p>
        </w:tc>
        <w:tc>
          <w:tcPr>
            <w:tcW w:w="5527" w:type="dxa"/>
            <w:gridSpan w:val="4"/>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73"/>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Ms. Angela Barba</w:t>
            </w:r>
          </w:p>
        </w:tc>
        <w:tc>
          <w:tcPr>
            <w:tcW w:w="5527" w:type="dxa"/>
            <w:gridSpan w:val="4"/>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TIS expert</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74"/>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Ms. Shilpa Gulati</w:t>
            </w:r>
          </w:p>
        </w:tc>
        <w:tc>
          <w:tcPr>
            <w:tcW w:w="5527" w:type="dxa"/>
            <w:gridSpan w:val="4"/>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Project Controls Engineer</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75"/>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Mr. Victor Perez</w:t>
            </w:r>
          </w:p>
        </w:tc>
        <w:tc>
          <w:tcPr>
            <w:tcW w:w="5527" w:type="dxa"/>
            <w:gridSpan w:val="4"/>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Project Controls Expert</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400" w:type="dxa"/>
            <w:tcBorders/>
            <w:shd w:color="auto" w:fill="auto" w:val="clear"/>
            <w:vAlign w:val="center"/>
          </w:tcPr>
          <w:p>
            <w:pPr>
              <w:pStyle w:val="TableLineNumbering"/>
              <w:widowControl w:val="false"/>
              <w:numPr>
                <w:ilvl w:val="0"/>
                <w:numId w:val="76"/>
              </w:numPr>
              <w:suppressAutoHyphens w:val="true"/>
              <w:spacing w:before="0" w:after="0"/>
              <w:jc w:val="end"/>
              <w:rPr>
                <w:kern w:val="0"/>
                <w:lang w:val="en-US" w:eastAsia="en-US" w:bidi="ar-SA"/>
              </w:rPr>
            </w:pPr>
            <w:r>
              <w:rPr>
                <w:kern w:val="0"/>
                <w:lang w:val="en-US" w:eastAsia="en-US" w:bidi="ar-SA"/>
              </w:rPr>
            </w:r>
          </w:p>
        </w:tc>
        <w:tc>
          <w:tcPr>
            <w:tcW w:w="1871" w:type="dxa"/>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Mr. Aitor Santos</w:t>
            </w:r>
          </w:p>
        </w:tc>
        <w:tc>
          <w:tcPr>
            <w:tcW w:w="5527" w:type="dxa"/>
            <w:gridSpan w:val="4"/>
            <w:tcBorders/>
            <w:shd w:color="auto" w:fill="auto" w:val="clear"/>
          </w:tcPr>
          <w:p>
            <w:pPr>
              <w:pStyle w:val="TableText"/>
              <w:widowControl w:val="false"/>
              <w:suppressAutoHyphens w:val="true"/>
              <w:spacing w:before="0" w:after="0"/>
              <w:jc w:val="start"/>
              <w:rPr>
                <w:lang w:val="en-GB"/>
              </w:rPr>
            </w:pPr>
            <w:r>
              <w:rPr>
                <w:rFonts w:eastAsia="Calibri"/>
                <w:kern w:val="0"/>
                <w:sz w:val="22"/>
                <w:szCs w:val="22"/>
                <w:lang w:val="en-GB" w:eastAsia="en-US" w:bidi="ar-SA"/>
              </w:rPr>
              <w:t>Depot Expert</w:t>
            </w:r>
          </w:p>
        </w:tc>
        <w:tc>
          <w:tcPr>
            <w:tcW w:w="2128" w:type="dxa"/>
            <w:gridSpan w:val="2"/>
            <w:tcBorders/>
            <w:shd w:color="auto" w:fill="auto" w:val="clear"/>
            <w:vAlign w:val="center"/>
          </w:tcPr>
          <w:p>
            <w:pPr>
              <w:pStyle w:val="TableText"/>
              <w:widowControl w:val="false"/>
              <w:suppressAutoHyphens w:val="true"/>
              <w:spacing w:before="0" w:after="0"/>
              <w:jc w:val="start"/>
              <w:rPr>
                <w:lang w:val="en-GB"/>
              </w:rPr>
            </w:pPr>
            <w:r>
              <w:rPr>
                <w:rFonts w:eastAsia="Calibri"/>
                <w:kern w:val="0"/>
                <w:sz w:val="22"/>
                <w:szCs w:val="22"/>
                <w:lang w:val="en-GB" w:eastAsia="en-US" w:bidi="ar-SA"/>
              </w:rPr>
              <w:t>SEI</w:t>
            </w:r>
          </w:p>
        </w:tc>
      </w:tr>
      <w:tr>
        <w:trPr>
          <w:trHeight w:val="300" w:hRule="atLeast"/>
        </w:trPr>
        <w:tc>
          <w:tcPr>
            <w:tcW w:w="10926" w:type="dxa"/>
            <w:gridSpan w:val="8"/>
            <w:tcBorders/>
            <w:shd w:color="auto" w:fill="A6A6A6" w:themeFill="background1" w:themeFillShade="a6" w:val="clear"/>
          </w:tcPr>
          <w:p>
            <w:pPr>
              <w:pStyle w:val="FormTitleHeader"/>
              <w:widowControl w:val="false"/>
              <w:suppressAutoHyphens w:val="true"/>
              <w:spacing w:before="0" w:after="0"/>
              <w:jc w:val="start"/>
              <w:rPr>
                <w:kern w:val="0"/>
                <w:lang w:val="en-US" w:eastAsia="en-US" w:bidi="ar-SA"/>
              </w:rPr>
            </w:pPr>
            <w:r>
              <w:rPr>
                <w:kern w:val="0"/>
                <w:lang w:val="en-US" w:eastAsia="en-US" w:bidi="ar-SA"/>
              </w:rPr>
              <w:t>Meeting Agenda</w:t>
            </w:r>
          </w:p>
        </w:tc>
      </w:tr>
      <w:tr>
        <w:trPr>
          <w:trHeight w:val="300" w:hRule="atLeast"/>
        </w:trPr>
        <w:tc>
          <w:tcPr>
            <w:tcW w:w="10926" w:type="dxa"/>
            <w:gridSpan w:val="8"/>
            <w:tcBorders/>
            <w:shd w:color="auto" w:fill="auto" w:val="clear"/>
          </w:tcPr>
          <w:p>
            <w:pPr>
              <w:pStyle w:val="paragraph"/>
              <w:widowControl/>
              <w:numPr>
                <w:ilvl w:val="0"/>
                <w:numId w:val="19"/>
              </w:numPr>
              <w:spacing w:beforeAutospacing="0" w:before="0" w:afterAutospacing="0" w:after="0"/>
              <w:ind w:hanging="357" w:start="714"/>
              <w:jc w:val="start"/>
              <w:textAlignment w:val="baseline"/>
              <w:rPr>
                <w:rFonts w:ascii="Dubai" w:hAnsi="Dubai" w:cs="Dubai"/>
                <w:b/>
                <w:bCs/>
                <w:sz w:val="22"/>
                <w:szCs w:val="22"/>
                <w:lang w:val="en-GB"/>
              </w:rPr>
            </w:pPr>
            <w:r>
              <w:rPr>
                <w:rFonts w:cs="Dubai" w:ascii="Dubai" w:hAnsi="Dubai"/>
                <w:b/>
                <w:bCs/>
                <w:kern w:val="0"/>
                <w:position w:val="-1"/>
                <w:sz w:val="22"/>
                <w:szCs w:val="22"/>
                <w:lang w:val="en-GB" w:bidi="ar-SA"/>
              </w:rPr>
              <w:t>MANAGEMENT-STAKEHOLDER</w:t>
            </w:r>
          </w:p>
          <w:p>
            <w:pPr>
              <w:pStyle w:val="paragraph"/>
              <w:widowControl/>
              <w:numPr>
                <w:ilvl w:val="0"/>
                <w:numId w:val="19"/>
              </w:numPr>
              <w:spacing w:beforeAutospacing="0" w:before="0" w:afterAutospacing="0" w:after="0"/>
              <w:ind w:hanging="357" w:start="714"/>
              <w:jc w:val="start"/>
              <w:textAlignment w:val="baseline"/>
              <w:rPr>
                <w:rFonts w:ascii="Dubai" w:hAnsi="Dubai" w:cs="Dubai"/>
                <w:b/>
                <w:bCs/>
                <w:sz w:val="22"/>
                <w:szCs w:val="22"/>
                <w:lang w:val="en-GB"/>
              </w:rPr>
            </w:pPr>
            <w:r>
              <w:rPr>
                <w:rFonts w:cs="Dubai" w:ascii="Dubai" w:hAnsi="Dubai"/>
                <w:b/>
                <w:bCs/>
                <w:kern w:val="0"/>
                <w:position w:val="-1"/>
                <w:sz w:val="22"/>
                <w:szCs w:val="22"/>
                <w:lang w:val="en-GB" w:bidi="ar-SA"/>
              </w:rPr>
              <w:t>TRANSPORT MODEL/PLANNING</w:t>
            </w:r>
          </w:p>
          <w:p>
            <w:pPr>
              <w:pStyle w:val="paragraph"/>
              <w:widowControl/>
              <w:numPr>
                <w:ilvl w:val="0"/>
                <w:numId w:val="19"/>
              </w:numPr>
              <w:spacing w:beforeAutospacing="0" w:before="0" w:afterAutospacing="0" w:after="0"/>
              <w:ind w:hanging="357" w:start="714"/>
              <w:jc w:val="start"/>
              <w:textAlignment w:val="baseline"/>
              <w:rPr>
                <w:rFonts w:ascii="Dubai" w:hAnsi="Dubai" w:cs="Dubai"/>
                <w:b/>
                <w:bCs/>
                <w:sz w:val="22"/>
                <w:szCs w:val="22"/>
                <w:lang w:val="en-GB"/>
              </w:rPr>
            </w:pPr>
            <w:r>
              <w:rPr>
                <w:rFonts w:cs="Dubai" w:ascii="Dubai" w:hAnsi="Dubai"/>
                <w:b/>
                <w:bCs/>
                <w:kern w:val="0"/>
                <w:position w:val="-1"/>
                <w:sz w:val="22"/>
                <w:szCs w:val="22"/>
                <w:lang w:val="en-GB" w:bidi="ar-SA"/>
              </w:rPr>
              <w:t>PACKAGING &amp; PROCUREMENT STRATEGY AND TENDER DOCUMENTATION</w:t>
            </w:r>
          </w:p>
          <w:p>
            <w:pPr>
              <w:pStyle w:val="paragraph"/>
              <w:widowControl/>
              <w:numPr>
                <w:ilvl w:val="0"/>
                <w:numId w:val="19"/>
              </w:numPr>
              <w:spacing w:beforeAutospacing="0" w:before="0" w:afterAutospacing="0" w:after="0"/>
              <w:ind w:hanging="357" w:start="714"/>
              <w:jc w:val="start"/>
              <w:textAlignment w:val="baseline"/>
              <w:rPr>
                <w:rFonts w:ascii="Dubai" w:hAnsi="Dubai" w:cs="Dubai"/>
                <w:b/>
                <w:bCs/>
                <w:sz w:val="22"/>
                <w:szCs w:val="22"/>
                <w:lang w:val="en-GB"/>
              </w:rPr>
            </w:pPr>
            <w:r>
              <w:rPr>
                <w:rFonts w:cs="Dubai" w:ascii="Dubai" w:hAnsi="Dubai"/>
                <w:b/>
                <w:bCs/>
                <w:kern w:val="0"/>
                <w:position w:val="-1"/>
                <w:sz w:val="22"/>
                <w:szCs w:val="22"/>
                <w:lang w:val="en-GB" w:bidi="ar-SA"/>
              </w:rPr>
              <w:t>CIVIL</w:t>
            </w:r>
          </w:p>
          <w:p>
            <w:pPr>
              <w:pStyle w:val="paragraph"/>
              <w:widowControl/>
              <w:numPr>
                <w:ilvl w:val="0"/>
                <w:numId w:val="19"/>
              </w:numPr>
              <w:spacing w:beforeAutospacing="0" w:before="0" w:afterAutospacing="0" w:after="0"/>
              <w:ind w:hanging="357" w:start="714"/>
              <w:jc w:val="start"/>
              <w:textAlignment w:val="baseline"/>
              <w:rPr>
                <w:rFonts w:ascii="Dubai" w:hAnsi="Dubai" w:cs="Dubai"/>
                <w:b/>
                <w:bCs/>
                <w:sz w:val="22"/>
                <w:szCs w:val="22"/>
                <w:lang w:val="en-GB"/>
              </w:rPr>
            </w:pPr>
            <w:r>
              <w:rPr>
                <w:rFonts w:cs="Dubai" w:ascii="Dubai" w:hAnsi="Dubai"/>
                <w:b/>
                <w:bCs/>
                <w:kern w:val="0"/>
                <w:position w:val="-1"/>
                <w:sz w:val="22"/>
                <w:szCs w:val="22"/>
                <w:lang w:val="en-GB" w:bidi="ar-SA"/>
              </w:rPr>
              <w:t>STATIONS</w:t>
            </w:r>
          </w:p>
          <w:p>
            <w:pPr>
              <w:pStyle w:val="paragraph"/>
              <w:widowControl/>
              <w:numPr>
                <w:ilvl w:val="0"/>
                <w:numId w:val="19"/>
              </w:numPr>
              <w:spacing w:beforeAutospacing="0" w:before="0" w:afterAutospacing="0" w:after="0"/>
              <w:ind w:hanging="357" w:start="714"/>
              <w:jc w:val="start"/>
              <w:textAlignment w:val="baseline"/>
              <w:rPr>
                <w:rFonts w:ascii="Dubai" w:hAnsi="Dubai" w:cs="Dubai"/>
                <w:b/>
                <w:bCs/>
                <w:sz w:val="22"/>
                <w:szCs w:val="22"/>
                <w:lang w:val="en-GB"/>
              </w:rPr>
            </w:pPr>
            <w:r>
              <w:rPr>
                <w:rFonts w:cs="Dubai" w:ascii="Dubai" w:hAnsi="Dubai"/>
                <w:b/>
                <w:bCs/>
                <w:kern w:val="0"/>
                <w:position w:val="-1"/>
                <w:sz w:val="22"/>
                <w:szCs w:val="22"/>
                <w:lang w:val="en-GB" w:bidi="ar-SA"/>
              </w:rPr>
              <w:t>MEP</w:t>
            </w:r>
          </w:p>
          <w:p>
            <w:pPr>
              <w:pStyle w:val="paragraph"/>
              <w:widowControl/>
              <w:numPr>
                <w:ilvl w:val="0"/>
                <w:numId w:val="19"/>
              </w:numPr>
              <w:spacing w:beforeAutospacing="0" w:before="0" w:afterAutospacing="0" w:after="0"/>
              <w:ind w:hanging="357" w:start="714"/>
              <w:jc w:val="start"/>
              <w:textAlignment w:val="baseline"/>
              <w:rPr>
                <w:rFonts w:ascii="Dubai" w:hAnsi="Dubai" w:cs="Dubai"/>
                <w:b/>
                <w:bCs/>
                <w:sz w:val="22"/>
                <w:szCs w:val="22"/>
                <w:lang w:val="en-GB"/>
              </w:rPr>
            </w:pPr>
            <w:r>
              <w:rPr>
                <w:rFonts w:cs="Dubai" w:ascii="Dubai" w:hAnsi="Dubai"/>
                <w:b/>
                <w:bCs/>
                <w:kern w:val="0"/>
                <w:position w:val="-1"/>
                <w:sz w:val="22"/>
                <w:szCs w:val="22"/>
                <w:lang w:val="en-GB" w:bidi="ar-SA"/>
              </w:rPr>
              <w:t>SYSTEM INTEGRATION</w:t>
            </w:r>
          </w:p>
          <w:p>
            <w:pPr>
              <w:pStyle w:val="paragraph"/>
              <w:widowControl/>
              <w:numPr>
                <w:ilvl w:val="0"/>
                <w:numId w:val="19"/>
              </w:numPr>
              <w:spacing w:beforeAutospacing="0" w:before="0" w:afterAutospacing="0" w:after="0"/>
              <w:ind w:hanging="357" w:start="714"/>
              <w:jc w:val="start"/>
              <w:textAlignment w:val="baseline"/>
              <w:rPr>
                <w:rFonts w:ascii="Dubai" w:hAnsi="Dubai" w:cs="Dubai"/>
                <w:b/>
                <w:bCs/>
                <w:sz w:val="22"/>
                <w:szCs w:val="22"/>
                <w:lang w:val="en-GB"/>
              </w:rPr>
            </w:pPr>
            <w:r>
              <w:rPr>
                <w:rFonts w:cs="Dubai" w:ascii="Dubai" w:hAnsi="Dubai"/>
                <w:b/>
                <w:bCs/>
                <w:kern w:val="0"/>
                <w:position w:val="-1"/>
                <w:sz w:val="22"/>
                <w:szCs w:val="22"/>
                <w:lang w:val="en-GB" w:bidi="ar-SA"/>
              </w:rPr>
              <w:t>CAPEX</w:t>
            </w:r>
          </w:p>
          <w:p>
            <w:pPr>
              <w:pStyle w:val="paragraph"/>
              <w:widowControl/>
              <w:numPr>
                <w:ilvl w:val="0"/>
                <w:numId w:val="19"/>
              </w:numPr>
              <w:spacing w:beforeAutospacing="0" w:before="0" w:afterAutospacing="0" w:after="0"/>
              <w:ind w:hanging="357" w:start="714"/>
              <w:jc w:val="start"/>
              <w:textAlignment w:val="baseline"/>
              <w:rPr>
                <w:rFonts w:ascii="Dubai" w:hAnsi="Dubai" w:cs="Dubai"/>
                <w:b/>
                <w:bCs/>
                <w:sz w:val="22"/>
                <w:szCs w:val="22"/>
                <w:lang w:val="en-GB"/>
              </w:rPr>
            </w:pPr>
            <w:r>
              <w:rPr>
                <w:rFonts w:cs="Dubai" w:ascii="Dubai" w:hAnsi="Dubai"/>
                <w:b/>
                <w:bCs/>
                <w:kern w:val="0"/>
                <w:position w:val="-1"/>
                <w:sz w:val="22"/>
                <w:szCs w:val="22"/>
                <w:lang w:val="en-GB" w:bidi="ar-SA"/>
              </w:rPr>
              <w:t>RAILWAY SYSTEMS</w:t>
            </w:r>
          </w:p>
          <w:p>
            <w:pPr>
              <w:pStyle w:val="paragraph"/>
              <w:widowControl/>
              <w:numPr>
                <w:ilvl w:val="0"/>
                <w:numId w:val="19"/>
              </w:numPr>
              <w:spacing w:beforeAutospacing="0" w:before="0" w:afterAutospacing="0" w:after="0"/>
              <w:ind w:hanging="357" w:start="714"/>
              <w:jc w:val="start"/>
              <w:textAlignment w:val="baseline"/>
              <w:rPr>
                <w:rFonts w:ascii="Dubai" w:hAnsi="Dubai" w:cs="Dubai"/>
                <w:b/>
                <w:bCs/>
                <w:sz w:val="22"/>
                <w:szCs w:val="22"/>
                <w:lang w:val="en-GB"/>
              </w:rPr>
            </w:pPr>
            <w:r>
              <w:rPr>
                <w:rFonts w:cs="Dubai" w:ascii="Dubai" w:hAnsi="Dubai"/>
                <w:b/>
                <w:bCs/>
                <w:kern w:val="0"/>
                <w:position w:val="-1"/>
                <w:sz w:val="22"/>
                <w:szCs w:val="22"/>
                <w:lang w:val="en-GB" w:bidi="ar-SA"/>
              </w:rPr>
              <w:t>AOB</w:t>
            </w:r>
          </w:p>
          <w:p>
            <w:pPr>
              <w:pStyle w:val="TableLineNumbering"/>
              <w:widowControl w:val="false"/>
              <w:numPr>
                <w:ilvl w:val="0"/>
                <w:numId w:val="0"/>
              </w:numPr>
              <w:suppressAutoHyphens w:val="true"/>
              <w:spacing w:before="0" w:after="0"/>
              <w:ind w:hanging="0" w:start="0"/>
              <w:jc w:val="start"/>
              <w:rPr>
                <w:kern w:val="0"/>
                <w:lang w:val="en-US" w:eastAsia="en-US" w:bidi="ar-SA"/>
              </w:rPr>
            </w:pPr>
            <w:r>
              <w:rPr>
                <w:kern w:val="0"/>
                <w:lang w:val="en-US" w:eastAsia="en-US" w:bidi="ar-SA"/>
              </w:rPr>
            </w:r>
          </w:p>
        </w:tc>
      </w:tr>
      <w:tr>
        <w:trPr>
          <w:trHeight w:val="300" w:hRule="atLeast"/>
        </w:trPr>
        <w:tc>
          <w:tcPr>
            <w:tcW w:w="10926" w:type="dxa"/>
            <w:gridSpan w:val="8"/>
            <w:tcBorders/>
            <w:shd w:color="auto" w:fill="A6A6A6" w:themeFill="background1" w:themeFillShade="a6" w:val="clear"/>
            <w:vAlign w:val="center"/>
          </w:tcPr>
          <w:p>
            <w:pPr>
              <w:pStyle w:val="FormTitleHeader"/>
              <w:widowControl w:val="false"/>
              <w:suppressAutoHyphens w:val="true"/>
              <w:spacing w:before="0" w:after="0"/>
              <w:jc w:val="start"/>
              <w:rPr>
                <w:kern w:val="0"/>
                <w:lang w:val="en-US" w:eastAsia="en-US" w:bidi="ar-SA"/>
              </w:rPr>
            </w:pPr>
            <w:r>
              <w:rPr>
                <w:kern w:val="0"/>
                <w:lang w:val="en-US" w:eastAsia="en-US" w:bidi="ar-SA"/>
              </w:rPr>
              <w:t>Comments on Previous Minutes / General</w:t>
            </w:r>
          </w:p>
        </w:tc>
      </w:tr>
      <w:tr>
        <w:trPr>
          <w:trHeight w:val="300" w:hRule="atLeast"/>
        </w:trPr>
        <w:tc>
          <w:tcPr>
            <w:tcW w:w="10926" w:type="dxa"/>
            <w:gridSpan w:val="8"/>
            <w:tcBorders/>
            <w:shd w:color="auto" w:fill="A6A6A6" w:themeFill="background1" w:themeFillShade="a6" w:val="clear"/>
            <w:vAlign w:val="center"/>
          </w:tcPr>
          <w:p>
            <w:pPr>
              <w:pStyle w:val="FormTitleHeader"/>
              <w:widowControl w:val="false"/>
              <w:suppressAutoHyphens w:val="true"/>
              <w:spacing w:before="0" w:after="0"/>
              <w:jc w:val="start"/>
              <w:rPr>
                <w:kern w:val="0"/>
                <w:lang w:val="en-US" w:eastAsia="en-US" w:bidi="ar-SA"/>
              </w:rPr>
            </w:pPr>
            <w:r>
              <w:rPr>
                <w:kern w:val="0"/>
                <w:lang w:val="en-US" w:eastAsia="en-US" w:bidi="ar-SA"/>
              </w:rPr>
              <w:t>Meeting Minutes</w:t>
            </w:r>
          </w:p>
        </w:tc>
      </w:tr>
      <w:tr>
        <w:trPr>
          <w:trHeight w:val="300" w:hRule="atLeast"/>
        </w:trPr>
        <w:tc>
          <w:tcPr>
            <w:tcW w:w="1400" w:type="dxa"/>
            <w:tcBorders/>
            <w:vAlign w:val="center"/>
          </w:tcPr>
          <w:p>
            <w:pPr>
              <w:pStyle w:val="TableHeader"/>
              <w:widowControl w:val="false"/>
              <w:suppressAutoHyphens w:val="true"/>
              <w:spacing w:before="0" w:after="0"/>
              <w:rPr>
                <w:kern w:val="0"/>
                <w:lang w:val="en-US" w:eastAsia="en-US" w:bidi="ar-SA"/>
              </w:rPr>
            </w:pPr>
            <w:r>
              <w:rPr>
                <w:kern w:val="0"/>
                <w:lang w:val="en-US" w:eastAsia="en-US" w:bidi="ar-SA"/>
              </w:rPr>
              <w:t>Item</w:t>
            </w:r>
          </w:p>
        </w:tc>
        <w:tc>
          <w:tcPr>
            <w:tcW w:w="1871" w:type="dxa"/>
            <w:tcBorders/>
            <w:vAlign w:val="center"/>
          </w:tcPr>
          <w:p>
            <w:pPr>
              <w:pStyle w:val="TableHeader"/>
              <w:widowControl w:val="false"/>
              <w:suppressAutoHyphens w:val="true"/>
              <w:spacing w:before="0" w:after="0"/>
              <w:rPr>
                <w:kern w:val="0"/>
                <w:lang w:val="en-US" w:eastAsia="en-US" w:bidi="ar-SA"/>
              </w:rPr>
            </w:pPr>
            <w:r>
              <w:rPr>
                <w:kern w:val="0"/>
                <w:lang w:val="en-US" w:eastAsia="en-US" w:bidi="ar-SA"/>
              </w:rPr>
              <w:t>Subject</w:t>
            </w:r>
          </w:p>
        </w:tc>
        <w:tc>
          <w:tcPr>
            <w:tcW w:w="5527" w:type="dxa"/>
            <w:gridSpan w:val="4"/>
            <w:tcBorders/>
            <w:vAlign w:val="center"/>
          </w:tcPr>
          <w:p>
            <w:pPr>
              <w:pStyle w:val="TableHeader"/>
              <w:widowControl w:val="false"/>
              <w:suppressAutoHyphens w:val="true"/>
              <w:spacing w:before="0" w:after="0"/>
              <w:rPr>
                <w:kern w:val="0"/>
                <w:lang w:val="en-US" w:eastAsia="en-US" w:bidi="ar-SA"/>
              </w:rPr>
            </w:pPr>
            <w:r>
              <w:rPr>
                <w:kern w:val="0"/>
                <w:lang w:val="en-US" w:eastAsia="en-US" w:bidi="ar-SA"/>
              </w:rPr>
              <w:t>Comments / Actions</w:t>
            </w:r>
          </w:p>
        </w:tc>
        <w:tc>
          <w:tcPr>
            <w:tcW w:w="850" w:type="dxa"/>
            <w:tcBorders/>
            <w:vAlign w:val="center"/>
          </w:tcPr>
          <w:p>
            <w:pPr>
              <w:pStyle w:val="TableHeader"/>
              <w:widowControl w:val="false"/>
              <w:suppressAutoHyphens w:val="true"/>
              <w:spacing w:before="0" w:after="0"/>
              <w:rPr>
                <w:kern w:val="0"/>
                <w:lang w:val="en-US" w:eastAsia="en-US" w:bidi="ar-SA"/>
              </w:rPr>
            </w:pPr>
            <w:r>
              <w:rPr>
                <w:kern w:val="0"/>
                <w:lang w:val="en-US" w:eastAsia="en-US" w:bidi="ar-SA"/>
              </w:rPr>
              <w:t>Action By</w:t>
            </w:r>
          </w:p>
        </w:tc>
        <w:tc>
          <w:tcPr>
            <w:tcW w:w="1278" w:type="dxa"/>
            <w:tcBorders/>
            <w:vAlign w:val="center"/>
          </w:tcPr>
          <w:p>
            <w:pPr>
              <w:pStyle w:val="TableHeader"/>
              <w:widowControl w:val="false"/>
              <w:suppressAutoHyphens w:val="true"/>
              <w:spacing w:before="0" w:after="0"/>
              <w:rPr>
                <w:kern w:val="0"/>
                <w:lang w:val="en-US" w:eastAsia="en-US" w:bidi="ar-SA"/>
              </w:rPr>
            </w:pPr>
            <w:r>
              <w:rPr>
                <w:kern w:val="0"/>
                <w:lang w:val="en-US" w:eastAsia="en-US" w:bidi="ar-SA"/>
              </w:rPr>
              <w:t>Due Date</w:t>
            </w:r>
          </w:p>
        </w:tc>
      </w:tr>
      <w:tr>
        <w:trPr>
          <w:trHeight w:val="436" w:hRule="atLeast"/>
        </w:trPr>
        <w:tc>
          <w:tcPr>
            <w:tcW w:w="1400" w:type="dxa"/>
            <w:vMerge w:val="restart"/>
            <w:tcBorders/>
            <w:vAlign w:val="center"/>
          </w:tcPr>
          <w:p>
            <w:pPr>
              <w:pStyle w:val="TableHeader"/>
              <w:widowControl w:val="false"/>
              <w:suppressAutoHyphens w:val="true"/>
              <w:spacing w:before="0" w:after="0"/>
              <w:rPr>
                <w:kern w:val="0"/>
                <w:lang w:val="en-US" w:eastAsia="en-US" w:bidi="ar-SA"/>
              </w:rPr>
            </w:pPr>
            <w:r>
              <w:rPr>
                <w:kern w:val="0"/>
                <w:lang w:val="en-US" w:eastAsia="en-US" w:bidi="ar-SA"/>
              </w:rPr>
              <w:t>1.</w:t>
            </w:r>
          </w:p>
        </w:tc>
        <w:tc>
          <w:tcPr>
            <w:tcW w:w="1871" w:type="dxa"/>
            <w:vMerge w:val="restart"/>
            <w:tcBorders/>
            <w:vAlign w:val="center"/>
          </w:tcPr>
          <w:p>
            <w:pPr>
              <w:pStyle w:val="TableHeader"/>
              <w:widowControl w:val="false"/>
              <w:suppressAutoHyphens w:val="true"/>
              <w:spacing w:before="0" w:after="0"/>
              <w:rPr>
                <w:b w:val="false"/>
                <w:bCs/>
              </w:rPr>
            </w:pPr>
            <w:r>
              <w:rPr>
                <w:b w:val="false"/>
                <w:bCs/>
                <w:kern w:val="0"/>
                <w:lang w:val="en-US" w:eastAsia="en-US" w:bidi="ar-SA"/>
              </w:rPr>
              <w:t>MANAGEMENT - STAKEHOLDER</w:t>
            </w:r>
          </w:p>
        </w:tc>
        <w:tc>
          <w:tcPr>
            <w:tcW w:w="5527" w:type="dxa"/>
            <w:gridSpan w:val="4"/>
            <w:tcBorders/>
          </w:tcPr>
          <w:p>
            <w:pPr>
              <w:pStyle w:val="TableText"/>
              <w:widowControl w:val="false"/>
              <w:suppressAutoHyphens w:val="true"/>
              <w:spacing w:before="0" w:after="0"/>
              <w:jc w:val="start"/>
              <w:rPr>
                <w:rFonts w:eastAsia="Times New Roman"/>
                <w:lang w:val="en-GB"/>
              </w:rPr>
            </w:pPr>
            <w:r>
              <w:rPr>
                <w:rFonts w:eastAsia="Times New Roman"/>
                <w:b/>
                <w:bCs/>
                <w:kern w:val="0"/>
                <w:sz w:val="22"/>
                <w:szCs w:val="22"/>
                <w:lang w:val="en-GB" w:eastAsia="en-US" w:bidi="ar-SA"/>
              </w:rPr>
              <w:t>Phase 1 NOCs in Abu Dhabi:</w:t>
            </w:r>
            <w:r>
              <w:rPr>
                <w:rFonts w:eastAsia="Times New Roman"/>
                <w:kern w:val="0"/>
                <w:sz w:val="22"/>
                <w:szCs w:val="22"/>
                <w:lang w:val="en-GB" w:eastAsia="en-US" w:bidi="ar-SA"/>
              </w:rPr>
              <w:t xml:space="preserve"> </w:t>
            </w:r>
          </w:p>
          <w:p>
            <w:pPr>
              <w:pStyle w:val="TableText"/>
              <w:widowControl w:val="false"/>
              <w:suppressAutoHyphens w:val="true"/>
              <w:spacing w:before="0" w:after="0"/>
              <w:jc w:val="start"/>
              <w:rPr>
                <w:rFonts w:eastAsia="Dubai"/>
                <w:lang w:val="en-GB"/>
              </w:rPr>
            </w:pPr>
            <w:r>
              <w:rPr>
                <w:rFonts w:eastAsia="Dubai"/>
                <w:kern w:val="0"/>
                <w:sz w:val="22"/>
                <w:szCs w:val="22"/>
                <w:lang w:val="en-GB" w:eastAsia="en-US" w:bidi="ar-SA"/>
              </w:rPr>
              <w:t xml:space="preserve">NOC#1: From Ch. 15 to Ch. 24: </w:t>
            </w:r>
          </w:p>
          <w:p>
            <w:pPr>
              <w:pStyle w:val="TableText"/>
              <w:widowControl w:val="false"/>
              <w:suppressAutoHyphens w:val="true"/>
              <w:spacing w:before="0" w:after="0"/>
              <w:jc w:val="start"/>
              <w:rPr>
                <w:rFonts w:eastAsia="Dubai"/>
                <w:lang w:val="en-GB"/>
              </w:rPr>
            </w:pPr>
            <w:r>
              <w:rPr>
                <w:rFonts w:eastAsia="Dubai"/>
                <w:kern w:val="0"/>
                <w:sz w:val="22"/>
                <w:szCs w:val="22"/>
                <w:lang w:val="en-GB" w:eastAsia="en-US" w:bidi="ar-SA"/>
              </w:rPr>
              <w:t xml:space="preserve">MCC:  </w:t>
            </w:r>
          </w:p>
          <w:p>
            <w:pPr>
              <w:pStyle w:val="TableText"/>
              <w:widowControl w:val="false"/>
              <w:suppressAutoHyphens w:val="true"/>
              <w:spacing w:before="0" w:after="0"/>
              <w:jc w:val="start"/>
              <w:rPr>
                <w:rFonts w:eastAsia="Dubai"/>
                <w:lang w:val="en-GB"/>
              </w:rPr>
            </w:pPr>
            <w:r>
              <w:rPr>
                <w:rFonts w:eastAsia="Dubai"/>
                <w:kern w:val="0"/>
                <w:sz w:val="22"/>
                <w:szCs w:val="22"/>
                <w:lang w:val="en-GB" w:eastAsia="en-US" w:bidi="ar-SA"/>
              </w:rPr>
              <w:t xml:space="preserve">- MCC approval received. </w:t>
            </w:r>
          </w:p>
          <w:p>
            <w:pPr>
              <w:pStyle w:val="TableText"/>
              <w:widowControl w:val="false"/>
              <w:suppressAutoHyphens w:val="true"/>
              <w:spacing w:before="0" w:after="0"/>
              <w:jc w:val="start"/>
              <w:rPr>
                <w:rFonts w:eastAsia="Dubai"/>
                <w:lang w:val="en-GB"/>
              </w:rPr>
            </w:pPr>
            <w:r>
              <w:rPr>
                <w:rFonts w:eastAsia="Dubai"/>
                <w:kern w:val="0"/>
                <w:sz w:val="22"/>
                <w:szCs w:val="22"/>
                <w:lang w:val="en-GB" w:eastAsia="en-US" w:bidi="ar-SA"/>
              </w:rPr>
              <w:t>ITC: TIP in progress (to be discussed in separate section).</w:t>
            </w:r>
          </w:p>
          <w:p>
            <w:pPr>
              <w:pStyle w:val="TableText"/>
              <w:widowControl w:val="false"/>
              <w:suppressAutoHyphens w:val="true"/>
              <w:spacing w:before="0" w:after="0"/>
              <w:jc w:val="start"/>
              <w:rPr>
                <w:rFonts w:eastAsia="Dubai"/>
                <w:lang w:val="en-GB"/>
              </w:rPr>
            </w:pPr>
            <w:r>
              <w:rPr>
                <w:rFonts w:eastAsia="Dubai"/>
                <w:kern w:val="0"/>
                <w:sz w:val="22"/>
                <w:szCs w:val="22"/>
                <w:lang w:val="en-GB" w:eastAsia="en-US" w:bidi="ar-SA"/>
              </w:rPr>
            </w:r>
          </w:p>
          <w:p>
            <w:pPr>
              <w:pStyle w:val="TableText"/>
              <w:widowControl w:val="false"/>
              <w:suppressAutoHyphens w:val="true"/>
              <w:spacing w:before="0" w:after="0"/>
              <w:jc w:val="start"/>
              <w:rPr>
                <w:rFonts w:eastAsia="Dubai"/>
                <w:lang w:val="en-GB"/>
              </w:rPr>
            </w:pPr>
            <w:r>
              <w:rPr>
                <w:rFonts w:eastAsia="Dubai"/>
                <w:kern w:val="0"/>
                <w:sz w:val="22"/>
                <w:szCs w:val="22"/>
                <w:lang w:val="en-GB" w:eastAsia="en-US" w:bidi="ar-SA"/>
              </w:rPr>
              <w:t xml:space="preserve">NOC#2: Approved </w:t>
            </w:r>
          </w:p>
          <w:p>
            <w:pPr>
              <w:pStyle w:val="TableText"/>
              <w:widowControl w:val="false"/>
              <w:suppressAutoHyphens w:val="true"/>
              <w:spacing w:before="0" w:after="0"/>
              <w:jc w:val="start"/>
              <w:rPr>
                <w:rFonts w:eastAsia="Dubai"/>
                <w:lang w:val="en-GB"/>
              </w:rPr>
            </w:pPr>
            <w:r>
              <w:rPr>
                <w:rFonts w:eastAsia="Dubai"/>
                <w:kern w:val="0"/>
                <w:sz w:val="22"/>
                <w:szCs w:val="22"/>
                <w:lang w:val="en-GB" w:eastAsia="en-US" w:bidi="ar-SA"/>
              </w:rPr>
              <w:t xml:space="preserve">NOC#3: Approved. </w:t>
            </w:r>
          </w:p>
          <w:p>
            <w:pPr>
              <w:pStyle w:val="TableText"/>
              <w:widowControl w:val="false"/>
              <w:suppressAutoHyphens w:val="true"/>
              <w:spacing w:before="0" w:after="0"/>
              <w:jc w:val="start"/>
              <w:rPr>
                <w:rFonts w:eastAsia="Dubai"/>
                <w:lang w:val="en-GB"/>
              </w:rPr>
            </w:pPr>
            <w:r>
              <w:rPr>
                <w:rFonts w:eastAsia="Dubai"/>
                <w:kern w:val="0"/>
                <w:sz w:val="22"/>
                <w:szCs w:val="22"/>
                <w:lang w:val="en-GB" w:eastAsia="en-US" w:bidi="ar-SA"/>
              </w:rPr>
              <w:t xml:space="preserve">NOC#4: Approved. </w:t>
            </w:r>
          </w:p>
          <w:p>
            <w:pPr>
              <w:pStyle w:val="TableText"/>
              <w:widowControl w:val="false"/>
              <w:suppressAutoHyphens w:val="true"/>
              <w:spacing w:before="0" w:after="0"/>
              <w:jc w:val="start"/>
              <w:rPr>
                <w:rFonts w:eastAsia="Dubai"/>
                <w:lang w:val="en-GB"/>
              </w:rPr>
            </w:pPr>
            <w:r>
              <w:rPr>
                <w:rFonts w:eastAsia="Dubai"/>
                <w:kern w:val="0"/>
                <w:sz w:val="22"/>
                <w:szCs w:val="22"/>
                <w:lang w:val="en-GB" w:eastAsia="en-US" w:bidi="ar-SA"/>
              </w:rPr>
              <w:t xml:space="preserve">NOC#5: </w:t>
            </w:r>
          </w:p>
          <w:p>
            <w:pPr>
              <w:pStyle w:val="TableText"/>
              <w:widowControl w:val="false"/>
              <w:suppressAutoHyphens w:val="true"/>
              <w:spacing w:before="0" w:after="0"/>
              <w:jc w:val="start"/>
              <w:rPr>
                <w:rFonts w:eastAsia="Dubai"/>
                <w:lang w:val="en-GB"/>
              </w:rPr>
            </w:pPr>
            <w:r>
              <w:rPr>
                <w:rFonts w:eastAsia="Dubai"/>
                <w:kern w:val="0"/>
                <w:sz w:val="22"/>
                <w:szCs w:val="22"/>
                <w:lang w:val="en-GB" w:eastAsia="en-US" w:bidi="ar-SA"/>
              </w:rPr>
              <w:t>TRANSCO: Under review. Approval expected this week. SEI to follow up.</w:t>
            </w:r>
          </w:p>
          <w:p>
            <w:pPr>
              <w:pStyle w:val="TableText"/>
              <w:widowControl w:val="false"/>
              <w:suppressAutoHyphens w:val="true"/>
              <w:spacing w:before="0" w:after="0"/>
              <w:jc w:val="start"/>
              <w:rPr>
                <w:rFonts w:eastAsia="Dubai"/>
                <w:lang w:val="en-GB"/>
              </w:rPr>
            </w:pPr>
            <w:r>
              <w:rPr>
                <w:rFonts w:eastAsia="Dubai"/>
                <w:kern w:val="0"/>
                <w:sz w:val="22"/>
                <w:szCs w:val="22"/>
                <w:lang w:val="en-GB" w:eastAsia="en-US" w:bidi="ar-SA"/>
              </w:rPr>
              <w:t xml:space="preserve">ADDC: ER to issue an undertaking letter. </w:t>
            </w:r>
          </w:p>
          <w:p>
            <w:pPr>
              <w:pStyle w:val="TableText"/>
              <w:widowControl w:val="false"/>
              <w:suppressAutoHyphens w:val="true"/>
              <w:spacing w:before="0" w:after="0"/>
              <w:jc w:val="start"/>
              <w:rPr>
                <w:rFonts w:eastAsia="Dubai"/>
                <w:lang w:val="en-GB"/>
              </w:rPr>
            </w:pPr>
            <w:r>
              <w:rPr>
                <w:rFonts w:eastAsia="Dubai"/>
                <w:kern w:val="0"/>
                <w:sz w:val="22"/>
                <w:szCs w:val="22"/>
                <w:lang w:val="en-GB" w:eastAsia="en-US" w:bidi="ar-SA"/>
              </w:rPr>
              <w:t xml:space="preserve">Etisalat: Meeting with Etisalat to be scheduled to discuss their requirements. </w:t>
            </w:r>
          </w:p>
          <w:p>
            <w:pPr>
              <w:pStyle w:val="TableText"/>
              <w:widowControl w:val="false"/>
              <w:suppressAutoHyphens w:val="true"/>
              <w:spacing w:before="0" w:after="0"/>
              <w:jc w:val="both"/>
              <w:rPr>
                <w:rFonts w:eastAsia="Dubai"/>
                <w:b/>
                <w:bCs/>
                <w:lang w:val="en-GB"/>
              </w:rPr>
            </w:pPr>
            <w:r>
              <w:rPr>
                <w:rFonts w:eastAsia="Dubai"/>
                <w:b/>
                <w:bCs/>
                <w:kern w:val="0"/>
                <w:sz w:val="22"/>
                <w:szCs w:val="22"/>
                <w:lang w:val="en-GB" w:eastAsia="en-US" w:bidi="ar-SA"/>
              </w:rPr>
              <w:t xml:space="preserve">Al Reem: </w:t>
            </w:r>
          </w:p>
          <w:p>
            <w:pPr>
              <w:pStyle w:val="TableText"/>
              <w:widowControl w:val="false"/>
              <w:numPr>
                <w:ilvl w:val="0"/>
                <w:numId w:val="10"/>
              </w:numPr>
              <w:suppressAutoHyphens w:val="true"/>
              <w:spacing w:before="0" w:after="0"/>
              <w:jc w:val="both"/>
              <w:rPr>
                <w:rFonts w:eastAsia="Dubai"/>
                <w:lang w:val="en-GB"/>
              </w:rPr>
            </w:pPr>
            <w:r>
              <w:rPr>
                <w:rFonts w:eastAsia="Dubai"/>
                <w:kern w:val="0"/>
                <w:sz w:val="22"/>
                <w:szCs w:val="22"/>
                <w:lang w:val="en-GB" w:eastAsia="en-US" w:bidi="ar-SA"/>
              </w:rPr>
              <w:t>Meeting with Bunya is planned on 29</w:t>
            </w:r>
            <w:r>
              <w:rPr>
                <w:rFonts w:eastAsia="Dubai"/>
                <w:kern w:val="0"/>
                <w:sz w:val="22"/>
                <w:szCs w:val="22"/>
                <w:vertAlign w:val="superscript"/>
                <w:lang w:val="en-GB" w:eastAsia="en-US" w:bidi="ar-SA"/>
              </w:rPr>
              <w:t>th</w:t>
            </w:r>
            <w:r>
              <w:rPr>
                <w:rFonts w:eastAsia="Dubai"/>
                <w:kern w:val="0"/>
                <w:sz w:val="22"/>
                <w:szCs w:val="22"/>
                <w:lang w:val="en-GB" w:eastAsia="en-US" w:bidi="ar-SA"/>
              </w:rPr>
              <w:t xml:space="preserve"> May to discuss the utilities relocation proposal and to update the progress. </w:t>
            </w:r>
          </w:p>
          <w:p>
            <w:pPr>
              <w:pStyle w:val="TableText"/>
              <w:widowControl w:val="false"/>
              <w:numPr>
                <w:ilvl w:val="0"/>
                <w:numId w:val="10"/>
              </w:numPr>
              <w:suppressAutoHyphens w:val="true"/>
              <w:spacing w:before="0" w:after="0"/>
              <w:jc w:val="both"/>
              <w:rPr>
                <w:rFonts w:eastAsia="Dubai"/>
                <w:lang w:val="en-GB"/>
              </w:rPr>
            </w:pPr>
            <w:r>
              <w:rPr>
                <w:rFonts w:eastAsia="Dubai"/>
                <w:kern w:val="0"/>
                <w:sz w:val="22"/>
                <w:szCs w:val="22"/>
                <w:lang w:val="en-GB" w:eastAsia="en-US" w:bidi="ar-SA"/>
              </w:rPr>
              <w:t xml:space="preserve">ER to issue an official letter to MODON. </w:t>
            </w:r>
          </w:p>
          <w:p>
            <w:pPr>
              <w:pStyle w:val="TableText"/>
              <w:widowControl w:val="false"/>
              <w:numPr>
                <w:ilvl w:val="0"/>
                <w:numId w:val="10"/>
              </w:numPr>
              <w:suppressAutoHyphens w:val="true"/>
              <w:spacing w:before="0" w:after="0"/>
              <w:jc w:val="both"/>
              <w:rPr>
                <w:rFonts w:eastAsia="Dubai"/>
                <w:lang w:val="en-GB"/>
              </w:rPr>
            </w:pPr>
            <w:r>
              <w:rPr>
                <w:rFonts w:eastAsia="Dubai"/>
                <w:kern w:val="0"/>
                <w:sz w:val="22"/>
                <w:szCs w:val="22"/>
                <w:lang w:val="en-GB" w:eastAsia="en-US" w:bidi="ar-SA"/>
              </w:rPr>
              <w:t xml:space="preserve">Note: Bi-weekly meeting is happening with MODON/Jacobs. Some actions to be prepared by SEI. </w:t>
            </w:r>
          </w:p>
          <w:p>
            <w:pPr>
              <w:pStyle w:val="TableText"/>
              <w:widowControl w:val="false"/>
              <w:suppressAutoHyphens w:val="true"/>
              <w:spacing w:before="0" w:after="0"/>
              <w:jc w:val="both"/>
              <w:rPr>
                <w:rFonts w:eastAsia="Dubai"/>
                <w:b/>
                <w:bCs/>
                <w:lang w:val="en-GB"/>
              </w:rPr>
            </w:pPr>
            <w:r>
              <w:rPr>
                <w:rFonts w:eastAsia="Dubai"/>
                <w:b/>
                <w:bCs/>
                <w:kern w:val="0"/>
                <w:sz w:val="22"/>
                <w:szCs w:val="22"/>
                <w:lang w:val="en-GB" w:eastAsia="en-US" w:bidi="ar-SA"/>
              </w:rPr>
              <w:t xml:space="preserve">Al Saadiyat (ALDAR): </w:t>
            </w:r>
          </w:p>
          <w:p>
            <w:pPr>
              <w:pStyle w:val="TableText"/>
              <w:widowControl w:val="false"/>
              <w:numPr>
                <w:ilvl w:val="0"/>
                <w:numId w:val="9"/>
              </w:numPr>
              <w:suppressAutoHyphens w:val="true"/>
              <w:spacing w:before="0" w:after="0"/>
              <w:jc w:val="both"/>
              <w:rPr>
                <w:rFonts w:eastAsia="Dubai"/>
                <w:lang w:val="en-GB"/>
              </w:rPr>
            </w:pPr>
            <w:r>
              <w:rPr>
                <w:rFonts w:eastAsia="Dubai"/>
                <w:kern w:val="0"/>
                <w:sz w:val="22"/>
                <w:szCs w:val="22"/>
                <w:lang w:val="en-GB" w:eastAsia="en-US" w:bidi="ar-SA"/>
              </w:rPr>
              <w:t>The station location has been adjusted as per ALDAR request.</w:t>
            </w:r>
          </w:p>
          <w:p>
            <w:pPr>
              <w:pStyle w:val="TableText"/>
              <w:widowControl w:val="false"/>
              <w:numPr>
                <w:ilvl w:val="0"/>
                <w:numId w:val="9"/>
              </w:numPr>
              <w:suppressAutoHyphens w:val="true"/>
              <w:spacing w:before="0" w:after="0"/>
              <w:jc w:val="both"/>
              <w:rPr>
                <w:rFonts w:eastAsia="Dubai"/>
                <w:lang w:val="en-GB"/>
              </w:rPr>
            </w:pPr>
            <w:r>
              <w:rPr>
                <w:rFonts w:eastAsia="Dubai"/>
                <w:kern w:val="0"/>
                <w:sz w:val="22"/>
                <w:szCs w:val="22"/>
                <w:lang w:val="en-GB" w:eastAsia="en-US" w:bidi="ar-SA"/>
              </w:rPr>
              <w:t xml:space="preserve">Final responses have been shared with ALDAR. To follow up for their feedback.           </w:t>
            </w:r>
          </w:p>
          <w:p>
            <w:pPr>
              <w:pStyle w:val="TableText"/>
              <w:widowControl w:val="false"/>
              <w:numPr>
                <w:ilvl w:val="0"/>
                <w:numId w:val="9"/>
              </w:numPr>
              <w:suppressAutoHyphens w:val="true"/>
              <w:spacing w:before="0" w:after="0"/>
              <w:jc w:val="both"/>
              <w:rPr>
                <w:rFonts w:eastAsia="Dubai"/>
              </w:rPr>
            </w:pPr>
            <w:r>
              <w:rPr>
                <w:rFonts w:eastAsia="Dubai"/>
                <w:kern w:val="0"/>
                <w:sz w:val="22"/>
                <w:szCs w:val="22"/>
                <w:lang w:val="en-US" w:eastAsia="en-US" w:bidi="ar-SA"/>
              </w:rPr>
              <w:t xml:space="preserve">SEI to proceed with the PE NOC submission after the final agreement.   </w:t>
            </w:r>
          </w:p>
          <w:p>
            <w:pPr>
              <w:pStyle w:val="TableText"/>
              <w:widowControl w:val="false"/>
              <w:suppressAutoHyphens w:val="true"/>
              <w:spacing w:before="0" w:after="0"/>
              <w:jc w:val="both"/>
              <w:rPr>
                <w:rFonts w:eastAsia="Dubai"/>
                <w:b/>
                <w:bCs/>
                <w:lang w:val="en-GB"/>
              </w:rPr>
            </w:pPr>
            <w:r>
              <w:rPr>
                <w:rFonts w:eastAsia="Dubai"/>
                <w:b/>
                <w:bCs/>
                <w:kern w:val="0"/>
                <w:sz w:val="22"/>
                <w:szCs w:val="22"/>
                <w:lang w:val="en-GB" w:eastAsia="en-US" w:bidi="ar-SA"/>
              </w:rPr>
              <w:t>Al Jubail (LEAD):</w:t>
            </w:r>
          </w:p>
          <w:p>
            <w:pPr>
              <w:pStyle w:val="TableText"/>
              <w:widowControl w:val="false"/>
              <w:numPr>
                <w:ilvl w:val="0"/>
                <w:numId w:val="27"/>
              </w:numPr>
              <w:suppressAutoHyphens w:val="true"/>
              <w:spacing w:before="0" w:after="0"/>
              <w:jc w:val="both"/>
              <w:rPr>
                <w:rFonts w:eastAsia="Dubai"/>
                <w:lang w:val="en-GB"/>
              </w:rPr>
            </w:pPr>
            <w:r>
              <w:rPr>
                <w:rFonts w:eastAsia="Dubai"/>
                <w:kern w:val="0"/>
                <w:sz w:val="22"/>
                <w:szCs w:val="22"/>
                <w:lang w:val="en-GB" w:eastAsia="en-US" w:bidi="ar-SA"/>
              </w:rPr>
              <w:t>After the meeting with LEAD TVS has been relocated outside Al Jubail Island. Elements sent to LEAD on the 7</w:t>
            </w:r>
            <w:r>
              <w:rPr>
                <w:rFonts w:eastAsia="Dubai"/>
                <w:kern w:val="0"/>
                <w:sz w:val="22"/>
                <w:szCs w:val="22"/>
                <w:vertAlign w:val="superscript"/>
                <w:lang w:val="en-GB" w:eastAsia="en-US" w:bidi="ar-SA"/>
              </w:rPr>
              <w:t>th</w:t>
            </w:r>
            <w:r>
              <w:rPr>
                <w:rFonts w:eastAsia="Dubai"/>
                <w:kern w:val="0"/>
                <w:sz w:val="22"/>
                <w:szCs w:val="22"/>
                <w:lang w:val="en-GB" w:eastAsia="en-US" w:bidi="ar-SA"/>
              </w:rPr>
              <w:t xml:space="preserve"> May.</w:t>
            </w:r>
          </w:p>
          <w:p>
            <w:pPr>
              <w:pStyle w:val="TableText"/>
              <w:widowControl w:val="false"/>
              <w:numPr>
                <w:ilvl w:val="0"/>
                <w:numId w:val="27"/>
              </w:numPr>
              <w:suppressAutoHyphens w:val="true"/>
              <w:spacing w:lineRule="auto" w:line="259" w:before="0" w:after="0"/>
              <w:jc w:val="both"/>
              <w:rPr>
                <w:rFonts w:eastAsia="Dubai"/>
                <w:lang w:val="en-GB"/>
              </w:rPr>
            </w:pPr>
            <w:r>
              <w:rPr>
                <w:rFonts w:eastAsia="Dubai"/>
                <w:kern w:val="0"/>
                <w:sz w:val="22"/>
                <w:szCs w:val="22"/>
                <w:lang w:val="en-GB" w:eastAsia="en-US" w:bidi="ar-SA"/>
              </w:rPr>
              <w:t>SEI/ER to follow up with LEAD.</w:t>
            </w:r>
          </w:p>
        </w:tc>
        <w:tc>
          <w:tcPr>
            <w:tcW w:w="850" w:type="dxa"/>
            <w:tcBorders/>
          </w:tcPr>
          <w:p>
            <w:pPr>
              <w:pStyle w:val="TableText"/>
              <w:widowControl w:val="false"/>
              <w:suppressAutoHyphens w:val="true"/>
              <w:spacing w:before="0" w:after="0"/>
              <w:jc w:val="center"/>
              <w:rPr>
                <w:lang w:val="en-GB"/>
              </w:rPr>
            </w:pPr>
            <w:r>
              <w:rPr>
                <w:rFonts w:eastAsia="Calibri"/>
                <w:kern w:val="0"/>
                <w:sz w:val="22"/>
                <w:szCs w:val="22"/>
                <w:lang w:val="en-GB" w:eastAsia="en-US" w:bidi="ar-SA"/>
              </w:rPr>
            </w:r>
          </w:p>
          <w:p>
            <w:pPr>
              <w:pStyle w:val="TableText"/>
              <w:widowControl w:val="false"/>
              <w:suppressAutoHyphens w:val="true"/>
              <w:spacing w:before="0" w:after="0"/>
              <w:jc w:val="center"/>
              <w:rPr>
                <w:lang w:val="en-GB"/>
              </w:rPr>
            </w:pPr>
            <w:r>
              <w:rPr>
                <w:rFonts w:eastAsia="Calibri"/>
                <w:kern w:val="0"/>
                <w:sz w:val="22"/>
                <w:szCs w:val="22"/>
                <w:lang w:val="en-GB"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SEI</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ER</w:t>
            </w:r>
          </w:p>
          <w:p>
            <w:pPr>
              <w:pStyle w:val="TableText"/>
              <w:widowControl w:val="false"/>
              <w:suppressAutoHyphens w:val="true"/>
              <w:spacing w:before="0" w:after="0"/>
              <w:jc w:val="center"/>
              <w:rPr>
                <w:lang w:val="pt-BR"/>
              </w:rPr>
            </w:pPr>
            <w:r>
              <w:rPr>
                <w:rFonts w:eastAsia="Calibri"/>
                <w:kern w:val="0"/>
                <w:sz w:val="22"/>
                <w:szCs w:val="22"/>
                <w:lang w:val="pt-BR" w:eastAsia="en-US" w:bidi="ar-SA"/>
              </w:rPr>
              <w:t>SEI</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Note</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ER</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SEI</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Note</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SEI</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Note</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Note</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SEI</w:t>
            </w:r>
          </w:p>
        </w:tc>
        <w:tc>
          <w:tcPr>
            <w:tcW w:w="1278" w:type="dxa"/>
            <w:tcBorders/>
          </w:tcPr>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highlight w:val="yellow"/>
                <w:lang w:val="pt-BR"/>
              </w:rPr>
            </w:pPr>
            <w:r>
              <w:rPr>
                <w:rFonts w:eastAsia="Calibri"/>
                <w:kern w:val="0"/>
                <w:sz w:val="22"/>
                <w:szCs w:val="22"/>
                <w:highlight w:val="yellow"/>
                <w:lang w:val="pt-BR" w:eastAsia="en-US" w:bidi="ar-SA"/>
              </w:rPr>
            </w:r>
          </w:p>
          <w:p>
            <w:pPr>
              <w:pStyle w:val="TableText"/>
              <w:widowControl w:val="false"/>
              <w:suppressAutoHyphens w:val="true"/>
              <w:spacing w:before="0" w:after="0"/>
              <w:jc w:val="center"/>
              <w:rPr>
                <w:highlight w:val="yellow"/>
                <w:lang w:val="pt-BR"/>
              </w:rPr>
            </w:pPr>
            <w:r>
              <w:rPr>
                <w:rFonts w:eastAsia="Calibri"/>
                <w:kern w:val="0"/>
                <w:sz w:val="22"/>
                <w:szCs w:val="22"/>
                <w:highlight w:val="yellow"/>
                <w:lang w:val="pt-BR" w:eastAsia="en-US" w:bidi="ar-SA"/>
              </w:rPr>
            </w:r>
          </w:p>
          <w:p>
            <w:pPr>
              <w:pStyle w:val="TableText"/>
              <w:widowControl w:val="false"/>
              <w:suppressAutoHyphens w:val="true"/>
              <w:spacing w:before="0" w:after="0"/>
              <w:jc w:val="center"/>
              <w:rPr>
                <w:highlight w:val="yellow"/>
                <w:lang w:val="pt-BR"/>
              </w:rPr>
            </w:pPr>
            <w:r>
              <w:rPr>
                <w:rFonts w:eastAsia="Calibri"/>
                <w:kern w:val="0"/>
                <w:sz w:val="22"/>
                <w:szCs w:val="22"/>
                <w:highlight w:val="yellow"/>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t>29/05/25</w:t>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t>29/05/25</w:t>
            </w:r>
          </w:p>
          <w:p>
            <w:pPr>
              <w:pStyle w:val="TableText"/>
              <w:widowControl w:val="false"/>
              <w:suppressAutoHyphens w:val="true"/>
              <w:spacing w:before="0" w:after="0"/>
              <w:jc w:val="center"/>
              <w:rPr>
                <w:lang w:val="en-AE"/>
              </w:rPr>
            </w:pPr>
            <w:r>
              <w:rPr>
                <w:rFonts w:eastAsia="Calibri"/>
                <w:kern w:val="0"/>
                <w:sz w:val="22"/>
                <w:szCs w:val="22"/>
                <w:lang w:val="en-AE" w:eastAsia="en-US" w:bidi="ar-SA"/>
              </w:rPr>
              <w:t>TBC</w:t>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t>27/05/25</w:t>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t>ASAP</w:t>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t>TBC</w:t>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t>ASAP</w:t>
            </w:r>
          </w:p>
        </w:tc>
      </w:tr>
      <w:tr>
        <w:trPr>
          <w:trHeight w:val="300" w:hRule="atLeast"/>
        </w:trPr>
        <w:tc>
          <w:tcPr>
            <w:tcW w:w="1400" w:type="dxa"/>
            <w:vMerge w:val="continue"/>
            <w:tcBorders/>
            <w:vAlign w:val="center"/>
          </w:tcPr>
          <w:p>
            <w:pPr>
              <w:pStyle w:val="TableHeader"/>
              <w:widowControl w:val="false"/>
              <w:suppressAutoHyphens w:val="true"/>
              <w:spacing w:before="0" w:after="0"/>
              <w:rPr>
                <w:kern w:val="0"/>
                <w:lang w:val="en-US" w:eastAsia="en-US" w:bidi="ar-SA"/>
              </w:rPr>
            </w:pPr>
            <w:r>
              <w:rPr>
                <w:kern w:val="0"/>
                <w:lang w:val="en-US" w:eastAsia="en-US" w:bidi="ar-SA"/>
              </w:rPr>
            </w:r>
          </w:p>
        </w:tc>
        <w:tc>
          <w:tcPr>
            <w:tcW w:w="1871" w:type="dxa"/>
            <w:vMerge w:val="continue"/>
            <w:tcBorders/>
            <w:vAlign w:val="center"/>
          </w:tcPr>
          <w:p>
            <w:pPr>
              <w:pStyle w:val="TableHeader"/>
              <w:widowControl w:val="false"/>
              <w:suppressAutoHyphens w:val="true"/>
              <w:spacing w:before="0" w:after="0"/>
              <w:rPr>
                <w:b w:val="false"/>
                <w:bCs/>
              </w:rPr>
            </w:pPr>
            <w:r>
              <w:rPr>
                <w:b w:val="false"/>
                <w:bCs/>
                <w:kern w:val="0"/>
                <w:lang w:val="en-US" w:eastAsia="en-US" w:bidi="ar-SA"/>
              </w:rPr>
            </w:r>
          </w:p>
        </w:tc>
        <w:tc>
          <w:tcPr>
            <w:tcW w:w="5527" w:type="dxa"/>
            <w:gridSpan w:val="4"/>
            <w:tcBorders/>
          </w:tcPr>
          <w:p>
            <w:pPr>
              <w:pStyle w:val="TableText"/>
              <w:widowControl w:val="false"/>
              <w:suppressAutoHyphens w:val="true"/>
              <w:spacing w:before="0" w:after="0"/>
              <w:jc w:val="both"/>
              <w:rPr>
                <w:b/>
                <w:bCs/>
                <w:color w:themeColor="text1" w:val="000000"/>
                <w:lang w:val="en-GB"/>
              </w:rPr>
            </w:pPr>
            <w:r>
              <w:rPr>
                <w:rFonts w:eastAsia="Calibri"/>
                <w:b/>
                <w:bCs/>
                <w:color w:themeColor="text1" w:val="000000"/>
                <w:kern w:val="0"/>
                <w:sz w:val="22"/>
                <w:szCs w:val="22"/>
                <w:lang w:val="en-GB" w:eastAsia="en-US" w:bidi="ar-SA"/>
              </w:rPr>
              <w:t>Al Ain route Al Turoush street section:</w:t>
            </w:r>
          </w:p>
          <w:p>
            <w:pPr>
              <w:pStyle w:val="TableText"/>
              <w:widowControl w:val="false"/>
              <w:numPr>
                <w:ilvl w:val="0"/>
                <w:numId w:val="23"/>
              </w:numPr>
              <w:suppressAutoHyphens w:val="true"/>
              <w:spacing w:lineRule="auto" w:line="259" w:before="0" w:after="0"/>
              <w:jc w:val="both"/>
              <w:rPr>
                <w:color w:themeColor="text1" w:val="000000"/>
                <w:lang w:val="en-GB"/>
              </w:rPr>
            </w:pPr>
            <w:r>
              <w:rPr>
                <w:rFonts w:eastAsia="Calibri"/>
                <w:color w:themeColor="text1" w:val="000000"/>
                <w:kern w:val="0"/>
                <w:sz w:val="22"/>
                <w:szCs w:val="22"/>
                <w:lang w:val="en-GB" w:eastAsia="en-US" w:bidi="ar-SA"/>
              </w:rPr>
              <w:t>SEI shared Renders, sections, and a presentation with CDM &amp; ALDAR on 20</w:t>
            </w:r>
            <w:r>
              <w:rPr>
                <w:rFonts w:eastAsia="Calibri"/>
                <w:color w:themeColor="text1" w:val="000000"/>
                <w:kern w:val="0"/>
                <w:sz w:val="22"/>
                <w:szCs w:val="22"/>
                <w:vertAlign w:val="superscript"/>
                <w:lang w:val="en-GB" w:eastAsia="en-US" w:bidi="ar-SA"/>
              </w:rPr>
              <w:t>th</w:t>
            </w:r>
            <w:r>
              <w:rPr>
                <w:rFonts w:eastAsia="Calibri"/>
                <w:color w:themeColor="text1" w:val="000000"/>
                <w:kern w:val="0"/>
                <w:sz w:val="22"/>
                <w:szCs w:val="22"/>
                <w:lang w:val="en-GB" w:eastAsia="en-US" w:bidi="ar-SA"/>
              </w:rPr>
              <w:t xml:space="preserve"> May. SEI to follow up for their feedback. </w:t>
            </w:r>
          </w:p>
          <w:p>
            <w:pPr>
              <w:pStyle w:val="TableText"/>
              <w:widowControl w:val="false"/>
              <w:numPr>
                <w:ilvl w:val="0"/>
                <w:numId w:val="23"/>
              </w:numPr>
              <w:suppressAutoHyphens w:val="true"/>
              <w:spacing w:lineRule="auto" w:line="259" w:before="0" w:after="0"/>
              <w:jc w:val="both"/>
              <w:rPr>
                <w:color w:themeColor="text1" w:val="000000"/>
                <w:lang w:val="en-GB"/>
              </w:rPr>
            </w:pPr>
            <w:r>
              <w:rPr>
                <w:rFonts w:eastAsia="Calibri"/>
                <w:color w:themeColor="text1" w:val="000000"/>
                <w:kern w:val="0"/>
                <w:sz w:val="22"/>
                <w:szCs w:val="22"/>
                <w:lang w:val="en-GB" w:eastAsia="en-US" w:bidi="ar-SA"/>
              </w:rPr>
              <w:t>The alignment team is making the amendments to the alignment to place the station platforms at ch 104+900. That is tied to the change to monotube tunnel in the adjacent section</w:t>
            </w:r>
          </w:p>
        </w:tc>
        <w:tc>
          <w:tcPr>
            <w:tcW w:w="850" w:type="dxa"/>
            <w:tcBorders/>
          </w:tcPr>
          <w:p>
            <w:pPr>
              <w:pStyle w:val="TableText"/>
              <w:widowControl w:val="false"/>
              <w:suppressAutoHyphens w:val="true"/>
              <w:spacing w:before="0" w:after="0"/>
              <w:jc w:val="center"/>
              <w:rPr>
                <w:color w:themeColor="text1" w:val="000000"/>
              </w:rPr>
            </w:pPr>
            <w:r>
              <w:rPr>
                <w:rFonts w:eastAsia="Calibri"/>
                <w:color w:themeColor="text1" w:val="000000"/>
                <w:kern w:val="0"/>
                <w:sz w:val="22"/>
                <w:szCs w:val="22"/>
                <w:lang w:val="en-US"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US" w:eastAsia="en-US" w:bidi="ar-SA"/>
              </w:rPr>
              <w:t>S</w:t>
            </w:r>
            <w:r>
              <w:rPr>
                <w:rFonts w:eastAsia="Calibri"/>
                <w:color w:themeColor="text1" w:val="000000"/>
                <w:kern w:val="0"/>
                <w:sz w:val="22"/>
                <w:szCs w:val="22"/>
                <w:lang w:val="en-GB" w:eastAsia="en-US" w:bidi="ar-SA"/>
              </w:rPr>
              <w:t>EI</w:t>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t>SEI</w:t>
            </w:r>
          </w:p>
        </w:tc>
        <w:tc>
          <w:tcPr>
            <w:tcW w:w="1278" w:type="dxa"/>
            <w:tcBorders/>
          </w:tcPr>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t>30/05/25</w:t>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t>29/05/25</w:t>
            </w:r>
          </w:p>
          <w:p>
            <w:pPr>
              <w:pStyle w:val="TableText"/>
              <w:widowControl w:val="false"/>
              <w:suppressAutoHyphens w:val="true"/>
              <w:spacing w:lineRule="auto" w:line="259" w:before="0" w:after="0"/>
              <w:jc w:val="center"/>
              <w:rPr>
                <w:rFonts w:eastAsia="Calibri"/>
                <w:kern w:val="0"/>
                <w:sz w:val="22"/>
                <w:szCs w:val="22"/>
                <w:lang w:val="en-US" w:eastAsia="en-US" w:bidi="ar-SA"/>
              </w:rPr>
            </w:pPr>
            <w:r>
              <w:rPr>
                <w:rFonts w:eastAsia="Calibri"/>
                <w:kern w:val="0"/>
                <w:sz w:val="22"/>
                <w:szCs w:val="22"/>
                <w:lang w:val="en-US" w:eastAsia="en-US" w:bidi="ar-SA"/>
              </w:rPr>
            </w:r>
          </w:p>
        </w:tc>
      </w:tr>
      <w:tr>
        <w:trPr>
          <w:trHeight w:val="436" w:hRule="atLeast"/>
        </w:trPr>
        <w:tc>
          <w:tcPr>
            <w:tcW w:w="1400" w:type="dxa"/>
            <w:vMerge w:val="continue"/>
            <w:tcBorders/>
            <w:vAlign w:val="center"/>
          </w:tcPr>
          <w:p>
            <w:pPr>
              <w:pStyle w:val="TableHeader"/>
              <w:widowControl w:val="false"/>
              <w:suppressAutoHyphens w:val="true"/>
              <w:spacing w:before="0" w:after="0"/>
              <w:rPr>
                <w:kern w:val="0"/>
                <w:lang w:val="en-US" w:eastAsia="en-US" w:bidi="ar-SA"/>
              </w:rPr>
            </w:pPr>
            <w:r>
              <w:rPr>
                <w:kern w:val="0"/>
                <w:lang w:val="en-US" w:eastAsia="en-US" w:bidi="ar-SA"/>
              </w:rPr>
            </w:r>
          </w:p>
        </w:tc>
        <w:tc>
          <w:tcPr>
            <w:tcW w:w="1871" w:type="dxa"/>
            <w:vMerge w:val="continue"/>
            <w:tcBorders/>
            <w:vAlign w:val="center"/>
          </w:tcPr>
          <w:p>
            <w:pPr>
              <w:pStyle w:val="TableHeader"/>
              <w:widowControl w:val="false"/>
              <w:suppressAutoHyphens w:val="true"/>
              <w:spacing w:before="0" w:after="0"/>
              <w:rPr>
                <w:b w:val="false"/>
                <w:bCs/>
              </w:rPr>
            </w:pPr>
            <w:r>
              <w:rPr>
                <w:b w:val="false"/>
                <w:bCs/>
                <w:kern w:val="0"/>
                <w:lang w:val="en-US" w:eastAsia="en-US" w:bidi="ar-SA"/>
              </w:rPr>
            </w:r>
          </w:p>
        </w:tc>
        <w:tc>
          <w:tcPr>
            <w:tcW w:w="5527" w:type="dxa"/>
            <w:gridSpan w:val="4"/>
            <w:tcBorders/>
          </w:tcPr>
          <w:p>
            <w:pPr>
              <w:pStyle w:val="Normal"/>
              <w:widowControl/>
              <w:suppressAutoHyphens w:val="true"/>
              <w:spacing w:before="0" w:after="0"/>
              <w:jc w:val="start"/>
              <w:rPr>
                <w:rFonts w:eastAsia="Dubai" w:cs="Dubai"/>
                <w:b/>
                <w:bCs/>
                <w:sz w:val="22"/>
                <w:szCs w:val="22"/>
                <w:lang w:val="en-GB"/>
              </w:rPr>
            </w:pPr>
            <w:r>
              <w:rPr>
                <w:rFonts w:eastAsia="Dubai" w:cs="Dubai"/>
                <w:b/>
                <w:bCs/>
                <w:kern w:val="0"/>
                <w:sz w:val="22"/>
                <w:szCs w:val="22"/>
                <w:lang w:val="en-GB" w:eastAsia="en-US" w:bidi="ar-SA"/>
              </w:rPr>
              <w:t xml:space="preserve">Dubai: </w:t>
            </w:r>
          </w:p>
          <w:p>
            <w:pPr>
              <w:pStyle w:val="ListParagraph"/>
              <w:widowControl/>
              <w:numPr>
                <w:ilvl w:val="0"/>
                <w:numId w:val="7"/>
              </w:numPr>
              <w:jc w:val="start"/>
              <w:rPr>
                <w:kern w:val="0"/>
                <w:lang w:eastAsia="en-US" w:bidi="ar-SA"/>
              </w:rPr>
            </w:pPr>
            <w:r>
              <w:rPr>
                <w:rFonts w:eastAsia="Dubai" w:cs="Dubai" w:ascii="Dubai" w:hAnsi="Dubai"/>
                <w:kern w:val="0"/>
                <w:sz w:val="22"/>
                <w:szCs w:val="22"/>
                <w:lang w:eastAsia="en-US" w:bidi="ar-SA"/>
              </w:rPr>
              <w:t xml:space="preserve">Detailed GIDD (Dr. Sauer) 2 locations: </w:t>
            </w:r>
          </w:p>
          <w:p>
            <w:pPr>
              <w:pStyle w:val="ListParagraph"/>
              <w:widowControl/>
              <w:jc w:val="start"/>
              <w:rPr>
                <w:rFonts w:ascii="Dubai" w:hAnsi="Dubai" w:eastAsia="Dubai" w:cs="Dubai"/>
                <w:sz w:val="22"/>
                <w:szCs w:val="22"/>
              </w:rPr>
            </w:pPr>
            <w:r>
              <w:rPr>
                <w:rFonts w:eastAsia="Dubai" w:cs="Dubai" w:ascii="Dubai" w:hAnsi="Dubai"/>
                <w:kern w:val="0"/>
                <w:sz w:val="22"/>
                <w:szCs w:val="22"/>
                <w:lang w:eastAsia="en-US" w:bidi="ar-SA"/>
              </w:rPr>
              <w:t>Location 1 – DEWA to review the report and confirm alignment change under the Power Station. ER to support. (to be discussed during the meeting with DEWA on 28</w:t>
            </w:r>
            <w:r>
              <w:rPr>
                <w:rFonts w:eastAsia="Dubai" w:cs="Dubai" w:ascii="Dubai" w:hAnsi="Dubai"/>
                <w:kern w:val="0"/>
                <w:sz w:val="22"/>
                <w:szCs w:val="22"/>
                <w:vertAlign w:val="superscript"/>
                <w:lang w:eastAsia="en-US" w:bidi="ar-SA"/>
              </w:rPr>
              <w:t>th</w:t>
            </w:r>
            <w:r>
              <w:rPr>
                <w:rFonts w:eastAsia="Dubai" w:cs="Dubai" w:ascii="Dubai" w:hAnsi="Dubai"/>
                <w:kern w:val="0"/>
                <w:sz w:val="22"/>
                <w:szCs w:val="22"/>
                <w:lang w:eastAsia="en-US" w:bidi="ar-SA"/>
              </w:rPr>
              <w:t xml:space="preserve"> May). </w:t>
            </w:r>
            <w:r>
              <w:rPr>
                <w:rFonts w:eastAsia="Dubai" w:cs="Dubai" w:ascii="Dubai" w:hAnsi="Dubai"/>
                <w:kern w:val="0"/>
                <w:sz w:val="22"/>
                <w:szCs w:val="22"/>
                <w:lang w:val="en-US" w:eastAsia="en-US" w:bidi="ar-SA"/>
              </w:rPr>
              <w:t>ER requests to contact Dr. Sauer and request them to prepare an estimation to carry out additional impact assessment on OHL pylons for new alignment</w:t>
            </w:r>
          </w:p>
          <w:p>
            <w:pPr>
              <w:pStyle w:val="Normal"/>
              <w:widowControl/>
              <w:suppressAutoHyphens w:val="true"/>
              <w:spacing w:before="0" w:after="0"/>
              <w:jc w:val="start"/>
              <w:rPr>
                <w:rFonts w:eastAsia="Dubai" w:cs="Dubai"/>
                <w:b/>
                <w:bCs/>
                <w:sz w:val="22"/>
                <w:szCs w:val="22"/>
              </w:rPr>
            </w:pPr>
            <w:r>
              <w:rPr>
                <w:rFonts w:eastAsia="Dubai" w:cs="Dubai"/>
                <w:kern w:val="0"/>
                <w:sz w:val="22"/>
                <w:szCs w:val="22"/>
                <w:lang w:val="en-US" w:eastAsia="en-US" w:bidi="ar-SA"/>
              </w:rPr>
              <w:t xml:space="preserve">Location 2 - ER to coordinate with RTA. </w:t>
            </w:r>
            <w:r>
              <w:rPr>
                <w:rFonts w:eastAsia="Dubai" w:cs="Dubai"/>
                <w:b/>
                <w:bCs/>
                <w:kern w:val="0"/>
                <w:sz w:val="22"/>
                <w:szCs w:val="22"/>
                <w:lang w:val="en-US" w:eastAsia="en-US" w:bidi="ar-SA"/>
              </w:rPr>
              <w:t>Dubai South – DEWA:</w:t>
            </w:r>
          </w:p>
          <w:p>
            <w:pPr>
              <w:pStyle w:val="ListParagraph"/>
              <w:widowControl/>
              <w:numPr>
                <w:ilvl w:val="0"/>
                <w:numId w:val="30"/>
              </w:numPr>
              <w:jc w:val="start"/>
              <w:rPr>
                <w:rFonts w:ascii="Dubai" w:hAnsi="Dubai" w:eastAsia="Dubai" w:cs="Dubai"/>
                <w:sz w:val="22"/>
                <w:szCs w:val="22"/>
              </w:rPr>
            </w:pPr>
            <w:r>
              <w:rPr>
                <w:rFonts w:eastAsia="Dubai" w:cs="Dubai" w:ascii="Dubai" w:hAnsi="Dubai"/>
                <w:kern w:val="0"/>
                <w:sz w:val="22"/>
                <w:szCs w:val="22"/>
                <w:lang w:eastAsia="en-US" w:bidi="ar-SA"/>
              </w:rPr>
              <w:t>Station shift requested by JAFZA has been studied and shared with ER. See alignment section.</w:t>
            </w:r>
          </w:p>
          <w:p>
            <w:pPr>
              <w:pStyle w:val="Normal"/>
              <w:widowControl/>
              <w:suppressAutoHyphens w:val="true"/>
              <w:spacing w:before="0" w:after="0"/>
              <w:jc w:val="start"/>
              <w:rPr>
                <w:rFonts w:eastAsia="Dubai" w:cs="Dubai"/>
                <w:b/>
                <w:sz w:val="22"/>
                <w:szCs w:val="22"/>
              </w:rPr>
            </w:pPr>
            <w:r>
              <w:rPr>
                <w:rFonts w:eastAsia="Dubai" w:cs="Dubai"/>
                <w:b/>
                <w:kern w:val="0"/>
                <w:sz w:val="22"/>
                <w:szCs w:val="22"/>
                <w:lang w:val="en-US" w:eastAsia="en-US" w:bidi="ar-SA"/>
              </w:rPr>
              <w:t>DS215 interface</w:t>
            </w:r>
            <w:r>
              <w:rPr>
                <w:rFonts w:eastAsia="Dubai" w:cs="Dubai"/>
                <w:b/>
                <w:bCs/>
                <w:kern w:val="0"/>
                <w:sz w:val="22"/>
                <w:szCs w:val="22"/>
                <w:lang w:val="en-US" w:eastAsia="en-US" w:bidi="ar-SA"/>
              </w:rPr>
              <w:t>:</w:t>
            </w:r>
          </w:p>
          <w:p>
            <w:pPr>
              <w:pStyle w:val="ListParagraph"/>
              <w:widowControl/>
              <w:numPr>
                <w:ilvl w:val="0"/>
                <w:numId w:val="7"/>
              </w:numPr>
              <w:jc w:val="start"/>
              <w:rPr>
                <w:kern w:val="0"/>
                <w:lang w:eastAsia="en-US" w:bidi="ar-SA"/>
              </w:rPr>
            </w:pPr>
            <w:r>
              <w:rPr>
                <w:rFonts w:eastAsia="Dubai" w:cs="Dubai" w:ascii="Dubai" w:hAnsi="Dubai"/>
                <w:kern w:val="0"/>
                <w:sz w:val="22"/>
                <w:szCs w:val="22"/>
                <w:lang w:eastAsia="en-US" w:bidi="ar-SA"/>
              </w:rPr>
              <w:t xml:space="preserve">Alignment as per option 6B, replies to DM conditions and specific requirements related to construction of DS215 have been shared with ER. ER to respond to DM. </w:t>
            </w:r>
          </w:p>
          <w:p>
            <w:pPr>
              <w:pStyle w:val="TableText"/>
              <w:widowControl w:val="false"/>
              <w:suppressAutoHyphens w:val="true"/>
              <w:spacing w:before="0" w:after="0"/>
              <w:jc w:val="both"/>
              <w:rPr>
                <w:rFonts w:eastAsia="Dubai"/>
                <w:b/>
                <w:bCs/>
              </w:rPr>
            </w:pPr>
            <w:r>
              <w:rPr>
                <w:rFonts w:eastAsia="Dubai"/>
                <w:b/>
                <w:bCs/>
                <w:kern w:val="0"/>
                <w:sz w:val="22"/>
                <w:szCs w:val="22"/>
                <w:lang w:val="en-US" w:eastAsia="en-US" w:bidi="ar-SA"/>
              </w:rPr>
              <w:t>Al Jaddaf:</w:t>
            </w:r>
          </w:p>
          <w:p>
            <w:pPr>
              <w:pStyle w:val="ListParagraph"/>
              <w:widowControl/>
              <w:numPr>
                <w:ilvl w:val="0"/>
                <w:numId w:val="7"/>
              </w:numPr>
              <w:jc w:val="start"/>
              <w:rPr>
                <w:rFonts w:ascii="Dubai" w:hAnsi="Dubai" w:eastAsia="Dubai" w:cs="Dubai"/>
              </w:rPr>
            </w:pPr>
            <w:r>
              <w:rPr>
                <w:rFonts w:eastAsia="Dubai" w:cs="Dubai" w:ascii="Dubai" w:hAnsi="Dubai"/>
                <w:kern w:val="0"/>
                <w:sz w:val="22"/>
                <w:szCs w:val="22"/>
                <w:lang w:eastAsia="en-US" w:bidi="ar-SA"/>
              </w:rPr>
              <w:t>Coordination meeting with RTA on 22</w:t>
            </w:r>
            <w:r>
              <w:rPr>
                <w:rFonts w:eastAsia="Dubai" w:cs="Dubai" w:ascii="Dubai" w:hAnsi="Dubai"/>
                <w:kern w:val="0"/>
                <w:sz w:val="22"/>
                <w:szCs w:val="22"/>
                <w:vertAlign w:val="superscript"/>
                <w:lang w:eastAsia="en-US" w:bidi="ar-SA"/>
              </w:rPr>
              <w:t>nd</w:t>
            </w:r>
            <w:r>
              <w:rPr>
                <w:rFonts w:eastAsia="Dubai" w:cs="Dubai" w:ascii="Dubai" w:hAnsi="Dubai"/>
                <w:kern w:val="0"/>
                <w:sz w:val="22"/>
                <w:szCs w:val="22"/>
                <w:lang w:eastAsia="en-US" w:bidi="ar-SA"/>
              </w:rPr>
              <w:t xml:space="preserve"> April regarding the integration between HSR station and Metro station/roads. ER/SEI has shared the required files with RTA for their review on 25/04. Waiting RTA to accept/feedback. SEI to follow up.</w:t>
            </w:r>
          </w:p>
          <w:p>
            <w:pPr>
              <w:pStyle w:val="ListParagraph"/>
              <w:widowControl/>
              <w:numPr>
                <w:ilvl w:val="0"/>
                <w:numId w:val="7"/>
              </w:numPr>
              <w:spacing w:before="120" w:after="120"/>
              <w:contextualSpacing/>
              <w:jc w:val="start"/>
              <w:rPr>
                <w:rFonts w:ascii="Dubai" w:hAnsi="Dubai" w:eastAsia="Dubai" w:cs="Dubai"/>
              </w:rPr>
            </w:pPr>
            <w:r>
              <w:rPr>
                <w:rFonts w:eastAsia="Dubai" w:cs="Dubai" w:ascii="Dubai" w:hAnsi="Dubai"/>
                <w:kern w:val="0"/>
                <w:sz w:val="22"/>
                <w:szCs w:val="22"/>
                <w:lang w:eastAsia="en-US" w:bidi="ar-SA"/>
              </w:rPr>
              <w:t xml:space="preserve">Once accepted by RTA, ER to engage with DH. </w:t>
            </w:r>
          </w:p>
        </w:tc>
        <w:tc>
          <w:tcPr>
            <w:tcW w:w="850" w:type="dxa"/>
            <w:tcBorders/>
          </w:tcPr>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t>ER</w:t>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t>ER</w:t>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t>Note</w:t>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t>ER</w:t>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Note</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tc>
        <w:tc>
          <w:tcPr>
            <w:tcW w:w="1278" w:type="dxa"/>
            <w:tcBorders/>
          </w:tcPr>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t>TBC</w:t>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t>TBC</w:t>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lang w:val="en-GB"/>
              </w:rPr>
            </w:pPr>
            <w:r>
              <w:rPr>
                <w:rFonts w:eastAsia="Calibri"/>
                <w:kern w:val="0"/>
                <w:sz w:val="22"/>
                <w:szCs w:val="22"/>
                <w:lang w:val="en-GB" w:eastAsia="en-US" w:bidi="ar-SA"/>
              </w:rPr>
            </w:r>
          </w:p>
          <w:p>
            <w:pPr>
              <w:pStyle w:val="TableText"/>
              <w:widowControl w:val="false"/>
              <w:suppressAutoHyphens w:val="true"/>
              <w:spacing w:before="0" w:after="0"/>
              <w:jc w:val="center"/>
              <w:rPr>
                <w:lang w:val="en-GB"/>
              </w:rPr>
            </w:pPr>
            <w:r>
              <w:rPr>
                <w:rFonts w:eastAsia="Calibri"/>
                <w:kern w:val="0"/>
                <w:sz w:val="22"/>
                <w:szCs w:val="22"/>
                <w:lang w:val="en-GB" w:eastAsia="en-US" w:bidi="ar-SA"/>
              </w:rPr>
            </w:r>
          </w:p>
          <w:p>
            <w:pPr>
              <w:pStyle w:val="TableText"/>
              <w:widowControl w:val="false"/>
              <w:suppressAutoHyphens w:val="true"/>
              <w:spacing w:before="0" w:after="0"/>
              <w:jc w:val="center"/>
              <w:rPr>
                <w:lang w:val="en-GB"/>
              </w:rPr>
            </w:pPr>
            <w:r>
              <w:rPr>
                <w:rFonts w:eastAsia="Calibri"/>
                <w:kern w:val="0"/>
                <w:sz w:val="22"/>
                <w:szCs w:val="22"/>
                <w:lang w:val="en-GB" w:eastAsia="en-US" w:bidi="ar-SA"/>
              </w:rPr>
            </w:r>
          </w:p>
          <w:p>
            <w:pPr>
              <w:pStyle w:val="TableText"/>
              <w:widowControl w:val="false"/>
              <w:suppressAutoHyphens w:val="true"/>
              <w:spacing w:before="0" w:after="0"/>
              <w:jc w:val="center"/>
              <w:rPr>
                <w:lang w:val="en-GB"/>
              </w:rPr>
            </w:pPr>
            <w:r>
              <w:rPr>
                <w:rFonts w:eastAsia="Calibri"/>
                <w:kern w:val="0"/>
                <w:sz w:val="22"/>
                <w:szCs w:val="22"/>
                <w:lang w:val="en-GB" w:eastAsia="en-US" w:bidi="ar-SA"/>
              </w:rPr>
            </w:r>
          </w:p>
          <w:p>
            <w:pPr>
              <w:pStyle w:val="TableText"/>
              <w:widowControl w:val="false"/>
              <w:suppressAutoHyphens w:val="true"/>
              <w:spacing w:before="0" w:after="0"/>
              <w:jc w:val="center"/>
              <w:rPr>
                <w:lang w:val="en-GB"/>
              </w:rPr>
            </w:pPr>
            <w:r>
              <w:rPr>
                <w:rFonts w:eastAsia="Calibri"/>
                <w:kern w:val="0"/>
                <w:sz w:val="22"/>
                <w:szCs w:val="22"/>
                <w:lang w:val="en-GB" w:eastAsia="en-US" w:bidi="ar-SA"/>
              </w:rPr>
            </w:r>
          </w:p>
          <w:p>
            <w:pPr>
              <w:pStyle w:val="TableText"/>
              <w:widowControl w:val="false"/>
              <w:suppressAutoHyphens w:val="true"/>
              <w:spacing w:before="0" w:after="0"/>
              <w:jc w:val="center"/>
              <w:rPr>
                <w:lang w:val="en-GB"/>
              </w:rPr>
            </w:pPr>
            <w:r>
              <w:rPr>
                <w:rFonts w:eastAsia="Calibri"/>
                <w:kern w:val="0"/>
                <w:sz w:val="22"/>
                <w:szCs w:val="22"/>
                <w:lang w:val="en-GB" w:eastAsia="en-US" w:bidi="ar-SA"/>
              </w:rPr>
              <w:t>TBC</w:t>
            </w:r>
          </w:p>
          <w:p>
            <w:pPr>
              <w:pStyle w:val="TableText"/>
              <w:widowControl w:val="false"/>
              <w:suppressAutoHyphens w:val="true"/>
              <w:spacing w:before="0" w:after="0"/>
              <w:jc w:val="center"/>
              <w:rPr>
                <w:lang w:val="en-GB"/>
              </w:rPr>
            </w:pPr>
            <w:r>
              <w:rPr>
                <w:rFonts w:eastAsia="Calibri"/>
                <w:kern w:val="0"/>
                <w:sz w:val="22"/>
                <w:szCs w:val="22"/>
                <w:lang w:val="en-GB" w:eastAsia="en-US" w:bidi="ar-SA"/>
              </w:rPr>
            </w:r>
          </w:p>
        </w:tc>
      </w:tr>
      <w:tr>
        <w:trPr>
          <w:trHeight w:val="1286" w:hRule="atLeast"/>
        </w:trPr>
        <w:tc>
          <w:tcPr>
            <w:tcW w:w="1400" w:type="dxa"/>
            <w:vMerge w:val="continue"/>
            <w:tcBorders/>
            <w:vAlign w:val="center"/>
          </w:tcPr>
          <w:p>
            <w:pPr>
              <w:pStyle w:val="TableHeader"/>
              <w:widowControl w:val="false"/>
              <w:suppressAutoHyphens w:val="true"/>
              <w:spacing w:before="0" w:after="0"/>
              <w:rPr>
                <w:kern w:val="0"/>
                <w:lang w:val="en-US" w:eastAsia="en-US" w:bidi="ar-SA"/>
              </w:rPr>
            </w:pPr>
            <w:r>
              <w:rPr>
                <w:kern w:val="0"/>
                <w:lang w:val="en-US" w:eastAsia="en-US" w:bidi="ar-SA"/>
              </w:rPr>
            </w:r>
          </w:p>
        </w:tc>
        <w:tc>
          <w:tcPr>
            <w:tcW w:w="1871" w:type="dxa"/>
            <w:vMerge w:val="continue"/>
            <w:tcBorders/>
            <w:vAlign w:val="center"/>
          </w:tcPr>
          <w:p>
            <w:pPr>
              <w:pStyle w:val="TableHeader"/>
              <w:widowControl w:val="false"/>
              <w:suppressAutoHyphens w:val="true"/>
              <w:spacing w:before="0" w:after="0"/>
              <w:rPr>
                <w:b w:val="false"/>
                <w:bCs/>
              </w:rPr>
            </w:pPr>
            <w:r>
              <w:rPr>
                <w:b w:val="false"/>
                <w:bCs/>
                <w:kern w:val="0"/>
                <w:lang w:val="en-US" w:eastAsia="en-US" w:bidi="ar-SA"/>
              </w:rPr>
            </w:r>
          </w:p>
        </w:tc>
        <w:tc>
          <w:tcPr>
            <w:tcW w:w="5527" w:type="dxa"/>
            <w:gridSpan w:val="4"/>
            <w:tcBorders/>
          </w:tcPr>
          <w:p>
            <w:pPr>
              <w:pStyle w:val="TableText"/>
              <w:widowControl w:val="false"/>
              <w:suppressAutoHyphens w:val="true"/>
              <w:spacing w:before="0" w:after="0"/>
              <w:jc w:val="both"/>
              <w:rPr>
                <w:b/>
                <w:bCs/>
                <w:lang w:val="en-GB"/>
              </w:rPr>
            </w:pPr>
            <w:r>
              <w:rPr>
                <w:rFonts w:eastAsia="Calibri"/>
                <w:b/>
                <w:bCs/>
                <w:kern w:val="0"/>
                <w:sz w:val="22"/>
                <w:szCs w:val="22"/>
                <w:lang w:val="en-GB" w:eastAsia="en-US" w:bidi="ar-SA"/>
              </w:rPr>
              <w:t xml:space="preserve">Sharjah </w:t>
            </w:r>
          </w:p>
          <w:p>
            <w:pPr>
              <w:pStyle w:val="TableText"/>
              <w:widowControl w:val="false"/>
              <w:suppressAutoHyphens w:val="true"/>
              <w:spacing w:before="0" w:after="0"/>
              <w:jc w:val="both"/>
              <w:rPr>
                <w:rFonts w:eastAsia="Dubai"/>
                <w:u w:val="single"/>
              </w:rPr>
            </w:pPr>
            <w:r>
              <w:rPr>
                <w:rFonts w:eastAsia="Calibri"/>
                <w:kern w:val="0"/>
                <w:sz w:val="22"/>
                <w:szCs w:val="22"/>
                <w:u w:val="single"/>
                <w:lang w:val="en-US" w:eastAsia="en-US" w:bidi="ar-SA"/>
              </w:rPr>
              <w:t>HSR (Sharjah section):</w:t>
            </w:r>
            <w:r>
              <w:rPr>
                <w:rFonts w:eastAsia="Dubai"/>
                <w:kern w:val="0"/>
                <w:sz w:val="22"/>
                <w:szCs w:val="22"/>
                <w:u w:val="single"/>
                <w:lang w:val="en-US" w:eastAsia="en-US" w:bidi="ar-SA"/>
              </w:rPr>
              <w:t xml:space="preserve"> </w:t>
            </w:r>
          </w:p>
          <w:p>
            <w:pPr>
              <w:pStyle w:val="TableText"/>
              <w:widowControl w:val="false"/>
              <w:numPr>
                <w:ilvl w:val="0"/>
                <w:numId w:val="12"/>
              </w:numPr>
              <w:suppressAutoHyphens w:val="true"/>
              <w:spacing w:before="0" w:after="0"/>
              <w:jc w:val="both"/>
              <w:rPr>
                <w:rFonts w:eastAsia="Calibri"/>
                <w:kern w:val="0"/>
                <w:sz w:val="22"/>
                <w:szCs w:val="22"/>
                <w:lang w:val="en-US" w:eastAsia="en-US" w:bidi="ar-SA"/>
              </w:rPr>
            </w:pPr>
            <w:r>
              <w:rPr>
                <w:rFonts w:eastAsia="Calibri"/>
                <w:kern w:val="0"/>
                <w:sz w:val="22"/>
                <w:szCs w:val="22"/>
                <w:lang w:val="en-US" w:eastAsia="en-US" w:bidi="ar-SA"/>
              </w:rPr>
              <w:t xml:space="preserve">ER has shared the updated constraints report with DTPS. </w:t>
            </w:r>
          </w:p>
          <w:p>
            <w:pPr>
              <w:pStyle w:val="TableText"/>
              <w:widowControl w:val="false"/>
              <w:numPr>
                <w:ilvl w:val="0"/>
                <w:numId w:val="12"/>
              </w:numPr>
              <w:suppressAutoHyphens w:val="true"/>
              <w:spacing w:before="0" w:after="0"/>
              <w:jc w:val="both"/>
              <w:rPr>
                <w:rFonts w:eastAsia="Calibri"/>
                <w:kern w:val="0"/>
                <w:sz w:val="22"/>
                <w:szCs w:val="22"/>
                <w:lang w:val="en-US" w:eastAsia="en-US" w:bidi="ar-SA"/>
              </w:rPr>
            </w:pPr>
            <w:r>
              <w:rPr>
                <w:rFonts w:eastAsia="Calibri"/>
                <w:kern w:val="0"/>
                <w:sz w:val="22"/>
                <w:szCs w:val="22"/>
                <w:lang w:val="en-US" w:eastAsia="en-US" w:bidi="ar-SA"/>
              </w:rPr>
              <w:t>ER advised that alignment (Sharjah section) to be updated with single bore solution and the extended platform (235m) of the station.</w:t>
            </w:r>
          </w:p>
          <w:p>
            <w:pPr>
              <w:pStyle w:val="TableText"/>
              <w:widowControl w:val="false"/>
              <w:numPr>
                <w:ilvl w:val="0"/>
                <w:numId w:val="12"/>
              </w:numPr>
              <w:suppressAutoHyphens w:val="true"/>
              <w:spacing w:before="0" w:after="0"/>
              <w:jc w:val="both"/>
              <w:rPr>
                <w:rFonts w:eastAsia="Calibri"/>
                <w:kern w:val="0"/>
                <w:sz w:val="22"/>
                <w:szCs w:val="22"/>
                <w:lang w:val="en-US" w:eastAsia="en-US" w:bidi="ar-SA"/>
              </w:rPr>
            </w:pPr>
            <w:r>
              <w:rPr>
                <w:rFonts w:eastAsia="Calibri"/>
                <w:kern w:val="0"/>
                <w:sz w:val="22"/>
                <w:szCs w:val="22"/>
                <w:lang w:val="en-US" w:eastAsia="en-US" w:bidi="ar-SA"/>
              </w:rPr>
              <w:t xml:space="preserve">A meeting to be scheduled with DTPS. </w:t>
            </w:r>
          </w:p>
          <w:p>
            <w:pPr>
              <w:pStyle w:val="TableText"/>
              <w:widowControl w:val="false"/>
              <w:suppressAutoHyphens w:val="true"/>
              <w:spacing w:before="0" w:after="0"/>
              <w:jc w:val="both"/>
              <w:rPr>
                <w:u w:val="single"/>
                <w:lang w:val="en-GB"/>
              </w:rPr>
            </w:pPr>
            <w:r>
              <w:rPr>
                <w:rFonts w:eastAsia="Calibri"/>
                <w:kern w:val="0"/>
                <w:sz w:val="22"/>
                <w:szCs w:val="22"/>
                <w:u w:val="single"/>
                <w:lang w:val="en-GB" w:eastAsia="en-US" w:bidi="ar-SA"/>
              </w:rPr>
              <w:t xml:space="preserve">HSR (Dubai section): </w:t>
            </w:r>
          </w:p>
          <w:p>
            <w:pPr>
              <w:pStyle w:val="TableText"/>
              <w:widowControl w:val="false"/>
              <w:numPr>
                <w:ilvl w:val="0"/>
                <w:numId w:val="14"/>
              </w:numPr>
              <w:suppressAutoHyphens w:val="true"/>
              <w:spacing w:lineRule="auto" w:line="259" w:before="0" w:after="0"/>
              <w:jc w:val="both"/>
              <w:rPr>
                <w:rFonts w:eastAsia="Calibri"/>
                <w:kern w:val="0"/>
                <w:sz w:val="22"/>
                <w:szCs w:val="22"/>
                <w:lang w:val="en-US" w:eastAsia="en-US" w:bidi="ar-SA"/>
              </w:rPr>
            </w:pPr>
            <w:r>
              <w:rPr>
                <w:rFonts w:eastAsia="Calibri"/>
                <w:kern w:val="0"/>
                <w:sz w:val="22"/>
                <w:szCs w:val="22"/>
                <w:lang w:val="en-US" w:eastAsia="en-US" w:bidi="ar-SA"/>
              </w:rPr>
              <w:t xml:space="preserve">Alignment to proceed with the one presented to RTA.  </w:t>
            </w:r>
          </w:p>
          <w:p>
            <w:pPr>
              <w:pStyle w:val="TableText"/>
              <w:widowControl w:val="false"/>
              <w:numPr>
                <w:ilvl w:val="0"/>
                <w:numId w:val="14"/>
              </w:numPr>
              <w:suppressAutoHyphens w:val="true"/>
              <w:spacing w:lineRule="auto" w:line="259" w:before="0" w:after="0"/>
              <w:jc w:val="both"/>
              <w:rPr>
                <w:rFonts w:eastAsia="Calibri"/>
                <w:kern w:val="0"/>
                <w:sz w:val="22"/>
                <w:szCs w:val="22"/>
                <w:lang w:val="en-US" w:eastAsia="en-US" w:bidi="ar-SA"/>
              </w:rPr>
            </w:pPr>
            <w:r>
              <w:rPr>
                <w:rFonts w:eastAsia="Calibri"/>
                <w:kern w:val="0"/>
                <w:sz w:val="22"/>
                <w:szCs w:val="22"/>
                <w:lang w:val="en-US" w:eastAsia="en-US" w:bidi="ar-SA"/>
              </w:rPr>
              <w:t>SEI implemented one comment from RTA related to shifting the TVS/retrieval shaft outside Dubai Airport (shaft to be in RTA land). SEI confirmed that the permanent shaft has been shifted and both temporary and permanent shaft's location shared with ER. ER has shared with RTA. RTA to approve. SEI to follow up.</w:t>
            </w:r>
          </w:p>
        </w:tc>
        <w:tc>
          <w:tcPr>
            <w:tcW w:w="850" w:type="dxa"/>
            <w:tcBorders/>
          </w:tcPr>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Note</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SEI</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ER/SEI</w:t>
            </w:r>
          </w:p>
          <w:p>
            <w:pPr>
              <w:pStyle w:val="TableText"/>
              <w:widowControl w:val="false"/>
              <w:suppressAutoHyphens w:val="true"/>
              <w:spacing w:before="0" w:after="0"/>
              <w:jc w:val="center"/>
              <w:rPr>
                <w:lang w:val="pt-BR"/>
              </w:rPr>
            </w:pPr>
            <w:r>
              <w:rPr>
                <w:rFonts w:eastAsia="Calibri"/>
                <w:kern w:val="0"/>
                <w:sz w:val="22"/>
                <w:szCs w:val="22"/>
                <w:lang w:val="pt-BR" w:eastAsia="en-US" w:bidi="ar-SA"/>
              </w:rPr>
              <w:t>Note</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SEI</w:t>
            </w:r>
          </w:p>
        </w:tc>
        <w:tc>
          <w:tcPr>
            <w:tcW w:w="1278" w:type="dxa"/>
            <w:tcBorders/>
          </w:tcPr>
          <w:p>
            <w:pPr>
              <w:pStyle w:val="Normal"/>
              <w:widowControl/>
              <w:suppressAutoHyphens w:val="true"/>
              <w:spacing w:before="0" w:after="0"/>
              <w:jc w:val="center"/>
              <w:rPr>
                <w:sz w:val="22"/>
                <w:szCs w:val="22"/>
                <w:lang w:val="pt-BR"/>
              </w:rPr>
            </w:pPr>
            <w:r>
              <w:rPr>
                <w:kern w:val="0"/>
                <w:sz w:val="22"/>
                <w:szCs w:val="22"/>
                <w:lang w:val="pt-BR" w:eastAsia="en-US" w:bidi="ar-SA"/>
              </w:rPr>
            </w:r>
          </w:p>
          <w:p>
            <w:pPr>
              <w:pStyle w:val="Normal"/>
              <w:widowControl/>
              <w:suppressAutoHyphens w:val="true"/>
              <w:spacing w:before="0" w:after="0"/>
              <w:jc w:val="center"/>
              <w:rPr>
                <w:sz w:val="22"/>
                <w:szCs w:val="22"/>
                <w:lang w:val="pt-BR"/>
              </w:rPr>
            </w:pPr>
            <w:r>
              <w:rPr>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TBC</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Normal"/>
              <w:widowControl/>
              <w:suppressAutoHyphens w:val="true"/>
              <w:spacing w:before="0" w:after="0"/>
              <w:jc w:val="center"/>
              <w:rPr>
                <w:sz w:val="22"/>
                <w:szCs w:val="22"/>
                <w:lang w:val="pt-BR"/>
              </w:rPr>
            </w:pPr>
            <w:r>
              <w:rPr>
                <w:kern w:val="0"/>
                <w:sz w:val="22"/>
                <w:szCs w:val="22"/>
                <w:lang w:val="pt-BR" w:eastAsia="en-US" w:bidi="ar-SA"/>
              </w:rPr>
            </w:r>
          </w:p>
          <w:p>
            <w:pPr>
              <w:pStyle w:val="Normal"/>
              <w:widowControl/>
              <w:suppressAutoHyphens w:val="true"/>
              <w:spacing w:before="0" w:after="0"/>
              <w:jc w:val="center"/>
              <w:rPr>
                <w:sz w:val="22"/>
                <w:szCs w:val="22"/>
                <w:lang w:val="pt-BR"/>
              </w:rPr>
            </w:pPr>
            <w:r>
              <w:rPr>
                <w:kern w:val="0"/>
                <w:sz w:val="22"/>
                <w:szCs w:val="22"/>
                <w:lang w:val="pt-BR" w:eastAsia="en-US" w:bidi="ar-SA"/>
              </w:rPr>
              <w:t>TBC</w:t>
            </w:r>
          </w:p>
          <w:p>
            <w:pPr>
              <w:pStyle w:val="Normal"/>
              <w:widowControl/>
              <w:suppressAutoHyphens w:val="true"/>
              <w:spacing w:before="0" w:after="0"/>
              <w:jc w:val="center"/>
              <w:rPr>
                <w:sz w:val="22"/>
                <w:szCs w:val="22"/>
                <w:lang w:val="pt-BR"/>
              </w:rPr>
            </w:pPr>
            <w:r>
              <w:rPr>
                <w:kern w:val="0"/>
                <w:sz w:val="22"/>
                <w:szCs w:val="22"/>
                <w:lang w:val="pt-BR" w:eastAsia="en-US" w:bidi="ar-SA"/>
              </w:rPr>
            </w:r>
          </w:p>
          <w:p>
            <w:pPr>
              <w:pStyle w:val="Normal"/>
              <w:widowControl/>
              <w:suppressAutoHyphens w:val="true"/>
              <w:spacing w:before="0" w:after="0"/>
              <w:jc w:val="center"/>
              <w:rPr>
                <w:sz w:val="22"/>
                <w:szCs w:val="22"/>
                <w:lang w:val="pt-BR"/>
              </w:rPr>
            </w:pPr>
            <w:r>
              <w:rPr>
                <w:kern w:val="0"/>
                <w:sz w:val="22"/>
                <w:szCs w:val="22"/>
                <w:lang w:val="pt-BR" w:eastAsia="en-US" w:bidi="ar-SA"/>
              </w:rPr>
            </w:r>
          </w:p>
          <w:p>
            <w:pPr>
              <w:pStyle w:val="Normal"/>
              <w:widowControl/>
              <w:suppressAutoHyphens w:val="true"/>
              <w:spacing w:before="0" w:after="0"/>
              <w:jc w:val="center"/>
              <w:rPr>
                <w:sz w:val="22"/>
                <w:szCs w:val="22"/>
                <w:lang w:val="pt-BR"/>
              </w:rPr>
            </w:pPr>
            <w:r>
              <w:rPr>
                <w:kern w:val="0"/>
                <w:sz w:val="22"/>
                <w:szCs w:val="22"/>
                <w:lang w:val="pt-BR" w:eastAsia="en-US" w:bidi="ar-SA"/>
              </w:rPr>
            </w:r>
          </w:p>
          <w:p>
            <w:pPr>
              <w:pStyle w:val="Normal"/>
              <w:widowControl/>
              <w:suppressAutoHyphens w:val="true"/>
              <w:spacing w:before="0" w:after="0"/>
              <w:jc w:val="center"/>
              <w:rPr>
                <w:sz w:val="22"/>
                <w:szCs w:val="22"/>
                <w:lang w:val="pt-BR"/>
              </w:rPr>
            </w:pPr>
            <w:r>
              <w:rPr>
                <w:kern w:val="0"/>
                <w:sz w:val="22"/>
                <w:szCs w:val="22"/>
                <w:lang w:val="pt-BR" w:eastAsia="en-US" w:bidi="ar-SA"/>
              </w:rPr>
            </w:r>
          </w:p>
          <w:p>
            <w:pPr>
              <w:pStyle w:val="Normal"/>
              <w:widowControl/>
              <w:suppressAutoHyphens w:val="true"/>
              <w:spacing w:before="0" w:after="0"/>
              <w:jc w:val="center"/>
              <w:rPr>
                <w:sz w:val="22"/>
                <w:szCs w:val="22"/>
                <w:lang w:val="pt-BR"/>
              </w:rPr>
            </w:pPr>
            <w:r>
              <w:rPr>
                <w:kern w:val="0"/>
                <w:sz w:val="22"/>
                <w:szCs w:val="22"/>
                <w:lang w:val="pt-BR" w:eastAsia="en-US" w:bidi="ar-SA"/>
              </w:rPr>
            </w:r>
          </w:p>
          <w:p>
            <w:pPr>
              <w:pStyle w:val="Normal"/>
              <w:widowControl/>
              <w:suppressAutoHyphens w:val="true"/>
              <w:spacing w:before="0" w:after="0"/>
              <w:jc w:val="center"/>
              <w:rPr>
                <w:sz w:val="22"/>
                <w:szCs w:val="22"/>
                <w:lang w:val="pt-BR"/>
              </w:rPr>
            </w:pPr>
            <w:r>
              <w:rPr>
                <w:kern w:val="0"/>
                <w:sz w:val="22"/>
                <w:szCs w:val="22"/>
                <w:lang w:val="pt-BR" w:eastAsia="en-US" w:bidi="ar-SA"/>
              </w:rPr>
            </w:r>
          </w:p>
          <w:p>
            <w:pPr>
              <w:pStyle w:val="Normal"/>
              <w:widowControl/>
              <w:suppressAutoHyphens w:val="true"/>
              <w:spacing w:before="0" w:after="0"/>
              <w:jc w:val="center"/>
              <w:rPr>
                <w:sz w:val="22"/>
                <w:szCs w:val="22"/>
                <w:lang w:val="pt-BR"/>
              </w:rPr>
            </w:pPr>
            <w:r>
              <w:rPr>
                <w:kern w:val="0"/>
                <w:sz w:val="22"/>
                <w:szCs w:val="22"/>
                <w:lang w:val="pt-BR" w:eastAsia="en-US" w:bidi="ar-SA"/>
              </w:rPr>
            </w:r>
          </w:p>
          <w:p>
            <w:pPr>
              <w:pStyle w:val="Normal"/>
              <w:widowControl/>
              <w:suppressAutoHyphens w:val="true"/>
              <w:spacing w:before="0" w:after="0"/>
              <w:jc w:val="center"/>
              <w:rPr>
                <w:sz w:val="22"/>
                <w:szCs w:val="22"/>
                <w:lang w:val="pt-BR"/>
              </w:rPr>
            </w:pPr>
            <w:r>
              <w:rPr>
                <w:kern w:val="0"/>
                <w:sz w:val="22"/>
                <w:szCs w:val="22"/>
                <w:lang w:val="pt-BR" w:eastAsia="en-US" w:bidi="ar-SA"/>
              </w:rPr>
            </w:r>
          </w:p>
          <w:p>
            <w:pPr>
              <w:pStyle w:val="Normal"/>
              <w:widowControl/>
              <w:suppressAutoHyphens w:val="true"/>
              <w:spacing w:before="0" w:after="0"/>
              <w:jc w:val="center"/>
              <w:rPr>
                <w:sz w:val="22"/>
                <w:szCs w:val="22"/>
                <w:lang w:val="pt-BR"/>
              </w:rPr>
            </w:pPr>
            <w:r>
              <w:rPr>
                <w:kern w:val="0"/>
                <w:sz w:val="22"/>
                <w:szCs w:val="22"/>
                <w:lang w:val="pt-BR" w:eastAsia="en-US" w:bidi="ar-SA"/>
              </w:rPr>
            </w:r>
          </w:p>
          <w:p>
            <w:pPr>
              <w:pStyle w:val="Normal"/>
              <w:widowControl/>
              <w:suppressAutoHyphens w:val="true"/>
              <w:spacing w:before="0" w:after="0"/>
              <w:jc w:val="center"/>
              <w:rPr>
                <w:sz w:val="22"/>
                <w:szCs w:val="22"/>
                <w:lang w:val="pt-BR"/>
              </w:rPr>
            </w:pPr>
            <w:r>
              <w:rPr>
                <w:kern w:val="0"/>
                <w:sz w:val="22"/>
                <w:szCs w:val="22"/>
                <w:lang w:val="pt-BR" w:eastAsia="en-US" w:bidi="ar-SA"/>
              </w:rPr>
              <w:t>ASAP</w:t>
            </w:r>
          </w:p>
          <w:p>
            <w:pPr>
              <w:pStyle w:val="Normal"/>
              <w:widowControl/>
              <w:suppressAutoHyphens w:val="true"/>
              <w:spacing w:before="0" w:after="0"/>
              <w:jc w:val="center"/>
              <w:rPr>
                <w:sz w:val="22"/>
                <w:szCs w:val="22"/>
                <w:lang w:val="en-GB"/>
              </w:rPr>
            </w:pPr>
            <w:r>
              <w:rPr>
                <w:kern w:val="0"/>
                <w:sz w:val="22"/>
                <w:szCs w:val="22"/>
                <w:lang w:val="en-GB" w:eastAsia="en-US" w:bidi="ar-SA"/>
              </w:rPr>
            </w:r>
          </w:p>
        </w:tc>
      </w:tr>
      <w:tr>
        <w:trPr>
          <w:trHeight w:val="2655" w:hRule="atLeast"/>
        </w:trPr>
        <w:tc>
          <w:tcPr>
            <w:tcW w:w="1400" w:type="dxa"/>
            <w:vMerge w:val="continue"/>
            <w:tcBorders/>
            <w:vAlign w:val="center"/>
          </w:tcPr>
          <w:p>
            <w:pPr>
              <w:pStyle w:val="TableHeader"/>
              <w:widowControl w:val="false"/>
              <w:suppressAutoHyphens w:val="true"/>
              <w:spacing w:before="0" w:after="0"/>
              <w:rPr>
                <w:kern w:val="0"/>
                <w:lang w:val="en-US" w:eastAsia="en-US" w:bidi="ar-SA"/>
              </w:rPr>
            </w:pPr>
            <w:r>
              <w:rPr>
                <w:kern w:val="0"/>
                <w:lang w:val="en-US" w:eastAsia="en-US" w:bidi="ar-SA"/>
              </w:rPr>
            </w:r>
          </w:p>
        </w:tc>
        <w:tc>
          <w:tcPr>
            <w:tcW w:w="1871" w:type="dxa"/>
            <w:vMerge w:val="continue"/>
            <w:tcBorders/>
            <w:vAlign w:val="center"/>
          </w:tcPr>
          <w:p>
            <w:pPr>
              <w:pStyle w:val="TableHeader"/>
              <w:widowControl w:val="false"/>
              <w:suppressAutoHyphens w:val="true"/>
              <w:spacing w:before="0" w:after="0"/>
              <w:rPr>
                <w:b w:val="false"/>
                <w:bCs/>
              </w:rPr>
            </w:pPr>
            <w:r>
              <w:rPr>
                <w:b w:val="false"/>
                <w:bCs/>
                <w:kern w:val="0"/>
                <w:lang w:val="en-US" w:eastAsia="en-US" w:bidi="ar-SA"/>
              </w:rPr>
            </w:r>
          </w:p>
        </w:tc>
        <w:tc>
          <w:tcPr>
            <w:tcW w:w="5527" w:type="dxa"/>
            <w:gridSpan w:val="4"/>
            <w:tcBorders/>
          </w:tcPr>
          <w:p>
            <w:pPr>
              <w:pStyle w:val="TableText"/>
              <w:widowControl w:val="false"/>
              <w:suppressAutoHyphens w:val="true"/>
              <w:spacing w:before="0" w:after="0"/>
              <w:jc w:val="both"/>
              <w:rPr>
                <w:b/>
                <w:bCs/>
                <w:color w:themeColor="text1" w:val="000000"/>
                <w:lang w:val="en-GB"/>
              </w:rPr>
            </w:pPr>
            <w:r>
              <w:rPr>
                <w:rFonts w:eastAsia="Calibri"/>
                <w:b/>
                <w:bCs/>
                <w:color w:themeColor="text1" w:val="000000"/>
                <w:kern w:val="0"/>
                <w:sz w:val="22"/>
                <w:szCs w:val="22"/>
                <w:lang w:val="en-GB" w:eastAsia="en-US" w:bidi="ar-SA"/>
              </w:rPr>
              <w:t>Civil Defence</w:t>
            </w:r>
          </w:p>
          <w:p>
            <w:pPr>
              <w:pStyle w:val="TableText"/>
              <w:widowControl w:val="false"/>
              <w:numPr>
                <w:ilvl w:val="0"/>
                <w:numId w:val="11"/>
              </w:numPr>
              <w:suppressAutoHyphens w:val="true"/>
              <w:spacing w:before="0" w:after="0"/>
              <w:jc w:val="both"/>
              <w:rPr>
                <w:lang w:val="en-GB"/>
              </w:rPr>
            </w:pPr>
            <w:r>
              <w:rPr>
                <w:rFonts w:eastAsia="Calibri"/>
                <w:kern w:val="0"/>
                <w:sz w:val="22"/>
                <w:szCs w:val="22"/>
                <w:lang w:val="en-GB" w:eastAsia="en-US" w:bidi="ar-SA"/>
              </w:rPr>
              <w:t>Letter has been received from CD accepting the TSI for the HSR subject to some conditions. This letter shall be referred in the D&amp;B Contract and also already included in Exh D2 doc related to Tunnel.</w:t>
            </w:r>
          </w:p>
          <w:p>
            <w:pPr>
              <w:pStyle w:val="TableText"/>
              <w:widowControl w:val="false"/>
              <w:suppressAutoHyphens w:val="true"/>
              <w:spacing w:before="0" w:after="0"/>
              <w:jc w:val="both"/>
              <w:rPr>
                <w:b/>
                <w:bCs/>
                <w:lang w:val="en-GB"/>
              </w:rPr>
            </w:pPr>
            <w:r>
              <w:rPr>
                <w:rFonts w:eastAsia="Calibri"/>
                <w:kern w:val="0"/>
                <w:sz w:val="22"/>
                <w:szCs w:val="22"/>
                <w:lang w:val="en-GB" w:eastAsia="en-US" w:bidi="ar-SA"/>
              </w:rPr>
              <w:t>Presentation has been shared with ER, ER has some comments, SEI to revise and reshare.</w:t>
            </w:r>
          </w:p>
        </w:tc>
        <w:tc>
          <w:tcPr>
            <w:tcW w:w="850" w:type="dxa"/>
            <w:tcBorders/>
          </w:tcPr>
          <w:p>
            <w:pPr>
              <w:pStyle w:val="Normal"/>
              <w:widowControl/>
              <w:suppressAutoHyphens w:val="true"/>
              <w:spacing w:before="0" w:after="0"/>
              <w:jc w:val="center"/>
              <w:rPr>
                <w:rFonts w:eastAsia="Dubai" w:cs="Dubai"/>
                <w:sz w:val="22"/>
                <w:szCs w:val="22"/>
                <w:lang w:val="en-GB"/>
              </w:rPr>
            </w:pPr>
            <w:r>
              <w:rPr>
                <w:rFonts w:eastAsia="Dubai" w:cs="Dubai"/>
                <w:kern w:val="0"/>
                <w:sz w:val="22"/>
                <w:szCs w:val="22"/>
                <w:lang w:val="en-GB" w:eastAsia="en-US" w:bidi="ar-SA"/>
              </w:rPr>
            </w:r>
          </w:p>
          <w:p>
            <w:pPr>
              <w:pStyle w:val="Normal"/>
              <w:widowControl/>
              <w:suppressAutoHyphens w:val="true"/>
              <w:spacing w:before="0" w:after="0"/>
              <w:jc w:val="center"/>
              <w:rPr>
                <w:rFonts w:eastAsia="Dubai"/>
                <w:sz w:val="22"/>
                <w:szCs w:val="22"/>
                <w:lang w:val="pt-BR"/>
              </w:rPr>
            </w:pPr>
            <w:r>
              <w:rPr>
                <w:rFonts w:eastAsia="Dubai"/>
                <w:kern w:val="0"/>
                <w:sz w:val="22"/>
                <w:szCs w:val="22"/>
                <w:lang w:val="pt-BR" w:eastAsia="en-US" w:bidi="ar-SA"/>
              </w:rPr>
              <w:t>Note</w:t>
            </w:r>
          </w:p>
          <w:p>
            <w:pPr>
              <w:pStyle w:val="Normal"/>
              <w:widowControl/>
              <w:suppressAutoHyphens w:val="true"/>
              <w:spacing w:before="0" w:after="0"/>
              <w:jc w:val="center"/>
              <w:rPr>
                <w:rFonts w:eastAsia="Dubai"/>
                <w:sz w:val="22"/>
                <w:szCs w:val="22"/>
                <w:lang w:val="pt-BR"/>
              </w:rPr>
            </w:pPr>
            <w:r>
              <w:rPr>
                <w:rFonts w:eastAsia="Dubai"/>
                <w:kern w:val="0"/>
                <w:sz w:val="22"/>
                <w:szCs w:val="22"/>
                <w:lang w:val="pt-BR" w:eastAsia="en-US" w:bidi="ar-SA"/>
              </w:rPr>
            </w:r>
          </w:p>
          <w:p>
            <w:pPr>
              <w:pStyle w:val="Normal"/>
              <w:widowControl/>
              <w:suppressAutoHyphens w:val="true"/>
              <w:spacing w:before="0" w:after="0"/>
              <w:jc w:val="center"/>
              <w:rPr>
                <w:rFonts w:eastAsia="Dubai"/>
                <w:sz w:val="22"/>
                <w:szCs w:val="22"/>
                <w:lang w:val="pt-BR"/>
              </w:rPr>
            </w:pPr>
            <w:r>
              <w:rPr>
                <w:rFonts w:eastAsia="Dubai"/>
                <w:kern w:val="0"/>
                <w:sz w:val="22"/>
                <w:szCs w:val="22"/>
                <w:lang w:val="pt-BR" w:eastAsia="en-US" w:bidi="ar-SA"/>
              </w:rPr>
            </w:r>
          </w:p>
          <w:p>
            <w:pPr>
              <w:pStyle w:val="Normal"/>
              <w:widowControl/>
              <w:suppressAutoHyphens w:val="true"/>
              <w:spacing w:before="0" w:after="0"/>
              <w:jc w:val="center"/>
              <w:rPr>
                <w:rFonts w:eastAsia="Dubai"/>
                <w:sz w:val="22"/>
                <w:szCs w:val="22"/>
                <w:lang w:val="pt-BR"/>
              </w:rPr>
            </w:pPr>
            <w:r>
              <w:rPr>
                <w:rFonts w:eastAsia="Dubai"/>
                <w:kern w:val="0"/>
                <w:sz w:val="22"/>
                <w:szCs w:val="22"/>
                <w:lang w:val="pt-BR" w:eastAsia="en-US" w:bidi="ar-SA"/>
              </w:rPr>
            </w:r>
          </w:p>
          <w:p>
            <w:pPr>
              <w:pStyle w:val="TableText"/>
              <w:widowControl w:val="false"/>
              <w:suppressAutoHyphens w:val="true"/>
              <w:spacing w:before="0" w:after="0"/>
              <w:jc w:val="center"/>
              <w:rPr>
                <w:lang w:val="en-AE"/>
              </w:rPr>
            </w:pPr>
            <w:r>
              <w:rPr>
                <w:rFonts w:eastAsia="Dubai"/>
                <w:kern w:val="0"/>
                <w:sz w:val="22"/>
                <w:szCs w:val="22"/>
                <w:lang w:val="pt-BR" w:eastAsia="en-US" w:bidi="ar-SA"/>
              </w:rPr>
              <w:t>SEI</w:t>
            </w:r>
          </w:p>
        </w:tc>
        <w:tc>
          <w:tcPr>
            <w:tcW w:w="1278" w:type="dxa"/>
            <w:tcBorders/>
          </w:tcPr>
          <w:p>
            <w:pPr>
              <w:pStyle w:val="Normal"/>
              <w:widowControl/>
              <w:suppressAutoHyphens w:val="true"/>
              <w:spacing w:before="0" w:after="0"/>
              <w:jc w:val="center"/>
              <w:rPr>
                <w:sz w:val="22"/>
                <w:szCs w:val="22"/>
                <w:lang w:val="pt-BR"/>
              </w:rPr>
            </w:pPr>
            <w:r>
              <w:rPr>
                <w:color w:themeColor="text1" w:val="000000"/>
                <w:kern w:val="0"/>
                <w:sz w:val="22"/>
                <w:szCs w:val="22"/>
                <w:lang w:val="en-GB" w:eastAsia="en-US" w:bidi="ar-SA"/>
              </w:rPr>
              <w:t xml:space="preserve">   </w:t>
            </w:r>
            <w:r>
              <w:rPr>
                <w:color w:themeColor="text1" w:val="000000"/>
                <w:kern w:val="0"/>
                <w:sz w:val="22"/>
                <w:szCs w:val="22"/>
                <w:lang w:val="en-GB" w:eastAsia="en-US" w:bidi="ar-SA"/>
              </w:rPr>
              <w:t>28/05/25</w:t>
            </w:r>
          </w:p>
        </w:tc>
      </w:tr>
    </w:tbl>
    <w:p>
      <w:pPr>
        <w:pStyle w:val="TableText"/>
        <w:widowControl w:val="false"/>
        <w:rPr>
          <w:color w:themeColor="text1" w:val="000000"/>
          <w:lang w:val="en-GB"/>
        </w:rPr>
      </w:pPr>
      <w:r>
        <w:rPr>
          <w:color w:themeColor="text1" w:val="000000"/>
          <w:lang w:val="en-GB"/>
        </w:rPr>
      </w:r>
    </w:p>
    <w:tbl>
      <w:tblPr>
        <w:tblStyle w:val="TableGrid"/>
        <w:tblpPr w:vertAnchor="text" w:horzAnchor="margin" w:tblpXSpec="center" w:leftFromText="180" w:rightFromText="180" w:tblpY="1"/>
        <w:tblW w:w="10926" w:type="dxa"/>
        <w:jc w:val="center"/>
        <w:tblInd w:w="0" w:type="dxa"/>
        <w:tblLayout w:type="fixed"/>
        <w:tblCellMar>
          <w:top w:w="0" w:type="dxa"/>
          <w:start w:w="108" w:type="dxa"/>
          <w:bottom w:w="0" w:type="dxa"/>
          <w:end w:w="108" w:type="dxa"/>
        </w:tblCellMar>
        <w:tblLook w:firstRow="0" w:noVBand="0" w:lastRow="0" w:firstColumn="0" w:lastColumn="0" w:noHBand="0" w:val="0000"/>
      </w:tblPr>
      <w:tblGrid>
        <w:gridCol w:w="1400"/>
        <w:gridCol w:w="1871"/>
        <w:gridCol w:w="5527"/>
        <w:gridCol w:w="850"/>
        <w:gridCol w:w="1278"/>
      </w:tblGrid>
      <w:tr>
        <w:trPr>
          <w:trHeight w:val="294" w:hRule="atLeast"/>
        </w:trPr>
        <w:tc>
          <w:tcPr>
            <w:tcW w:w="1400" w:type="dxa"/>
            <w:vMerge w:val="restart"/>
            <w:tcBorders/>
            <w:vAlign w:val="center"/>
          </w:tcPr>
          <w:p>
            <w:pPr>
              <w:pStyle w:val="TableHeader"/>
              <w:widowControl w:val="false"/>
              <w:suppressAutoHyphens w:val="true"/>
              <w:spacing w:before="0" w:after="0"/>
              <w:rPr>
                <w:kern w:val="0"/>
                <w:lang w:val="en-US" w:eastAsia="en-US" w:bidi="ar-SA"/>
              </w:rPr>
            </w:pPr>
            <w:r>
              <w:rPr>
                <w:kern w:val="0"/>
                <w:lang w:val="en-US" w:eastAsia="en-US" w:bidi="ar-SA"/>
              </w:rPr>
            </w:r>
          </w:p>
        </w:tc>
        <w:tc>
          <w:tcPr>
            <w:tcW w:w="1871" w:type="dxa"/>
            <w:vMerge w:val="restart"/>
            <w:tcBorders/>
            <w:vAlign w:val="center"/>
          </w:tcPr>
          <w:p>
            <w:pPr>
              <w:pStyle w:val="TableHeader"/>
              <w:widowControl w:val="false"/>
              <w:suppressAutoHyphens w:val="true"/>
              <w:spacing w:before="0" w:after="0"/>
              <w:rPr>
                <w:b w:val="false"/>
                <w:bCs/>
              </w:rPr>
            </w:pPr>
            <w:r>
              <w:rPr>
                <w:b w:val="false"/>
                <w:bCs/>
                <w:kern w:val="0"/>
                <w:lang w:val="en-US" w:eastAsia="en-US" w:bidi="ar-SA"/>
              </w:rPr>
            </w:r>
          </w:p>
        </w:tc>
        <w:tc>
          <w:tcPr>
            <w:tcW w:w="5527" w:type="dxa"/>
            <w:tcBorders/>
          </w:tcPr>
          <w:p>
            <w:pPr>
              <w:pStyle w:val="TableText"/>
              <w:widowControl w:val="false"/>
              <w:suppressAutoHyphens w:val="true"/>
              <w:spacing w:before="0" w:after="0"/>
              <w:jc w:val="both"/>
              <w:rPr>
                <w:b/>
                <w:bCs/>
                <w:color w:themeColor="text1" w:val="000000"/>
                <w:lang w:val="en-GB"/>
              </w:rPr>
            </w:pPr>
            <w:r>
              <w:rPr>
                <w:rFonts w:eastAsia="Calibri"/>
                <w:b/>
                <w:bCs/>
                <w:color w:themeColor="text1" w:val="000000"/>
                <w:kern w:val="0"/>
                <w:sz w:val="22"/>
                <w:szCs w:val="22"/>
                <w:lang w:val="en-GB" w:eastAsia="en-US" w:bidi="ar-SA"/>
              </w:rPr>
              <w:t>NOC submission</w:t>
            </w:r>
          </w:p>
          <w:p>
            <w:pPr>
              <w:pStyle w:val="TableText"/>
              <w:widowControl w:val="false"/>
              <w:suppressAutoHyphens w:val="true"/>
              <w:spacing w:before="0" w:after="0"/>
              <w:jc w:val="both"/>
              <w:rPr>
                <w:color w:themeColor="text1" w:val="000000"/>
                <w:u w:val="single"/>
              </w:rPr>
            </w:pPr>
            <w:r>
              <w:rPr>
                <w:rFonts w:eastAsia="Calibri"/>
                <w:color w:themeColor="text1" w:val="000000"/>
                <w:kern w:val="0"/>
                <w:sz w:val="22"/>
                <w:szCs w:val="22"/>
                <w:u w:val="single"/>
                <w:lang w:val="en-US" w:eastAsia="en-US" w:bidi="ar-SA"/>
              </w:rPr>
              <w:t>Abu Dhabi:</w:t>
            </w:r>
          </w:p>
          <w:p>
            <w:pPr>
              <w:pStyle w:val="TableText"/>
              <w:widowControl w:val="false"/>
              <w:numPr>
                <w:ilvl w:val="0"/>
                <w:numId w:val="13"/>
              </w:numPr>
              <w:suppressAutoHyphens w:val="true"/>
              <w:spacing w:before="0" w:after="0"/>
              <w:jc w:val="both"/>
              <w:rPr>
                <w:color w:themeColor="text1" w:val="000000"/>
              </w:rPr>
            </w:pPr>
            <w:r>
              <w:rPr>
                <w:rFonts w:eastAsia="Calibri"/>
                <w:color w:themeColor="text1" w:val="000000"/>
                <w:kern w:val="0"/>
                <w:sz w:val="22"/>
                <w:szCs w:val="22"/>
                <w:lang w:val="en-US" w:eastAsia="en-US" w:bidi="ar-SA"/>
              </w:rPr>
              <w:t xml:space="preserve">All NOCs have been submitted through SMARTHUB portal. SEI to follow up for approval. Storm water and irrigation have been approved. </w:t>
            </w:r>
          </w:p>
          <w:p>
            <w:pPr>
              <w:pStyle w:val="TableText"/>
              <w:widowControl w:val="false"/>
              <w:numPr>
                <w:ilvl w:val="0"/>
                <w:numId w:val="13"/>
              </w:numPr>
              <w:suppressAutoHyphens w:val="true"/>
              <w:spacing w:lineRule="auto" w:line="259" w:before="0" w:after="0"/>
              <w:jc w:val="both"/>
              <w:rPr>
                <w:color w:themeColor="text1" w:val="000000"/>
              </w:rPr>
            </w:pPr>
            <w:r>
              <w:rPr>
                <w:rFonts w:eastAsia="Calibri"/>
                <w:color w:themeColor="text1" w:val="000000"/>
                <w:kern w:val="0"/>
                <w:sz w:val="22"/>
                <w:szCs w:val="22"/>
                <w:lang w:val="en-US" w:eastAsia="en-US" w:bidi="ar-SA"/>
              </w:rPr>
              <w:t xml:space="preserve">Street lighting commented by ADM. SEI has incorporated the comments and reshared with ADM. ADM has requested SEI to prepare a CRS for all disciplines. SEI to prepare. </w:t>
            </w:r>
          </w:p>
          <w:p>
            <w:pPr>
              <w:pStyle w:val="TableText"/>
              <w:widowControl w:val="false"/>
              <w:suppressAutoHyphens w:val="true"/>
              <w:spacing w:before="0" w:after="0"/>
              <w:jc w:val="both"/>
              <w:rPr>
                <w:color w:themeColor="text1" w:val="000000"/>
                <w:lang w:val="en-GB"/>
              </w:rPr>
            </w:pPr>
            <w:r>
              <w:rPr>
                <w:rFonts w:eastAsia="Calibri"/>
                <w:color w:themeColor="text1" w:val="000000"/>
                <w:kern w:val="0"/>
                <w:sz w:val="22"/>
                <w:szCs w:val="22"/>
                <w:u w:val="single"/>
                <w:lang w:val="en-US" w:eastAsia="en-US" w:bidi="ar-SA"/>
              </w:rPr>
              <w:t>Dubai</w:t>
            </w:r>
            <w:r>
              <w:rPr>
                <w:rFonts w:eastAsia="Calibri"/>
                <w:color w:themeColor="text1" w:val="000000"/>
                <w:kern w:val="0"/>
                <w:sz w:val="22"/>
                <w:szCs w:val="22"/>
                <w:lang w:val="en-US" w:eastAsia="en-US" w:bidi="ar-SA"/>
              </w:rPr>
              <w:t>:</w:t>
            </w:r>
          </w:p>
          <w:p>
            <w:pPr>
              <w:pStyle w:val="TableText"/>
              <w:widowControl w:val="false"/>
              <w:numPr>
                <w:ilvl w:val="0"/>
                <w:numId w:val="13"/>
              </w:numPr>
              <w:suppressAutoHyphens w:val="true"/>
              <w:spacing w:before="0" w:after="0"/>
              <w:jc w:val="both"/>
              <w:rPr>
                <w:color w:themeColor="text1" w:val="000000"/>
              </w:rPr>
            </w:pPr>
            <w:r>
              <w:rPr>
                <w:rFonts w:eastAsia="Calibri"/>
                <w:color w:themeColor="text1" w:val="000000"/>
                <w:kern w:val="0"/>
                <w:sz w:val="22"/>
                <w:szCs w:val="22"/>
                <w:lang w:val="en-US" w:eastAsia="en-US" w:bidi="ar-SA"/>
              </w:rPr>
              <w:t>It has been agreed with RTA and DEWA during the meeting held on 8</w:t>
            </w:r>
            <w:r>
              <w:rPr>
                <w:rFonts w:eastAsia="Calibri"/>
                <w:color w:themeColor="text1" w:val="000000"/>
                <w:kern w:val="0"/>
                <w:sz w:val="22"/>
                <w:szCs w:val="22"/>
                <w:vertAlign w:val="superscript"/>
                <w:lang w:val="en-US" w:eastAsia="en-US" w:bidi="ar-SA"/>
              </w:rPr>
              <w:t>th</w:t>
            </w:r>
            <w:r>
              <w:rPr>
                <w:rFonts w:eastAsia="Calibri"/>
                <w:color w:themeColor="text1" w:val="000000"/>
                <w:kern w:val="0"/>
                <w:sz w:val="22"/>
                <w:szCs w:val="22"/>
                <w:lang w:val="en-US" w:eastAsia="en-US" w:bidi="ar-SA"/>
              </w:rPr>
              <w:t xml:space="preserve"> May 2025, SEI to submit NOC 6, 7, 9, and 10. </w:t>
            </w:r>
          </w:p>
          <w:p>
            <w:pPr>
              <w:pStyle w:val="TableText"/>
              <w:widowControl w:val="false"/>
              <w:numPr>
                <w:ilvl w:val="0"/>
                <w:numId w:val="13"/>
              </w:numPr>
              <w:suppressAutoHyphens w:val="true"/>
              <w:spacing w:before="0" w:after="0"/>
              <w:jc w:val="both"/>
              <w:rPr>
                <w:color w:themeColor="text1" w:val="000000"/>
              </w:rPr>
            </w:pPr>
            <w:r>
              <w:rPr>
                <w:rFonts w:eastAsia="Calibri"/>
                <w:color w:themeColor="text1" w:val="000000"/>
                <w:kern w:val="0"/>
                <w:sz w:val="22"/>
                <w:szCs w:val="22"/>
                <w:lang w:val="en-US" w:eastAsia="en-US" w:bidi="ar-SA"/>
              </w:rPr>
              <w:t xml:space="preserve">NOC 7 and 9 (Launching shafts locations) have been submitted and rejected by RTA/ROW. </w:t>
            </w:r>
          </w:p>
          <w:p>
            <w:pPr>
              <w:pStyle w:val="TableText"/>
              <w:widowControl w:val="false"/>
              <w:numPr>
                <w:ilvl w:val="0"/>
                <w:numId w:val="13"/>
              </w:numPr>
              <w:suppressAutoHyphens w:val="true"/>
              <w:spacing w:lineRule="auto" w:line="259" w:before="0" w:after="0"/>
              <w:jc w:val="both"/>
              <w:rPr>
                <w:color w:themeColor="text1" w:val="000000"/>
              </w:rPr>
            </w:pPr>
            <w:r>
              <w:rPr>
                <w:rFonts w:eastAsia="Calibri"/>
                <w:color w:themeColor="text1" w:val="000000"/>
                <w:kern w:val="0"/>
                <w:sz w:val="22"/>
                <w:szCs w:val="22"/>
                <w:lang w:val="en-US" w:eastAsia="en-US" w:bidi="ar-SA"/>
              </w:rPr>
              <w:t>Meeting with DEWA is planned on 28</w:t>
            </w:r>
            <w:r>
              <w:rPr>
                <w:rFonts w:eastAsia="Calibri"/>
                <w:color w:themeColor="text1" w:val="000000"/>
                <w:kern w:val="0"/>
                <w:sz w:val="22"/>
                <w:szCs w:val="22"/>
                <w:vertAlign w:val="superscript"/>
                <w:lang w:val="en-US" w:eastAsia="en-US" w:bidi="ar-SA"/>
              </w:rPr>
              <w:t>th</w:t>
            </w:r>
            <w:r>
              <w:rPr>
                <w:rFonts w:eastAsia="Calibri"/>
                <w:color w:themeColor="text1" w:val="000000"/>
                <w:kern w:val="0"/>
                <w:sz w:val="22"/>
                <w:szCs w:val="22"/>
                <w:lang w:val="en-US" w:eastAsia="en-US" w:bidi="ar-SA"/>
              </w:rPr>
              <w:t xml:space="preserve"> May to discuss the NOC strategy. </w:t>
            </w:r>
          </w:p>
        </w:tc>
        <w:tc>
          <w:tcPr>
            <w:tcW w:w="850" w:type="dxa"/>
            <w:tcBorders/>
          </w:tcPr>
          <w:p>
            <w:pPr>
              <w:pStyle w:val="Normal"/>
              <w:widowControl/>
              <w:suppressAutoHyphens w:val="true"/>
              <w:spacing w:before="0" w:after="0"/>
              <w:jc w:val="center"/>
              <w:rPr>
                <w:rFonts w:eastAsia="Dubai" w:cs="Dubai"/>
                <w:sz w:val="22"/>
                <w:szCs w:val="22"/>
              </w:rPr>
            </w:pPr>
            <w:r>
              <w:rPr>
                <w:rFonts w:eastAsia="Dubai" w:cs="Dubai"/>
                <w:kern w:val="0"/>
                <w:sz w:val="22"/>
                <w:szCs w:val="22"/>
                <w:lang w:val="en-US" w:eastAsia="en-US" w:bidi="ar-SA"/>
              </w:rPr>
            </w:r>
          </w:p>
          <w:p>
            <w:pPr>
              <w:pStyle w:val="Normal"/>
              <w:widowControl/>
              <w:suppressAutoHyphens w:val="true"/>
              <w:spacing w:before="0" w:after="0"/>
              <w:jc w:val="center"/>
              <w:rPr>
                <w:rFonts w:eastAsia="Dubai" w:cs="Dubai"/>
                <w:sz w:val="22"/>
                <w:szCs w:val="22"/>
              </w:rPr>
            </w:pPr>
            <w:r>
              <w:rPr>
                <w:rFonts w:eastAsia="Dubai" w:cs="Dubai"/>
                <w:kern w:val="0"/>
                <w:sz w:val="22"/>
                <w:szCs w:val="22"/>
                <w:lang w:val="en-US" w:eastAsia="en-US" w:bidi="ar-SA"/>
              </w:rPr>
            </w:r>
          </w:p>
          <w:p>
            <w:pPr>
              <w:pStyle w:val="Normal"/>
              <w:widowControl/>
              <w:suppressAutoHyphens w:val="true"/>
              <w:spacing w:before="0" w:after="0"/>
              <w:jc w:val="center"/>
              <w:rPr>
                <w:rFonts w:eastAsia="Dubai" w:cs="Dubai"/>
                <w:sz w:val="22"/>
                <w:szCs w:val="22"/>
                <w:lang w:val="pt-PT"/>
              </w:rPr>
            </w:pPr>
            <w:r>
              <w:rPr>
                <w:rFonts w:eastAsia="Dubai" w:cs="Dubai"/>
                <w:kern w:val="0"/>
                <w:sz w:val="22"/>
                <w:szCs w:val="22"/>
                <w:lang w:val="pt-PT" w:eastAsia="en-US" w:bidi="ar-SA"/>
              </w:rPr>
              <w:t xml:space="preserve">Note </w:t>
            </w:r>
          </w:p>
          <w:p>
            <w:pPr>
              <w:pStyle w:val="Normal"/>
              <w:widowControl/>
              <w:suppressAutoHyphens w:val="true"/>
              <w:spacing w:before="0" w:after="0"/>
              <w:jc w:val="center"/>
              <w:rPr>
                <w:rFonts w:eastAsia="Dubai" w:cs="Dubai"/>
                <w:sz w:val="22"/>
                <w:szCs w:val="22"/>
                <w:lang w:val="pt-PT"/>
              </w:rPr>
            </w:pPr>
            <w:r>
              <w:rPr>
                <w:rFonts w:eastAsia="Dubai" w:cs="Dubai"/>
                <w:kern w:val="0"/>
                <w:sz w:val="22"/>
                <w:szCs w:val="22"/>
                <w:lang w:val="pt-PT" w:eastAsia="en-US" w:bidi="ar-SA"/>
              </w:rPr>
            </w:r>
          </w:p>
          <w:p>
            <w:pPr>
              <w:pStyle w:val="Normal"/>
              <w:widowControl/>
              <w:suppressAutoHyphens w:val="true"/>
              <w:spacing w:before="0" w:after="0"/>
              <w:jc w:val="center"/>
              <w:rPr>
                <w:rFonts w:eastAsia="Dubai" w:cs="Dubai"/>
                <w:sz w:val="22"/>
                <w:szCs w:val="22"/>
                <w:lang w:val="pt-BR"/>
              </w:rPr>
            </w:pPr>
            <w:r>
              <w:rPr>
                <w:rFonts w:eastAsia="Dubai" w:cs="Dubai"/>
                <w:kern w:val="0"/>
                <w:sz w:val="22"/>
                <w:szCs w:val="22"/>
                <w:lang w:val="pt-BR" w:eastAsia="en-US" w:bidi="ar-SA"/>
              </w:rPr>
            </w:r>
          </w:p>
          <w:p>
            <w:pPr>
              <w:pStyle w:val="Normal"/>
              <w:widowControl/>
              <w:suppressAutoHyphens w:val="true"/>
              <w:spacing w:before="0" w:after="0"/>
              <w:jc w:val="center"/>
              <w:rPr>
                <w:rFonts w:eastAsia="Dubai" w:cs="Dubai"/>
                <w:sz w:val="22"/>
                <w:szCs w:val="22"/>
                <w:lang w:val="pt-BR"/>
              </w:rPr>
            </w:pPr>
            <w:r>
              <w:rPr>
                <w:rFonts w:eastAsia="Dubai" w:cs="Dubai"/>
                <w:kern w:val="0"/>
                <w:sz w:val="22"/>
                <w:szCs w:val="22"/>
                <w:lang w:val="pt-BR" w:eastAsia="en-US" w:bidi="ar-SA"/>
              </w:rPr>
              <w:t>SEI</w:t>
            </w:r>
          </w:p>
          <w:p>
            <w:pPr>
              <w:pStyle w:val="Normal"/>
              <w:widowControl/>
              <w:suppressAutoHyphens w:val="true"/>
              <w:spacing w:before="0" w:after="0"/>
              <w:jc w:val="center"/>
              <w:rPr>
                <w:rFonts w:eastAsia="Dubai" w:cs="Dubai"/>
                <w:sz w:val="22"/>
                <w:szCs w:val="22"/>
                <w:lang w:val="pt-BR"/>
              </w:rPr>
            </w:pPr>
            <w:r>
              <w:rPr>
                <w:rFonts w:eastAsia="Dubai" w:cs="Dubai"/>
                <w:kern w:val="0"/>
                <w:sz w:val="22"/>
                <w:szCs w:val="22"/>
                <w:lang w:val="pt-BR" w:eastAsia="en-US" w:bidi="ar-SA"/>
              </w:rPr>
            </w:r>
          </w:p>
          <w:p>
            <w:pPr>
              <w:pStyle w:val="Normal"/>
              <w:widowControl/>
              <w:suppressAutoHyphens w:val="true"/>
              <w:spacing w:before="0" w:after="0"/>
              <w:jc w:val="center"/>
              <w:rPr>
                <w:rFonts w:eastAsia="Dubai" w:cs="Dubai"/>
                <w:sz w:val="22"/>
                <w:szCs w:val="22"/>
                <w:lang w:val="pt-BR"/>
              </w:rPr>
            </w:pPr>
            <w:r>
              <w:rPr>
                <w:rFonts w:eastAsia="Dubai" w:cs="Dubai"/>
                <w:kern w:val="0"/>
                <w:sz w:val="22"/>
                <w:szCs w:val="22"/>
                <w:lang w:val="pt-BR" w:eastAsia="en-US" w:bidi="ar-SA"/>
              </w:rPr>
            </w:r>
          </w:p>
          <w:p>
            <w:pPr>
              <w:pStyle w:val="Normal"/>
              <w:widowControl/>
              <w:suppressAutoHyphens w:val="true"/>
              <w:spacing w:before="0" w:after="0"/>
              <w:jc w:val="center"/>
              <w:rPr>
                <w:rFonts w:eastAsia="Dubai" w:cs="Dubai"/>
                <w:sz w:val="22"/>
                <w:szCs w:val="22"/>
                <w:lang w:val="pt-BR"/>
              </w:rPr>
            </w:pPr>
            <w:r>
              <w:rPr>
                <w:rFonts w:eastAsia="Dubai" w:cs="Dubai"/>
                <w:kern w:val="0"/>
                <w:sz w:val="22"/>
                <w:szCs w:val="22"/>
                <w:lang w:val="pt-BR" w:eastAsia="en-US" w:bidi="ar-SA"/>
              </w:rPr>
            </w:r>
          </w:p>
          <w:p>
            <w:pPr>
              <w:pStyle w:val="Normal"/>
              <w:widowControl/>
              <w:suppressAutoHyphens w:val="true"/>
              <w:spacing w:before="0" w:after="0"/>
              <w:jc w:val="center"/>
              <w:rPr>
                <w:rFonts w:eastAsia="Dubai" w:cs="Dubai"/>
                <w:sz w:val="22"/>
                <w:szCs w:val="22"/>
                <w:lang w:val="pt-BR"/>
              </w:rPr>
            </w:pPr>
            <w:r>
              <w:rPr>
                <w:rFonts w:eastAsia="Dubai" w:cs="Dubai"/>
                <w:kern w:val="0"/>
                <w:sz w:val="22"/>
                <w:szCs w:val="22"/>
                <w:lang w:val="pt-BR" w:eastAsia="en-US" w:bidi="ar-SA"/>
              </w:rPr>
            </w:r>
          </w:p>
          <w:p>
            <w:pPr>
              <w:pStyle w:val="Normal"/>
              <w:widowControl/>
              <w:suppressAutoHyphens w:val="true"/>
              <w:spacing w:before="0" w:after="0"/>
              <w:jc w:val="center"/>
              <w:rPr>
                <w:rFonts w:eastAsia="Dubai" w:cs="Dubai"/>
                <w:sz w:val="22"/>
                <w:szCs w:val="22"/>
                <w:lang w:val="pt-BR"/>
              </w:rPr>
            </w:pPr>
            <w:r>
              <w:rPr>
                <w:rFonts w:eastAsia="Dubai" w:cs="Dubai"/>
                <w:kern w:val="0"/>
                <w:sz w:val="22"/>
                <w:szCs w:val="22"/>
                <w:lang w:val="pt-BR" w:eastAsia="en-US" w:bidi="ar-SA"/>
              </w:rPr>
            </w:r>
          </w:p>
          <w:p>
            <w:pPr>
              <w:pStyle w:val="Normal"/>
              <w:widowControl/>
              <w:suppressAutoHyphens w:val="true"/>
              <w:spacing w:before="0" w:after="0"/>
              <w:jc w:val="center"/>
              <w:rPr>
                <w:rFonts w:eastAsia="Dubai" w:cs="Dubai"/>
                <w:sz w:val="22"/>
                <w:szCs w:val="22"/>
                <w:lang w:val="pt-BR"/>
              </w:rPr>
            </w:pPr>
            <w:r>
              <w:rPr>
                <w:rFonts w:eastAsia="Dubai" w:cs="Dubai"/>
                <w:kern w:val="0"/>
                <w:sz w:val="22"/>
                <w:szCs w:val="22"/>
                <w:lang w:val="pt-BR" w:eastAsia="en-US" w:bidi="ar-SA"/>
              </w:rPr>
              <w:t>Note</w:t>
            </w:r>
          </w:p>
          <w:p>
            <w:pPr>
              <w:pStyle w:val="Normal"/>
              <w:widowControl/>
              <w:suppressAutoHyphens w:val="true"/>
              <w:spacing w:before="0" w:after="0"/>
              <w:jc w:val="center"/>
              <w:rPr>
                <w:rFonts w:eastAsia="Dubai" w:cs="Dubai"/>
                <w:sz w:val="22"/>
                <w:szCs w:val="22"/>
                <w:lang w:val="pt-BR"/>
              </w:rPr>
            </w:pPr>
            <w:r>
              <w:rPr>
                <w:rFonts w:eastAsia="Dubai" w:cs="Dubai"/>
                <w:kern w:val="0"/>
                <w:sz w:val="22"/>
                <w:szCs w:val="22"/>
                <w:lang w:val="pt-BR" w:eastAsia="en-US" w:bidi="ar-SA"/>
              </w:rPr>
            </w:r>
          </w:p>
          <w:p>
            <w:pPr>
              <w:pStyle w:val="Normal"/>
              <w:widowControl/>
              <w:suppressAutoHyphens w:val="true"/>
              <w:spacing w:before="0" w:after="0"/>
              <w:jc w:val="center"/>
              <w:rPr>
                <w:rFonts w:eastAsia="Dubai" w:cs="Dubai"/>
                <w:sz w:val="22"/>
                <w:szCs w:val="22"/>
                <w:lang w:val="pt-BR"/>
              </w:rPr>
            </w:pPr>
            <w:r>
              <w:rPr>
                <w:rFonts w:eastAsia="Dubai" w:cs="Dubai"/>
                <w:kern w:val="0"/>
                <w:sz w:val="22"/>
                <w:szCs w:val="22"/>
                <w:lang w:val="pt-BR" w:eastAsia="en-US" w:bidi="ar-SA"/>
              </w:rPr>
            </w:r>
          </w:p>
          <w:p>
            <w:pPr>
              <w:pStyle w:val="Normal"/>
              <w:widowControl/>
              <w:suppressAutoHyphens w:val="true"/>
              <w:spacing w:before="0" w:after="0"/>
              <w:jc w:val="center"/>
              <w:rPr>
                <w:rFonts w:eastAsia="Dubai" w:cs="Dubai"/>
                <w:sz w:val="22"/>
                <w:szCs w:val="22"/>
                <w:lang w:val="pt-BR"/>
              </w:rPr>
            </w:pPr>
            <w:r>
              <w:rPr>
                <w:rFonts w:eastAsia="Dubai" w:cs="Dubai"/>
                <w:kern w:val="0"/>
                <w:sz w:val="22"/>
                <w:szCs w:val="22"/>
                <w:lang w:val="pt-BR" w:eastAsia="en-US" w:bidi="ar-SA"/>
              </w:rPr>
              <w:t>Note</w:t>
            </w:r>
          </w:p>
          <w:p>
            <w:pPr>
              <w:pStyle w:val="Normal"/>
              <w:widowControl/>
              <w:suppressAutoHyphens w:val="true"/>
              <w:spacing w:before="0" w:after="0"/>
              <w:jc w:val="center"/>
              <w:rPr>
                <w:rFonts w:eastAsia="Dubai" w:cs="Dubai"/>
                <w:sz w:val="22"/>
                <w:szCs w:val="22"/>
                <w:lang w:val="pt-BR"/>
              </w:rPr>
            </w:pPr>
            <w:r>
              <w:rPr>
                <w:rFonts w:eastAsia="Dubai" w:cs="Dubai"/>
                <w:kern w:val="0"/>
                <w:sz w:val="22"/>
                <w:szCs w:val="22"/>
                <w:lang w:val="pt-BR" w:eastAsia="en-US" w:bidi="ar-SA"/>
              </w:rPr>
            </w:r>
          </w:p>
          <w:p>
            <w:pPr>
              <w:pStyle w:val="Normal"/>
              <w:widowControl/>
              <w:suppressAutoHyphens w:val="true"/>
              <w:spacing w:before="0" w:after="0"/>
              <w:jc w:val="center"/>
              <w:rPr>
                <w:rFonts w:eastAsia="Dubai" w:cs="Dubai"/>
                <w:sz w:val="22"/>
                <w:szCs w:val="22"/>
                <w:lang w:val="pt-BR"/>
              </w:rPr>
            </w:pPr>
            <w:r>
              <w:rPr>
                <w:rFonts w:eastAsia="Dubai" w:cs="Dubai"/>
                <w:kern w:val="0"/>
                <w:sz w:val="22"/>
                <w:szCs w:val="22"/>
                <w:lang w:val="pt-BR" w:eastAsia="en-US" w:bidi="ar-SA"/>
              </w:rPr>
              <w:t>Note</w:t>
            </w:r>
          </w:p>
          <w:p>
            <w:pPr>
              <w:pStyle w:val="Normal"/>
              <w:widowControl/>
              <w:suppressAutoHyphens w:val="true"/>
              <w:spacing w:before="0" w:after="0"/>
              <w:jc w:val="center"/>
              <w:rPr>
                <w:rFonts w:eastAsia="Dubai" w:cs="Dubai"/>
                <w:sz w:val="22"/>
                <w:szCs w:val="22"/>
                <w:lang w:val="pt-BR"/>
              </w:rPr>
            </w:pPr>
            <w:r>
              <w:rPr>
                <w:rFonts w:eastAsia="Dubai" w:cs="Dubai"/>
                <w:kern w:val="0"/>
                <w:sz w:val="22"/>
                <w:szCs w:val="22"/>
                <w:lang w:val="pt-BR" w:eastAsia="en-US" w:bidi="ar-SA"/>
              </w:rPr>
            </w:r>
          </w:p>
        </w:tc>
        <w:tc>
          <w:tcPr>
            <w:tcW w:w="1278" w:type="dxa"/>
            <w:tcBorders/>
          </w:tcPr>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30/05/25</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start"/>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start"/>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start"/>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start"/>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start"/>
              <w:rPr>
                <w:color w:themeColor="text1" w:val="000000"/>
                <w:lang w:val="pt-BR"/>
              </w:rPr>
            </w:pPr>
            <w:r>
              <w:rPr>
                <w:rFonts w:eastAsia="Calibri"/>
                <w:color w:themeColor="text1" w:val="000000"/>
                <w:kern w:val="0"/>
                <w:sz w:val="22"/>
                <w:szCs w:val="22"/>
                <w:lang w:val="pt-BR" w:eastAsia="en-US" w:bidi="ar-SA"/>
              </w:rPr>
            </w:r>
          </w:p>
        </w:tc>
      </w:tr>
      <w:tr>
        <w:trPr>
          <w:trHeight w:val="300" w:hRule="atLeast"/>
        </w:trPr>
        <w:tc>
          <w:tcPr>
            <w:tcW w:w="1400" w:type="dxa"/>
            <w:vMerge w:val="continue"/>
            <w:tcBorders/>
            <w:vAlign w:val="center"/>
          </w:tcPr>
          <w:p>
            <w:pPr>
              <w:pStyle w:val="TableHeader"/>
              <w:widowControl w:val="false"/>
              <w:suppressAutoHyphens w:val="true"/>
              <w:spacing w:before="0" w:after="0"/>
              <w:rPr>
                <w:kern w:val="0"/>
                <w:lang w:val="en-US" w:eastAsia="en-US" w:bidi="ar-SA"/>
              </w:rPr>
            </w:pPr>
            <w:r>
              <w:rPr>
                <w:kern w:val="0"/>
                <w:lang w:val="en-US" w:eastAsia="en-US" w:bidi="ar-SA"/>
              </w:rPr>
            </w:r>
          </w:p>
        </w:tc>
        <w:tc>
          <w:tcPr>
            <w:tcW w:w="1871" w:type="dxa"/>
            <w:vMerge w:val="continue"/>
            <w:tcBorders/>
            <w:vAlign w:val="center"/>
          </w:tcPr>
          <w:p>
            <w:pPr>
              <w:pStyle w:val="TableHeader"/>
              <w:widowControl w:val="false"/>
              <w:suppressAutoHyphens w:val="true"/>
              <w:spacing w:before="0" w:after="0"/>
              <w:rPr>
                <w:b w:val="false"/>
                <w:bCs/>
              </w:rPr>
            </w:pPr>
            <w:r>
              <w:rPr>
                <w:b w:val="false"/>
                <w:bCs/>
                <w:kern w:val="0"/>
                <w:lang w:val="en-US" w:eastAsia="en-US" w:bidi="ar-SA"/>
              </w:rPr>
            </w:r>
          </w:p>
        </w:tc>
        <w:tc>
          <w:tcPr>
            <w:tcW w:w="5527" w:type="dxa"/>
            <w:tcBorders/>
          </w:tcPr>
          <w:p>
            <w:pPr>
              <w:pStyle w:val="TableText"/>
              <w:widowControl w:val="false"/>
              <w:suppressAutoHyphens w:val="true"/>
              <w:spacing w:before="0" w:after="0"/>
              <w:jc w:val="both"/>
              <w:rPr>
                <w:b/>
                <w:color w:themeColor="text1" w:val="000000"/>
                <w:lang w:val="en-GB"/>
              </w:rPr>
            </w:pPr>
            <w:r>
              <w:rPr>
                <w:rFonts w:eastAsia="Calibri"/>
                <w:b/>
                <w:color w:themeColor="text1" w:val="000000"/>
                <w:kern w:val="0"/>
                <w:sz w:val="22"/>
                <w:szCs w:val="22"/>
                <w:lang w:val="en-GB" w:eastAsia="en-US" w:bidi="ar-SA"/>
              </w:rPr>
              <w:t>Transport Infrastructure Plan (TIP) Submissions</w:t>
            </w:r>
          </w:p>
          <w:p>
            <w:pPr>
              <w:pStyle w:val="Normal"/>
              <w:widowControl/>
              <w:suppressAutoHyphens w:val="true"/>
              <w:spacing w:before="0" w:after="0"/>
              <w:jc w:val="start"/>
              <w:rPr>
                <w:sz w:val="22"/>
                <w:szCs w:val="22"/>
                <w:lang w:val="en-GB"/>
              </w:rPr>
            </w:pPr>
            <w:r>
              <w:rPr>
                <w:rFonts w:eastAsia="Arial" w:cs="Dubai"/>
                <w:kern w:val="0"/>
                <w:sz w:val="22"/>
                <w:szCs w:val="22"/>
                <w:lang w:val="en-GB" w:eastAsia="en-US" w:bidi="ar-SA"/>
              </w:rPr>
              <w:t>-</w:t>
            </w:r>
            <w:r>
              <w:rPr>
                <w:kern w:val="0"/>
                <w:sz w:val="22"/>
                <w:szCs w:val="22"/>
                <w:lang w:val="en-GB" w:eastAsia="en-US" w:bidi="ar-SA"/>
              </w:rPr>
              <w:t>The drawings for TIP Package 9 were submitted in CAD format to ITC FTP site, in response to request from ITC.</w:t>
            </w:r>
          </w:p>
          <w:p>
            <w:pPr>
              <w:pStyle w:val="Normal"/>
              <w:widowControl/>
              <w:suppressAutoHyphens w:val="true"/>
              <w:spacing w:before="0" w:after="0"/>
              <w:jc w:val="start"/>
              <w:rPr>
                <w:sz w:val="22"/>
                <w:szCs w:val="22"/>
                <w:lang w:val="en-GB"/>
              </w:rPr>
            </w:pPr>
            <w:r>
              <w:rPr>
                <w:rFonts w:eastAsia="Arial" w:cs="Dubai"/>
                <w:kern w:val="0"/>
                <w:sz w:val="22"/>
                <w:szCs w:val="22"/>
                <w:lang w:val="en-GB" w:eastAsia="en-US" w:bidi="ar-SA"/>
              </w:rPr>
              <w:t>-</w:t>
            </w:r>
            <w:r>
              <w:rPr>
                <w:kern w:val="0"/>
                <w:sz w:val="22"/>
                <w:szCs w:val="22"/>
                <w:lang w:val="en-GB" w:eastAsia="en-US" w:bidi="ar-SA"/>
              </w:rPr>
              <w:t xml:space="preserve">Comments on </w:t>
            </w:r>
            <w:r>
              <w:rPr>
                <w:kern w:val="0"/>
                <w:sz w:val="22"/>
                <w:szCs w:val="22"/>
                <w:lang w:val="en-AE" w:eastAsia="en-US" w:bidi="ar-SA"/>
              </w:rPr>
              <w:t xml:space="preserve">Packages 2 &amp; 8 </w:t>
            </w:r>
            <w:r>
              <w:rPr>
                <w:kern w:val="0"/>
                <w:sz w:val="22"/>
                <w:szCs w:val="22"/>
                <w:lang w:val="en-GB" w:eastAsia="en-US" w:bidi="ar-SA"/>
              </w:rPr>
              <w:t>TIP drawings are being addressed and incorporated.</w:t>
            </w:r>
          </w:p>
          <w:p>
            <w:pPr>
              <w:pStyle w:val="Normal"/>
              <w:widowControl/>
              <w:suppressAutoHyphens w:val="true"/>
              <w:spacing w:before="0" w:after="0"/>
              <w:jc w:val="start"/>
              <w:rPr>
                <w:lang w:val="en-GB"/>
              </w:rPr>
            </w:pPr>
            <w:r>
              <w:rPr>
                <w:rFonts w:eastAsia="Arial" w:cs="Dubai"/>
                <w:kern w:val="0"/>
                <w:sz w:val="22"/>
                <w:szCs w:val="22"/>
                <w:lang w:val="en-GB" w:eastAsia="en-US" w:bidi="ar-SA"/>
              </w:rPr>
              <w:t>-</w:t>
            </w:r>
            <w:r>
              <w:rPr>
                <w:kern w:val="0"/>
                <w:sz w:val="22"/>
                <w:szCs w:val="22"/>
                <w:lang w:val="en-GB" w:eastAsia="en-US" w:bidi="ar-SA"/>
              </w:rPr>
              <w:t xml:space="preserve">Package 6 TIP was submitted to ITC and shared with the road safety audit consultant company 4e. </w:t>
            </w:r>
          </w:p>
          <w:p>
            <w:pPr>
              <w:pStyle w:val="Normal"/>
              <w:widowControl/>
              <w:suppressAutoHyphens w:val="true"/>
              <w:spacing w:before="0" w:after="0"/>
              <w:jc w:val="start"/>
              <w:rPr>
                <w:sz w:val="22"/>
                <w:szCs w:val="22"/>
                <w:lang w:val="en-GB"/>
              </w:rPr>
            </w:pPr>
            <w:r>
              <w:rPr>
                <w:kern w:val="0"/>
                <w:sz w:val="22"/>
                <w:szCs w:val="22"/>
                <w:lang w:val="en-GB" w:eastAsia="en-US" w:bidi="ar-SA"/>
              </w:rPr>
              <w:t>Drawings for two options of lane addition (6</w:t>
            </w:r>
            <w:r>
              <w:rPr>
                <w:kern w:val="0"/>
                <w:sz w:val="22"/>
                <w:szCs w:val="22"/>
                <w:vertAlign w:val="superscript"/>
                <w:lang w:val="en-GB" w:eastAsia="en-US" w:bidi="ar-SA"/>
              </w:rPr>
              <w:t>th</w:t>
            </w:r>
            <w:r>
              <w:rPr>
                <w:kern w:val="0"/>
                <w:sz w:val="22"/>
                <w:szCs w:val="22"/>
                <w:lang w:val="en-GB" w:eastAsia="en-US" w:bidi="ar-SA"/>
              </w:rPr>
              <w:t xml:space="preserve"> lane) through Yas, submitted to ER and then to ITC. One option compliant (with 3m shoulders) showing westerly Yas Mall ramp bridge and two bridges on Al Ibreeq Street will have to be demolished, the other option showing shoulder narrowing to 1.2m where necessary to avoid any demolition. ER confirmed that we will not be doing STIP for 5 lanes.</w:t>
            </w:r>
          </w:p>
          <w:p>
            <w:pPr>
              <w:pStyle w:val="Normal"/>
              <w:widowControl/>
              <w:suppressAutoHyphens w:val="true"/>
              <w:spacing w:before="0" w:after="0"/>
              <w:jc w:val="start"/>
              <w:rPr>
                <w:sz w:val="22"/>
                <w:szCs w:val="22"/>
                <w:lang w:val="en-GB"/>
              </w:rPr>
            </w:pPr>
            <w:r>
              <w:rPr>
                <w:kern w:val="0"/>
                <w:sz w:val="22"/>
                <w:szCs w:val="22"/>
                <w:lang w:val="en-GB" w:eastAsia="en-US" w:bidi="ar-SA"/>
              </w:rPr>
              <w:t>Specialist road safety auditor with rail experience not brought on board. SEI have reached out to the following organizations for ISA:</w:t>
            </w:r>
          </w:p>
          <w:p>
            <w:pPr>
              <w:pStyle w:val="Normal"/>
              <w:widowControl/>
              <w:suppressAutoHyphens w:val="true"/>
              <w:spacing w:before="0" w:after="0"/>
              <w:jc w:val="start"/>
              <w:rPr>
                <w:lang w:val="en-GB"/>
              </w:rPr>
            </w:pPr>
            <w:r>
              <w:rPr>
                <w:kern w:val="0"/>
                <w:lang w:val="en-GB" w:eastAsia="en-US" w:bidi="ar-SA"/>
              </w:rPr>
              <w:t xml:space="preserve">Ricardo Rail, TÜV SÜD, Hill International, </w:t>
            </w:r>
            <w:r>
              <w:rPr>
                <w:kern w:val="0"/>
                <w:lang w:val="en-US" w:eastAsia="en-US" w:bidi="ar-SA"/>
              </w:rPr>
              <w:t>TÜV NORD GROUP, Rina, BUREAU VERITAS India</w:t>
            </w:r>
          </w:p>
          <w:p>
            <w:pPr>
              <w:pStyle w:val="Normal"/>
              <w:widowControl/>
              <w:suppressAutoHyphens w:val="true"/>
              <w:spacing w:before="0" w:after="0"/>
              <w:jc w:val="start"/>
              <w:rPr>
                <w:sz w:val="22"/>
                <w:szCs w:val="22"/>
                <w:lang w:val="en-GB"/>
              </w:rPr>
            </w:pPr>
            <w:r>
              <w:rPr>
                <w:kern w:val="0"/>
                <w:sz w:val="22"/>
                <w:szCs w:val="22"/>
                <w:lang w:val="en-GB" w:eastAsia="en-US" w:bidi="ar-SA"/>
              </w:rPr>
              <w:t>Package 5 STIP Methodology Report under preparation.</w:t>
            </w:r>
          </w:p>
          <w:p>
            <w:pPr>
              <w:pStyle w:val="TableText"/>
              <w:widowControl w:val="false"/>
              <w:suppressAutoHyphens w:val="true"/>
              <w:spacing w:before="0" w:after="0"/>
              <w:jc w:val="both"/>
              <w:rPr>
                <w:lang w:val="en-GB"/>
              </w:rPr>
            </w:pPr>
            <w:r>
              <w:rPr>
                <w:rFonts w:eastAsia="Arial"/>
                <w:kern w:val="0"/>
                <w:sz w:val="22"/>
                <w:szCs w:val="22"/>
                <w:lang w:val="en-GB" w:eastAsia="en-US" w:bidi="ar-SA"/>
              </w:rPr>
              <w:t>-</w:t>
            </w:r>
            <w:r>
              <w:rPr>
                <w:rFonts w:eastAsia="Calibri"/>
                <w:kern w:val="0"/>
                <w:sz w:val="22"/>
                <w:szCs w:val="22"/>
                <w:lang w:val="en-GB" w:eastAsia="en-US" w:bidi="ar-SA"/>
              </w:rPr>
              <w:t>Circulation plans for technical (on-line) buildings are WIP.</w:t>
            </w:r>
          </w:p>
        </w:tc>
        <w:tc>
          <w:tcPr>
            <w:tcW w:w="850" w:type="dxa"/>
            <w:tcBorders/>
          </w:tcPr>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tc>
        <w:tc>
          <w:tcPr>
            <w:tcW w:w="1278" w:type="dxa"/>
            <w:tcBorders/>
          </w:tcPr>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tc>
      </w:tr>
      <w:tr>
        <w:trPr>
          <w:trHeight w:val="3744" w:hRule="atLeast"/>
        </w:trPr>
        <w:tc>
          <w:tcPr>
            <w:tcW w:w="1400" w:type="dxa"/>
            <w:vMerge w:val="restart"/>
            <w:tcBorders/>
            <w:vAlign w:val="center"/>
          </w:tcPr>
          <w:p>
            <w:pPr>
              <w:pStyle w:val="TableLineNumbering"/>
              <w:widowControl w:val="false"/>
              <w:numPr>
                <w:ilvl w:val="0"/>
                <w:numId w:val="0"/>
              </w:numPr>
              <w:suppressAutoHyphens w:val="true"/>
              <w:spacing w:before="0" w:after="0"/>
              <w:ind w:hanging="360" w:start="360"/>
              <w:jc w:val="start"/>
              <w:rPr>
                <w:kern w:val="0"/>
                <w:lang w:val="en-US" w:eastAsia="en-US" w:bidi="ar-SA"/>
              </w:rPr>
            </w:pPr>
            <w:r>
              <w:rPr>
                <w:kern w:val="0"/>
                <w:lang w:val="en-US" w:eastAsia="en-US" w:bidi="ar-SA"/>
              </w:rPr>
              <w:t>2.</w:t>
            </w:r>
          </w:p>
        </w:tc>
        <w:tc>
          <w:tcPr>
            <w:tcW w:w="1871" w:type="dxa"/>
            <w:vMerge w:val="restart"/>
            <w:tcBorders/>
            <w:vAlign w:val="center"/>
          </w:tcPr>
          <w:p>
            <w:pPr>
              <w:pStyle w:val="TableText"/>
              <w:widowControl w:val="false"/>
              <w:suppressAutoHyphens w:val="true"/>
              <w:spacing w:before="0" w:after="0"/>
              <w:jc w:val="start"/>
              <w:rPr>
                <w:bCs/>
              </w:rPr>
            </w:pPr>
            <w:r>
              <w:rPr>
                <w:rFonts w:eastAsia="Calibri"/>
                <w:caps/>
                <w:kern w:val="0"/>
                <w:sz w:val="22"/>
                <w:szCs w:val="22"/>
                <w:lang w:val="en-GB" w:eastAsia="en-US" w:bidi="ar-SA"/>
              </w:rPr>
              <w:t>TRANSPORT MODEL / PLANNING</w:t>
            </w:r>
          </w:p>
        </w:tc>
        <w:tc>
          <w:tcPr>
            <w:tcW w:w="5527" w:type="dxa"/>
            <w:tcBorders/>
          </w:tcPr>
          <w:p>
            <w:pPr>
              <w:pStyle w:val="TableText"/>
              <w:widowControl w:val="false"/>
              <w:suppressAutoHyphens w:val="true"/>
              <w:spacing w:before="0" w:after="0"/>
              <w:jc w:val="both"/>
              <w:rPr>
                <w:rFonts w:eastAsia="Dubai"/>
                <w:b/>
                <w:bCs/>
                <w:lang w:val="en-GB"/>
              </w:rPr>
            </w:pPr>
            <w:r>
              <w:rPr>
                <w:rFonts w:eastAsia="Dubai"/>
                <w:b/>
                <w:bCs/>
                <w:kern w:val="0"/>
                <w:sz w:val="22"/>
                <w:szCs w:val="22"/>
                <w:lang w:val="en-GB" w:eastAsia="en-US" w:bidi="ar-SA"/>
              </w:rPr>
              <w:t>TIS at Stations:  Abu Dhabi </w:t>
            </w:r>
          </w:p>
          <w:p>
            <w:pPr>
              <w:pStyle w:val="TableText"/>
              <w:widowControl w:val="false"/>
              <w:suppressAutoHyphens w:val="true"/>
              <w:spacing w:before="0" w:after="0"/>
              <w:jc w:val="both"/>
              <w:rPr>
                <w:rFonts w:eastAsia="Dubai"/>
                <w:lang w:val="en-GB"/>
              </w:rPr>
            </w:pPr>
            <w:r>
              <w:rPr>
                <w:rFonts w:eastAsia="Dubai"/>
                <w:kern w:val="0"/>
                <w:sz w:val="22"/>
                <w:szCs w:val="22"/>
                <w:lang w:val="en-GB" w:eastAsia="en-US" w:bidi="ar-SA"/>
              </w:rPr>
              <w:t xml:space="preserve">14/05: Meeting with ITC Studies’ Team to present stations’ concept layouts and get preliminary feedback. </w:t>
            </w:r>
          </w:p>
          <w:p>
            <w:pPr>
              <w:pStyle w:val="TableText"/>
              <w:widowControl w:val="false"/>
              <w:suppressAutoHyphens w:val="true"/>
              <w:spacing w:before="0" w:after="0"/>
              <w:jc w:val="both"/>
              <w:rPr>
                <w:rFonts w:eastAsia="Dubai"/>
                <w:lang w:val="en-GB"/>
              </w:rPr>
            </w:pPr>
            <w:r>
              <w:rPr>
                <w:rFonts w:eastAsia="Dubai"/>
                <w:kern w:val="0"/>
                <w:sz w:val="22"/>
                <w:szCs w:val="22"/>
                <w:lang w:val="en-GB" w:eastAsia="en-US" w:bidi="ar-SA"/>
              </w:rPr>
              <w:t xml:space="preserve">SEI presented the AUH station layout and suggested proceeding using worst-case ridership assumptions, but ITC clarified that no </w:t>
            </w:r>
            <w:r>
              <w:rPr>
                <w:rFonts w:eastAsia="" w:cs="Arial" w:ascii="Calibri" w:hAnsi="Calibri" w:asciiTheme="minorHAnsi" w:cstheme="minorBidi" w:eastAsiaTheme="minorEastAsia" w:hAnsiTheme="minorHAnsi"/>
                <w:kern w:val="0"/>
                <w:sz w:val="22"/>
                <w:szCs w:val="22"/>
                <w:lang w:val="en-GB" w:eastAsia="en-US" w:bidi="ar-SA"/>
              </w:rPr>
              <w:t>feedback or approvals could be given until the STEAM model is finalized.</w:t>
            </w:r>
          </w:p>
          <w:p>
            <w:pPr>
              <w:pStyle w:val="TableText"/>
              <w:widowControl w:val="false"/>
              <w:suppressAutoHyphens w:val="true"/>
              <w:spacing w:before="0" w:after="0"/>
              <w:jc w:val="both"/>
              <w:rPr>
                <w:rFonts w:eastAsia="Dubai"/>
                <w:b/>
                <w:bCs/>
                <w:lang w:val="en-GB"/>
              </w:rPr>
            </w:pPr>
            <w:r>
              <w:rPr>
                <w:rFonts w:eastAsia="Dubai"/>
                <w:kern w:val="0"/>
                <w:sz w:val="22"/>
                <w:szCs w:val="22"/>
                <w:lang w:val="en-GB" w:eastAsia="en-US" w:bidi="ar-SA"/>
              </w:rPr>
              <w:t>ITC stated that the TISs for ADT and ADS</w:t>
            </w:r>
            <w:r>
              <w:rPr>
                <w:rFonts w:eastAsia="" w:cs="Arial" w:ascii="Calibri" w:hAnsi="Calibri" w:asciiTheme="minorHAnsi" w:cstheme="minorBidi" w:eastAsiaTheme="minorEastAsia" w:hAnsiTheme="minorHAnsi"/>
                <w:kern w:val="0"/>
                <w:sz w:val="22"/>
                <w:szCs w:val="22"/>
                <w:lang w:val="en-US" w:eastAsia="en-US" w:bidi="ar-SA"/>
              </w:rPr>
              <w:t xml:space="preserve"> could be done internally, but ITC would not engage on them nor review them unless they become a reality.</w:t>
            </w:r>
          </w:p>
        </w:tc>
        <w:tc>
          <w:tcPr>
            <w:tcW w:w="850" w:type="dxa"/>
            <w:tcBorders/>
          </w:tcPr>
          <w:p>
            <w:pPr>
              <w:pStyle w:val="Normal"/>
              <w:widowControl/>
              <w:suppressAutoHyphens w:val="true"/>
              <w:spacing w:before="0" w:after="0"/>
              <w:jc w:val="center"/>
              <w:rPr>
                <w:rFonts w:eastAsia="Dubai"/>
                <w:sz w:val="22"/>
                <w:szCs w:val="22"/>
              </w:rPr>
            </w:pPr>
            <w:r>
              <w:rPr>
                <w:rFonts w:eastAsia="Dubai"/>
                <w:kern w:val="0"/>
                <w:sz w:val="22"/>
                <w:szCs w:val="22"/>
                <w:lang w:val="en-US" w:eastAsia="en-US" w:bidi="ar-SA"/>
              </w:rPr>
            </w:r>
          </w:p>
        </w:tc>
        <w:tc>
          <w:tcPr>
            <w:tcW w:w="1278" w:type="dxa"/>
            <w:tcBorders/>
          </w:tcPr>
          <w:p>
            <w:pPr>
              <w:pStyle w:val="Normal"/>
              <w:widowControl/>
              <w:suppressAutoHyphens w:val="true"/>
              <w:spacing w:before="0" w:after="0"/>
              <w:jc w:val="center"/>
              <w:rPr>
                <w:rFonts w:cs="Dubai"/>
                <w:color w:themeColor="text1" w:val="000000"/>
                <w:sz w:val="22"/>
                <w:szCs w:val="22"/>
                <w:lang w:val="en-AE" w:eastAsia="es-ES"/>
              </w:rPr>
            </w:pPr>
            <w:r>
              <w:rPr>
                <w:rFonts w:cs="Dubai"/>
                <w:color w:themeColor="text1" w:val="000000"/>
                <w:kern w:val="0"/>
                <w:sz w:val="22"/>
                <w:szCs w:val="22"/>
                <w:lang w:val="en-AE" w:eastAsia="es-ES" w:bidi="ar-SA"/>
              </w:rPr>
            </w:r>
          </w:p>
          <w:p>
            <w:pPr>
              <w:pStyle w:val="Normal"/>
              <w:widowControl/>
              <w:suppressAutoHyphens w:val="true"/>
              <w:spacing w:before="0" w:after="0"/>
              <w:jc w:val="center"/>
              <w:rPr>
                <w:rFonts w:cs="Dubai"/>
                <w:color w:themeColor="text1" w:val="000000"/>
                <w:sz w:val="22"/>
                <w:szCs w:val="22"/>
                <w:lang w:val="en-AE" w:eastAsia="es-ES"/>
              </w:rPr>
            </w:pPr>
            <w:r>
              <w:rPr>
                <w:rFonts w:cs="Dubai"/>
                <w:color w:themeColor="text1" w:val="000000"/>
                <w:kern w:val="0"/>
                <w:sz w:val="22"/>
                <w:szCs w:val="22"/>
                <w:lang w:val="en-AE" w:eastAsia="es-ES" w:bidi="ar-SA"/>
              </w:rPr>
            </w:r>
          </w:p>
          <w:p>
            <w:pPr>
              <w:pStyle w:val="Normal"/>
              <w:widowControl/>
              <w:suppressAutoHyphens w:val="true"/>
              <w:spacing w:before="0" w:after="0"/>
              <w:jc w:val="center"/>
              <w:rPr>
                <w:rFonts w:cs="Dubai"/>
                <w:color w:themeColor="text1" w:val="000000"/>
                <w:sz w:val="22"/>
                <w:szCs w:val="22"/>
                <w:lang w:val="en-GB" w:eastAsia="es-ES"/>
              </w:rPr>
            </w:pPr>
            <w:r>
              <w:rPr>
                <w:rFonts w:cs="Dubai"/>
                <w:color w:themeColor="text1" w:val="000000"/>
                <w:kern w:val="0"/>
                <w:sz w:val="22"/>
                <w:szCs w:val="22"/>
                <w:lang w:val="en-GB" w:eastAsia="es-ES" w:bidi="ar-SA"/>
              </w:rPr>
            </w:r>
          </w:p>
          <w:p>
            <w:pPr>
              <w:pStyle w:val="Normal"/>
              <w:widowControl/>
              <w:suppressAutoHyphens w:val="true"/>
              <w:spacing w:before="0" w:after="0"/>
              <w:jc w:val="center"/>
              <w:rPr>
                <w:rFonts w:cs="Dubai"/>
                <w:color w:themeColor="text1" w:val="000000"/>
                <w:sz w:val="22"/>
                <w:szCs w:val="22"/>
                <w:lang w:val="en-GB" w:eastAsia="es-ES"/>
              </w:rPr>
            </w:pPr>
            <w:r>
              <w:rPr>
                <w:rFonts w:cs="Dubai"/>
                <w:color w:themeColor="text1" w:val="000000"/>
                <w:kern w:val="0"/>
                <w:sz w:val="22"/>
                <w:szCs w:val="22"/>
                <w:lang w:val="en-GB" w:eastAsia="es-ES" w:bidi="ar-SA"/>
              </w:rPr>
            </w:r>
          </w:p>
          <w:p>
            <w:pPr>
              <w:pStyle w:val="Normal"/>
              <w:widowControl w:val="false"/>
              <w:suppressAutoHyphens w:val="true"/>
              <w:spacing w:before="0" w:after="0"/>
              <w:jc w:val="center"/>
              <w:rPr>
                <w:rFonts w:cs="Dubai"/>
                <w:color w:themeColor="text1" w:val="000000"/>
                <w:sz w:val="22"/>
                <w:szCs w:val="22"/>
                <w:lang w:val="en-GB" w:eastAsia="es-ES"/>
              </w:rPr>
            </w:pPr>
            <w:r>
              <w:rPr>
                <w:rFonts w:cs="Dubai"/>
                <w:color w:themeColor="text1" w:val="000000"/>
                <w:kern w:val="0"/>
                <w:sz w:val="22"/>
                <w:szCs w:val="22"/>
                <w:lang w:val="en-GB" w:eastAsia="es-ES" w:bidi="ar-SA"/>
              </w:rPr>
            </w:r>
          </w:p>
        </w:tc>
      </w:tr>
      <w:tr>
        <w:trPr>
          <w:trHeight w:val="2880" w:hRule="atLeast"/>
        </w:trPr>
        <w:tc>
          <w:tcPr>
            <w:tcW w:w="1400" w:type="dxa"/>
            <w:vMerge w:val="continue"/>
            <w:tcBorders/>
            <w:vAlign w:val="center"/>
          </w:tcPr>
          <w:p>
            <w:pPr>
              <w:pStyle w:val="TableLineNumbering"/>
              <w:widowControl w:val="false"/>
              <w:numPr>
                <w:ilvl w:val="0"/>
                <w:numId w:val="0"/>
              </w:numPr>
              <w:suppressAutoHyphens w:val="true"/>
              <w:spacing w:before="0" w:after="0"/>
              <w:ind w:hanging="360" w:start="360"/>
              <w:jc w:val="start"/>
              <w:rPr>
                <w:kern w:val="0"/>
                <w:lang w:val="en-US" w:eastAsia="en-US" w:bidi="ar-SA"/>
              </w:rPr>
            </w:pPr>
            <w:r>
              <w:rPr>
                <w:kern w:val="0"/>
                <w:lang w:val="en-US" w:eastAsia="en-US" w:bidi="ar-SA"/>
              </w:rPr>
            </w:r>
          </w:p>
        </w:tc>
        <w:tc>
          <w:tcPr>
            <w:tcW w:w="1871" w:type="dxa"/>
            <w:vMerge w:val="continue"/>
            <w:tcBorders/>
            <w:vAlign w:val="center"/>
          </w:tcPr>
          <w:p>
            <w:pPr>
              <w:pStyle w:val="TableText"/>
              <w:widowControl w:val="false"/>
              <w:suppressAutoHyphens w:val="true"/>
              <w:spacing w:before="0" w:after="0"/>
              <w:jc w:val="start"/>
              <w:rPr>
                <w:bCs/>
              </w:rPr>
            </w:pPr>
            <w:r>
              <w:rPr>
                <w:rFonts w:eastAsia="Calibri"/>
                <w:bCs/>
                <w:kern w:val="0"/>
                <w:sz w:val="22"/>
                <w:szCs w:val="22"/>
                <w:lang w:val="en-US" w:eastAsia="en-US" w:bidi="ar-SA"/>
              </w:rPr>
            </w:r>
          </w:p>
        </w:tc>
        <w:tc>
          <w:tcPr>
            <w:tcW w:w="5527" w:type="dxa"/>
            <w:tcBorders/>
          </w:tcPr>
          <w:p>
            <w:pPr>
              <w:pStyle w:val="TableText"/>
              <w:widowControl w:val="false"/>
              <w:suppressAutoHyphens w:val="true"/>
              <w:spacing w:before="0" w:after="0"/>
              <w:jc w:val="both"/>
              <w:rPr>
                <w:rFonts w:eastAsia="Dubai"/>
                <w:lang w:val="en-GB"/>
              </w:rPr>
            </w:pPr>
            <w:r>
              <w:rPr>
                <w:rFonts w:eastAsia="Dubai"/>
                <w:b/>
                <w:bCs/>
                <w:kern w:val="0"/>
                <w:sz w:val="22"/>
                <w:szCs w:val="22"/>
                <w:lang w:val="en-GB" w:eastAsia="en-US" w:bidi="ar-SA"/>
              </w:rPr>
              <w:t>TIS at Stations: Dubai</w:t>
            </w:r>
          </w:p>
          <w:p>
            <w:pPr>
              <w:pStyle w:val="TableText"/>
              <w:widowControl/>
              <w:suppressAutoHyphens w:val="true"/>
              <w:spacing w:lineRule="auto" w:line="259" w:before="120" w:after="120"/>
              <w:jc w:val="both"/>
              <w:rPr>
                <w:rFonts w:eastAsia="Dubai"/>
                <w:lang w:val="en-GB"/>
              </w:rPr>
            </w:pPr>
            <w:r>
              <w:rPr>
                <w:rFonts w:eastAsia="Dubai"/>
                <w:kern w:val="0"/>
                <w:sz w:val="22"/>
                <w:szCs w:val="22"/>
                <w:lang w:val="en-GB" w:eastAsia="en-US" w:bidi="ar-SA"/>
              </w:rPr>
              <w:t>-25/05 - Second DJD Feasibility report review meeting: Plans shared with RTA Engineer to be distributed among relevant departments. FS report greenlighted for official submission though the RTA portal.</w:t>
            </w:r>
          </w:p>
          <w:p>
            <w:pPr>
              <w:pStyle w:val="Normal"/>
              <w:widowControl w:val="false"/>
              <w:suppressAutoHyphens w:val="true"/>
              <w:spacing w:before="0" w:after="0"/>
              <w:jc w:val="both"/>
              <w:rPr>
                <w:rFonts w:eastAsia="Calibri" w:cs="Dubai"/>
                <w:sz w:val="22"/>
                <w:szCs w:val="22"/>
                <w:lang w:val="en-GB"/>
              </w:rPr>
            </w:pPr>
            <w:r>
              <w:rPr>
                <w:rFonts w:eastAsia="Calibri" w:cs="Calibri" w:ascii="Calibri" w:hAnsi="Calibri"/>
                <w:kern w:val="0"/>
                <w:sz w:val="22"/>
                <w:szCs w:val="22"/>
                <w:lang w:val="en-GB" w:eastAsia="en-US" w:bidi="ar-SA"/>
              </w:rPr>
              <w:t xml:space="preserve">- </w:t>
            </w:r>
            <w:r>
              <w:rPr>
                <w:rFonts w:eastAsia="Calibri" w:cs="Dubai"/>
                <w:kern w:val="0"/>
                <w:sz w:val="22"/>
                <w:szCs w:val="22"/>
                <w:lang w:val="en-GB" w:eastAsia="en-US" w:bidi="ar-SA"/>
              </w:rPr>
              <w:t xml:space="preserve">Sharjah TIS: a DTPS meeting is pending to be arranged with the Client’s full support in order to finalise the agreed in principle parameters for the Sharjah Station. </w:t>
            </w:r>
          </w:p>
          <w:p>
            <w:pPr>
              <w:pStyle w:val="Normal"/>
              <w:widowControl w:val="false"/>
              <w:suppressAutoHyphens w:val="true"/>
              <w:spacing w:before="0" w:after="0"/>
              <w:jc w:val="both"/>
              <w:rPr>
                <w:rFonts w:eastAsia="Calibri" w:cs="Dubai"/>
                <w:sz w:val="22"/>
                <w:szCs w:val="22"/>
                <w:lang w:val="en-GB"/>
              </w:rPr>
            </w:pPr>
            <w:r>
              <w:rPr>
                <w:rFonts w:eastAsia="Calibri" w:cs="Dubai"/>
                <w:kern w:val="0"/>
                <w:sz w:val="22"/>
                <w:szCs w:val="22"/>
                <w:lang w:val="en-GB" w:eastAsia="en-US" w:bidi="ar-SA"/>
              </w:rPr>
              <w:t>- Maktoum TIS: a confirmation by the Client is required to commence the TIS taking into account the latest plot for Maktoum as requested by RTA during April 2025.</w:t>
            </w:r>
          </w:p>
        </w:tc>
        <w:tc>
          <w:tcPr>
            <w:tcW w:w="850" w:type="dxa"/>
            <w:tcBorders/>
          </w:tcPr>
          <w:p>
            <w:pPr>
              <w:pStyle w:val="TableText"/>
              <w:widowControl w:val="false"/>
              <w:suppressAutoHyphens w:val="true"/>
              <w:spacing w:before="0" w:after="0"/>
              <w:jc w:val="center"/>
              <w:rPr>
                <w:rFonts w:eastAsia="Dubai"/>
                <w:lang w:val="en-AE"/>
              </w:rPr>
            </w:pPr>
            <w:r>
              <w:rPr>
                <w:rFonts w:eastAsia="Dubai"/>
                <w:kern w:val="0"/>
                <w:sz w:val="22"/>
                <w:szCs w:val="22"/>
                <w:lang w:val="en-AE" w:eastAsia="en-US" w:bidi="ar-SA"/>
              </w:rPr>
            </w:r>
          </w:p>
          <w:p>
            <w:pPr>
              <w:pStyle w:val="TableText"/>
              <w:widowControl w:val="false"/>
              <w:suppressAutoHyphens w:val="true"/>
              <w:spacing w:before="0" w:after="0"/>
              <w:jc w:val="center"/>
              <w:rPr>
                <w:rFonts w:eastAsia="Dubai"/>
                <w:lang w:val="en-AE"/>
              </w:rPr>
            </w:pPr>
            <w:r>
              <w:rPr>
                <w:rFonts w:eastAsia="Dubai"/>
                <w:kern w:val="0"/>
                <w:sz w:val="22"/>
                <w:szCs w:val="22"/>
                <w:lang w:val="en-AE" w:eastAsia="en-US" w:bidi="ar-SA"/>
              </w:rPr>
            </w:r>
          </w:p>
          <w:p>
            <w:pPr>
              <w:pStyle w:val="TableText"/>
              <w:widowControl w:val="false"/>
              <w:suppressAutoHyphens w:val="true"/>
              <w:spacing w:lineRule="auto" w:line="259" w:before="0" w:after="0"/>
              <w:jc w:val="center"/>
              <w:rPr>
                <w:rFonts w:eastAsia="Dubai"/>
                <w:lang w:val="pt-BR"/>
              </w:rPr>
            </w:pPr>
            <w:r>
              <w:rPr>
                <w:rFonts w:eastAsia="Dubai"/>
                <w:kern w:val="0"/>
                <w:sz w:val="22"/>
                <w:szCs w:val="22"/>
                <w:lang w:val="pt-BR" w:eastAsia="en-US" w:bidi="ar-SA"/>
              </w:rPr>
              <w:t>SEI</w:t>
            </w:r>
          </w:p>
          <w:p>
            <w:pPr>
              <w:pStyle w:val="TableText"/>
              <w:widowControl w:val="false"/>
              <w:suppressAutoHyphens w:val="true"/>
              <w:spacing w:before="0" w:after="0"/>
              <w:jc w:val="center"/>
              <w:rPr>
                <w:rFonts w:eastAsia="Dubai"/>
                <w:lang w:val="pt-BR"/>
              </w:rPr>
            </w:pPr>
            <w:r>
              <w:rPr>
                <w:rFonts w:eastAsia="Dubai"/>
                <w:kern w:val="0"/>
                <w:sz w:val="22"/>
                <w:szCs w:val="22"/>
                <w:lang w:val="pt-BR" w:eastAsia="en-US" w:bidi="ar-SA"/>
              </w:rPr>
            </w:r>
          </w:p>
          <w:p>
            <w:pPr>
              <w:pStyle w:val="TableText"/>
              <w:widowControl w:val="false"/>
              <w:suppressAutoHyphens w:val="true"/>
              <w:spacing w:before="0" w:after="0"/>
              <w:jc w:val="center"/>
              <w:rPr>
                <w:rFonts w:eastAsia="Dubai"/>
                <w:lang w:val="pt-BR"/>
              </w:rPr>
            </w:pPr>
            <w:r>
              <w:rPr>
                <w:rFonts w:eastAsia="Dubai"/>
                <w:kern w:val="0"/>
                <w:sz w:val="22"/>
                <w:szCs w:val="22"/>
                <w:lang w:val="pt-BR" w:eastAsia="en-US" w:bidi="ar-SA"/>
              </w:rPr>
            </w:r>
          </w:p>
          <w:p>
            <w:pPr>
              <w:pStyle w:val="TableText"/>
              <w:widowControl w:val="false"/>
              <w:suppressAutoHyphens w:val="true"/>
              <w:spacing w:before="0" w:after="0"/>
              <w:jc w:val="center"/>
              <w:rPr>
                <w:rFonts w:eastAsia="Dubai"/>
                <w:lang w:val="pt-BR"/>
              </w:rPr>
            </w:pPr>
            <w:r>
              <w:rPr>
                <w:rFonts w:eastAsia="Dubai"/>
                <w:kern w:val="0"/>
                <w:sz w:val="22"/>
                <w:szCs w:val="22"/>
                <w:lang w:val="pt-BR" w:eastAsia="en-US" w:bidi="ar-SA"/>
              </w:rPr>
            </w:r>
          </w:p>
          <w:p>
            <w:pPr>
              <w:pStyle w:val="TableText"/>
              <w:widowControl w:val="false"/>
              <w:suppressAutoHyphens w:val="true"/>
              <w:spacing w:before="0" w:after="0"/>
              <w:jc w:val="center"/>
              <w:rPr>
                <w:rFonts w:eastAsia="Dubai"/>
                <w:lang w:val="pt-BR"/>
              </w:rPr>
            </w:pPr>
            <w:r>
              <w:rPr>
                <w:rFonts w:eastAsia="Dubai"/>
                <w:kern w:val="0"/>
                <w:sz w:val="22"/>
                <w:szCs w:val="22"/>
                <w:lang w:val="pt-BR" w:eastAsia="en-US" w:bidi="ar-SA"/>
              </w:rPr>
            </w:r>
          </w:p>
          <w:p>
            <w:pPr>
              <w:pStyle w:val="TableText"/>
              <w:widowControl w:val="false"/>
              <w:suppressAutoHyphens w:val="true"/>
              <w:spacing w:before="0" w:after="0"/>
              <w:jc w:val="center"/>
              <w:rPr>
                <w:rFonts w:eastAsia="Dubai"/>
                <w:lang w:val="pt-BR"/>
              </w:rPr>
            </w:pPr>
            <w:r>
              <w:rPr>
                <w:rFonts w:eastAsia="Dubai"/>
                <w:kern w:val="0"/>
                <w:sz w:val="22"/>
                <w:szCs w:val="22"/>
                <w:lang w:val="pt-BR" w:eastAsia="en-US" w:bidi="ar-SA"/>
              </w:rPr>
              <w:t>Note</w:t>
            </w:r>
          </w:p>
          <w:p>
            <w:pPr>
              <w:pStyle w:val="TableText"/>
              <w:widowControl w:val="false"/>
              <w:suppressAutoHyphens w:val="true"/>
              <w:spacing w:before="0" w:after="0"/>
              <w:jc w:val="center"/>
              <w:rPr>
                <w:rFonts w:eastAsia="Dubai"/>
                <w:lang w:val="pt-BR"/>
              </w:rPr>
            </w:pPr>
            <w:r>
              <w:rPr>
                <w:rFonts w:eastAsia="Dubai"/>
                <w:kern w:val="0"/>
                <w:sz w:val="22"/>
                <w:szCs w:val="22"/>
                <w:lang w:val="pt-BR" w:eastAsia="en-US" w:bidi="ar-SA"/>
              </w:rPr>
            </w:r>
          </w:p>
          <w:p>
            <w:pPr>
              <w:pStyle w:val="TableText"/>
              <w:widowControl w:val="false"/>
              <w:suppressAutoHyphens w:val="true"/>
              <w:spacing w:before="0" w:after="0"/>
              <w:jc w:val="center"/>
              <w:rPr>
                <w:rFonts w:eastAsia="Dubai"/>
                <w:lang w:val="pt-BR"/>
              </w:rPr>
            </w:pPr>
            <w:r>
              <w:rPr>
                <w:rFonts w:eastAsia="Dubai"/>
                <w:kern w:val="0"/>
                <w:sz w:val="22"/>
                <w:szCs w:val="22"/>
                <w:lang w:val="pt-BR" w:eastAsia="en-US" w:bidi="ar-SA"/>
              </w:rPr>
              <w:t>Note</w:t>
            </w:r>
          </w:p>
        </w:tc>
        <w:tc>
          <w:tcPr>
            <w:tcW w:w="1278" w:type="dxa"/>
            <w:tcBorders/>
          </w:tcPr>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lineRule="auto" w:line="259" w:before="0" w:after="0"/>
              <w:jc w:val="center"/>
              <w:rPr>
                <w:rFonts w:eastAsia="Calibri"/>
                <w:kern w:val="0"/>
                <w:sz w:val="22"/>
                <w:szCs w:val="22"/>
                <w:lang w:val="en-US" w:eastAsia="en-US" w:bidi="ar-SA"/>
              </w:rPr>
            </w:pPr>
            <w:r>
              <w:rPr>
                <w:rFonts w:eastAsia="Dubai"/>
                <w:kern w:val="0"/>
                <w:sz w:val="22"/>
                <w:szCs w:val="22"/>
                <w:lang w:val="pt-BR" w:eastAsia="en-US" w:bidi="ar-SA"/>
              </w:rPr>
              <w:t>09/06/25</w:t>
            </w:r>
          </w:p>
          <w:p>
            <w:pPr>
              <w:pStyle w:val="TableText"/>
              <w:widowControl w:val="false"/>
              <w:suppressAutoHyphens w:val="true"/>
              <w:spacing w:before="0" w:after="0"/>
              <w:jc w:val="center"/>
              <w:rPr>
                <w:rFonts w:eastAsia="Dubai"/>
                <w:lang w:val="pt-BR"/>
              </w:rPr>
            </w:pPr>
            <w:r>
              <w:rPr>
                <w:rFonts w:eastAsia="Dubai"/>
                <w:kern w:val="0"/>
                <w:sz w:val="22"/>
                <w:szCs w:val="22"/>
                <w:lang w:val="pt-BR" w:eastAsia="en-US" w:bidi="ar-SA"/>
              </w:rPr>
            </w:r>
          </w:p>
        </w:tc>
      </w:tr>
      <w:tr>
        <w:trPr>
          <w:trHeight w:val="332" w:hRule="atLeast"/>
        </w:trPr>
        <w:tc>
          <w:tcPr>
            <w:tcW w:w="1400" w:type="dxa"/>
            <w:vMerge w:val="continue"/>
            <w:tcBorders/>
            <w:vAlign w:val="center"/>
          </w:tcPr>
          <w:p>
            <w:pPr>
              <w:pStyle w:val="TableLineNumbering"/>
              <w:widowControl w:val="false"/>
              <w:numPr>
                <w:ilvl w:val="0"/>
                <w:numId w:val="0"/>
              </w:numPr>
              <w:suppressAutoHyphens w:val="true"/>
              <w:spacing w:before="0" w:after="0"/>
              <w:ind w:hanging="360" w:start="360"/>
              <w:jc w:val="start"/>
              <w:rPr>
                <w:kern w:val="0"/>
                <w:lang w:val="en-US" w:eastAsia="en-US" w:bidi="ar-SA"/>
              </w:rPr>
            </w:pPr>
            <w:r>
              <w:rPr>
                <w:kern w:val="0"/>
                <w:lang w:val="en-US" w:eastAsia="en-US" w:bidi="ar-SA"/>
              </w:rPr>
            </w:r>
          </w:p>
        </w:tc>
        <w:tc>
          <w:tcPr>
            <w:tcW w:w="1871" w:type="dxa"/>
            <w:vMerge w:val="continue"/>
            <w:tcBorders/>
            <w:vAlign w:val="center"/>
          </w:tcPr>
          <w:p>
            <w:pPr>
              <w:pStyle w:val="TableText"/>
              <w:widowControl w:val="false"/>
              <w:suppressAutoHyphens w:val="true"/>
              <w:spacing w:before="0" w:after="0"/>
              <w:jc w:val="start"/>
              <w:rPr>
                <w:bCs/>
              </w:rPr>
            </w:pPr>
            <w:r>
              <w:rPr>
                <w:rFonts w:eastAsia="Calibri"/>
                <w:bCs/>
                <w:kern w:val="0"/>
                <w:sz w:val="22"/>
                <w:szCs w:val="22"/>
                <w:lang w:val="en-US" w:eastAsia="en-US" w:bidi="ar-SA"/>
              </w:rPr>
            </w:r>
          </w:p>
        </w:tc>
        <w:tc>
          <w:tcPr>
            <w:tcW w:w="5527" w:type="dxa"/>
            <w:tcBorders/>
          </w:tcPr>
          <w:p>
            <w:pPr>
              <w:pStyle w:val="TableText"/>
              <w:widowControl w:val="false"/>
              <w:suppressAutoHyphens w:val="true"/>
              <w:spacing w:lineRule="auto" w:line="259" w:before="0" w:after="0"/>
              <w:jc w:val="both"/>
              <w:rPr>
                <w:rFonts w:eastAsia="Dubai"/>
                <w:b/>
                <w:bCs/>
                <w:lang w:val="en-GB"/>
              </w:rPr>
            </w:pPr>
            <w:r>
              <w:rPr>
                <w:rFonts w:eastAsia="Dubai"/>
                <w:b/>
                <w:bCs/>
                <w:kern w:val="0"/>
                <w:sz w:val="22"/>
                <w:szCs w:val="22"/>
                <w:lang w:val="en-GB" w:eastAsia="en-US" w:bidi="ar-SA"/>
              </w:rPr>
              <w:t>Ridership Modelling</w:t>
            </w:r>
          </w:p>
          <w:p>
            <w:pPr>
              <w:pStyle w:val="TableText"/>
              <w:widowControl w:val="false"/>
              <w:suppressAutoHyphens w:val="true"/>
              <w:spacing w:before="0" w:after="0"/>
              <w:jc w:val="both"/>
              <w:rPr>
                <w:rFonts w:eastAsia="Arial"/>
                <w:lang w:val="en-GB"/>
              </w:rPr>
            </w:pPr>
            <w:r>
              <w:rPr>
                <w:rFonts w:eastAsia="Arial"/>
                <w:kern w:val="0"/>
                <w:sz w:val="22"/>
                <w:szCs w:val="22"/>
                <w:lang w:val="en-GB" w:eastAsia="en-US" w:bidi="ar-SA"/>
              </w:rPr>
              <w:t>MMR for STEAM model submitted to ITC on 05/05.</w:t>
            </w:r>
          </w:p>
          <w:p>
            <w:pPr>
              <w:pStyle w:val="TableText"/>
              <w:widowControl w:val="false"/>
              <w:suppressAutoHyphens w:val="true"/>
              <w:spacing w:before="0" w:after="0"/>
              <w:jc w:val="both"/>
              <w:rPr>
                <w:rFonts w:eastAsia="Arial"/>
                <w:lang w:val="en-GB"/>
              </w:rPr>
            </w:pPr>
            <w:r>
              <w:rPr>
                <w:rFonts w:eastAsia="Arial"/>
                <w:kern w:val="0"/>
                <w:sz w:val="22"/>
                <w:szCs w:val="22"/>
                <w:lang w:val="en-GB" w:eastAsia="en-US" w:bidi="ar-SA"/>
              </w:rPr>
              <w:t>Further STEAM modelling, including recoding of Arcadis model refinements around stations pending receipt of updated STEAM model from ITC.</w:t>
            </w:r>
          </w:p>
          <w:p>
            <w:pPr>
              <w:pStyle w:val="TableText"/>
              <w:widowControl w:val="false"/>
              <w:suppressAutoHyphens w:val="true"/>
              <w:spacing w:before="0" w:after="0"/>
              <w:jc w:val="both"/>
              <w:rPr>
                <w:rFonts w:eastAsia="Calibri"/>
                <w:kern w:val="0"/>
                <w:sz w:val="22"/>
                <w:szCs w:val="22"/>
                <w:lang w:val="en-US" w:eastAsia="en-US" w:bidi="ar-SA"/>
              </w:rPr>
            </w:pPr>
            <w:r>
              <w:rPr>
                <w:rFonts w:eastAsia="Calibri"/>
                <w:kern w:val="0"/>
                <w:sz w:val="22"/>
                <w:szCs w:val="22"/>
                <w:lang w:val="en-US" w:eastAsia="en-US" w:bidi="ar-SA"/>
              </w:rPr>
              <w:t>Coordination ongoing with Rina/Transpo, Arup, on ridership, modal split, etc.</w:t>
            </w:r>
          </w:p>
          <w:p>
            <w:pPr>
              <w:pStyle w:val="TableText"/>
              <w:widowControl w:val="false"/>
              <w:suppressAutoHyphens w:val="true"/>
              <w:spacing w:before="0" w:after="0"/>
              <w:jc w:val="both"/>
              <w:rPr>
                <w:rFonts w:eastAsia="Calibri"/>
                <w:kern w:val="0"/>
                <w:sz w:val="22"/>
                <w:szCs w:val="22"/>
                <w:lang w:val="en-US" w:eastAsia="en-US" w:bidi="ar-SA"/>
              </w:rPr>
            </w:pPr>
            <w:r>
              <w:rPr>
                <w:rFonts w:eastAsia="Calibri"/>
                <w:kern w:val="0"/>
                <w:sz w:val="22"/>
                <w:szCs w:val="22"/>
                <w:lang w:val="en-US" w:eastAsia="en-US" w:bidi="ar-SA"/>
              </w:rPr>
              <w:t>Air traffic information still not received for Maktoum Airport from DAEP.</w:t>
            </w:r>
          </w:p>
        </w:tc>
        <w:tc>
          <w:tcPr>
            <w:tcW w:w="850" w:type="dxa"/>
            <w:tcBorders/>
          </w:tcPr>
          <w:p>
            <w:pPr>
              <w:pStyle w:val="TableText"/>
              <w:widowControl w:val="false"/>
              <w:suppressAutoHyphens w:val="true"/>
              <w:spacing w:before="0" w:after="0"/>
              <w:jc w:val="center"/>
              <w:rPr>
                <w:rFonts w:eastAsia="Dubai"/>
                <w:lang w:val="en-AE"/>
              </w:rPr>
            </w:pPr>
            <w:r>
              <w:rPr>
                <w:rFonts w:eastAsia="Dubai"/>
                <w:kern w:val="0"/>
                <w:sz w:val="22"/>
                <w:szCs w:val="22"/>
                <w:lang w:val="en-AE" w:eastAsia="en-US" w:bidi="ar-SA"/>
              </w:rPr>
            </w:r>
          </w:p>
          <w:p>
            <w:pPr>
              <w:pStyle w:val="TableText"/>
              <w:widowControl w:val="false"/>
              <w:suppressAutoHyphens w:val="true"/>
              <w:spacing w:before="0" w:after="0"/>
              <w:jc w:val="center"/>
              <w:rPr>
                <w:rFonts w:eastAsia="Dubai"/>
                <w:lang w:val="en-AE"/>
              </w:rPr>
            </w:pPr>
            <w:r>
              <w:rPr>
                <w:rFonts w:eastAsia="Dubai"/>
                <w:kern w:val="0"/>
                <w:sz w:val="22"/>
                <w:szCs w:val="22"/>
                <w:lang w:val="en-AE" w:eastAsia="en-US" w:bidi="ar-SA"/>
              </w:rPr>
            </w:r>
          </w:p>
          <w:p>
            <w:pPr>
              <w:pStyle w:val="TableText"/>
              <w:widowControl w:val="false"/>
              <w:suppressAutoHyphens w:val="true"/>
              <w:spacing w:before="0" w:after="0"/>
              <w:jc w:val="center"/>
              <w:rPr>
                <w:rFonts w:eastAsia="Dubai"/>
                <w:lang w:val="en-AE"/>
              </w:rPr>
            </w:pPr>
            <w:r>
              <w:rPr>
                <w:rFonts w:eastAsia="Dubai"/>
                <w:kern w:val="0"/>
                <w:sz w:val="22"/>
                <w:szCs w:val="22"/>
                <w:lang w:val="en-AE" w:eastAsia="en-US" w:bidi="ar-SA"/>
              </w:rPr>
            </w:r>
          </w:p>
          <w:p>
            <w:pPr>
              <w:pStyle w:val="TableText"/>
              <w:widowControl w:val="false"/>
              <w:suppressAutoHyphens w:val="true"/>
              <w:spacing w:before="0" w:after="0"/>
              <w:jc w:val="center"/>
              <w:rPr>
                <w:rFonts w:eastAsia="Dubai"/>
                <w:lang w:val="en-AE"/>
              </w:rPr>
            </w:pPr>
            <w:r>
              <w:rPr>
                <w:rFonts w:eastAsia="Dubai"/>
                <w:kern w:val="0"/>
                <w:sz w:val="22"/>
                <w:szCs w:val="22"/>
                <w:lang w:val="en-AE" w:eastAsia="en-US" w:bidi="ar-SA"/>
              </w:rPr>
            </w:r>
          </w:p>
          <w:p>
            <w:pPr>
              <w:pStyle w:val="TableText"/>
              <w:widowControl w:val="false"/>
              <w:suppressAutoHyphens w:val="true"/>
              <w:spacing w:before="0" w:after="0"/>
              <w:jc w:val="center"/>
              <w:rPr>
                <w:rFonts w:eastAsia="Dubai"/>
                <w:lang w:val="en-AE"/>
              </w:rPr>
            </w:pPr>
            <w:r>
              <w:rPr>
                <w:rFonts w:eastAsia="Dubai"/>
                <w:kern w:val="0"/>
                <w:sz w:val="22"/>
                <w:szCs w:val="22"/>
                <w:lang w:val="en-AE" w:eastAsia="en-US" w:bidi="ar-SA"/>
              </w:rPr>
              <w:t>Note</w:t>
            </w:r>
          </w:p>
          <w:p>
            <w:pPr>
              <w:pStyle w:val="TableText"/>
              <w:widowControl w:val="false"/>
              <w:suppressAutoHyphens w:val="true"/>
              <w:spacing w:before="0" w:after="0"/>
              <w:jc w:val="center"/>
              <w:rPr>
                <w:rFonts w:eastAsia="Dubai"/>
                <w:lang w:val="en-AE"/>
              </w:rPr>
            </w:pPr>
            <w:r>
              <w:rPr>
                <w:rFonts w:eastAsia="Dubai"/>
                <w:kern w:val="0"/>
                <w:sz w:val="22"/>
                <w:szCs w:val="22"/>
                <w:lang w:val="en-AE" w:eastAsia="en-US" w:bidi="ar-SA"/>
              </w:rPr>
            </w:r>
          </w:p>
          <w:p>
            <w:pPr>
              <w:pStyle w:val="TableText"/>
              <w:widowControl w:val="false"/>
              <w:suppressAutoHyphens w:val="true"/>
              <w:spacing w:before="0" w:after="0"/>
              <w:jc w:val="center"/>
              <w:rPr>
                <w:rFonts w:eastAsia="Dubai"/>
                <w:lang w:val="en-AE"/>
              </w:rPr>
            </w:pPr>
            <w:r>
              <w:rPr>
                <w:rFonts w:eastAsia="Dubai"/>
                <w:kern w:val="0"/>
                <w:sz w:val="22"/>
                <w:szCs w:val="22"/>
                <w:lang w:val="en-AE" w:eastAsia="en-US" w:bidi="ar-SA"/>
              </w:rPr>
            </w:r>
          </w:p>
          <w:p>
            <w:pPr>
              <w:pStyle w:val="TableText"/>
              <w:widowControl w:val="false"/>
              <w:suppressAutoHyphens w:val="true"/>
              <w:spacing w:before="0" w:after="0"/>
              <w:jc w:val="center"/>
              <w:rPr>
                <w:rFonts w:eastAsia="Dubai"/>
                <w:lang w:val="en-AE"/>
              </w:rPr>
            </w:pPr>
            <w:r>
              <w:rPr>
                <w:rFonts w:eastAsia="Dubai"/>
                <w:kern w:val="0"/>
                <w:sz w:val="22"/>
                <w:szCs w:val="22"/>
                <w:lang w:val="en-AE" w:eastAsia="en-US" w:bidi="ar-SA"/>
              </w:rPr>
              <w:t>ER</w:t>
            </w:r>
          </w:p>
        </w:tc>
        <w:tc>
          <w:tcPr>
            <w:tcW w:w="1278" w:type="dxa"/>
            <w:tcBorders/>
          </w:tcPr>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t>TBC</w:t>
            </w:r>
          </w:p>
        </w:tc>
      </w:tr>
      <w:tr>
        <w:trPr>
          <w:trHeight w:val="488" w:hRule="atLeast"/>
        </w:trPr>
        <w:tc>
          <w:tcPr>
            <w:tcW w:w="1400" w:type="dxa"/>
            <w:vMerge w:val="continue"/>
            <w:tcBorders/>
            <w:vAlign w:val="center"/>
          </w:tcPr>
          <w:p>
            <w:pPr>
              <w:pStyle w:val="TableLineNumbering"/>
              <w:widowControl w:val="false"/>
              <w:numPr>
                <w:ilvl w:val="0"/>
                <w:numId w:val="0"/>
              </w:numPr>
              <w:suppressAutoHyphens w:val="true"/>
              <w:spacing w:before="0" w:after="0"/>
              <w:ind w:hanging="360" w:start="360"/>
              <w:jc w:val="start"/>
              <w:rPr>
                <w:kern w:val="0"/>
                <w:lang w:val="en-US" w:eastAsia="en-US" w:bidi="ar-SA"/>
              </w:rPr>
            </w:pPr>
            <w:r>
              <w:rPr>
                <w:kern w:val="0"/>
                <w:lang w:val="en-US" w:eastAsia="en-US" w:bidi="ar-SA"/>
              </w:rPr>
            </w:r>
          </w:p>
        </w:tc>
        <w:tc>
          <w:tcPr>
            <w:tcW w:w="1871" w:type="dxa"/>
            <w:vMerge w:val="continue"/>
            <w:tcBorders/>
            <w:vAlign w:val="center"/>
          </w:tcPr>
          <w:p>
            <w:pPr>
              <w:pStyle w:val="TableText"/>
              <w:widowControl w:val="false"/>
              <w:suppressAutoHyphens w:val="true"/>
              <w:spacing w:before="0" w:after="0"/>
              <w:jc w:val="start"/>
              <w:rPr>
                <w:bCs/>
              </w:rPr>
            </w:pPr>
            <w:r>
              <w:rPr>
                <w:rFonts w:eastAsia="Calibri"/>
                <w:bCs/>
                <w:kern w:val="0"/>
                <w:sz w:val="22"/>
                <w:szCs w:val="22"/>
                <w:lang w:val="en-US" w:eastAsia="en-US" w:bidi="ar-SA"/>
              </w:rPr>
            </w:r>
          </w:p>
        </w:tc>
        <w:tc>
          <w:tcPr>
            <w:tcW w:w="5527" w:type="dxa"/>
            <w:tcBorders/>
          </w:tcPr>
          <w:p>
            <w:pPr>
              <w:pStyle w:val="TableText"/>
              <w:widowControl w:val="false"/>
              <w:suppressAutoHyphens w:val="true"/>
              <w:spacing w:lineRule="auto" w:line="259" w:before="0" w:after="0"/>
              <w:jc w:val="both"/>
              <w:rPr>
                <w:rFonts w:eastAsia="Dubai"/>
                <w:b/>
                <w:bCs/>
                <w:lang w:val="en-GB"/>
              </w:rPr>
            </w:pPr>
            <w:r>
              <w:rPr>
                <w:rFonts w:eastAsia="Dubai"/>
                <w:b/>
                <w:bCs/>
                <w:kern w:val="0"/>
                <w:sz w:val="22"/>
                <w:szCs w:val="22"/>
                <w:lang w:val="en-GB" w:eastAsia="en-US" w:bidi="ar-SA"/>
              </w:rPr>
              <w:t>Depot TIS</w:t>
            </w:r>
          </w:p>
          <w:p>
            <w:pPr>
              <w:pStyle w:val="TableText"/>
              <w:widowControl w:val="false"/>
              <w:suppressAutoHyphens w:val="true"/>
              <w:spacing w:before="0" w:after="0"/>
              <w:jc w:val="both"/>
              <w:rPr>
                <w:rFonts w:eastAsia="Calibri" w:cs="Calibri"/>
              </w:rPr>
            </w:pPr>
            <w:r>
              <w:rPr>
                <w:rFonts w:eastAsia="Calibri"/>
                <w:kern w:val="0"/>
                <w:sz w:val="22"/>
                <w:szCs w:val="22"/>
                <w:lang w:val="en-US" w:eastAsia="en-US" w:bidi="ar-SA"/>
              </w:rPr>
              <w:t>Kick-off meeting for the depot TIS was held with ITC 20/03/2025. Submission of Methodology Report pending confirmation of depot location.</w:t>
            </w:r>
          </w:p>
        </w:tc>
        <w:tc>
          <w:tcPr>
            <w:tcW w:w="850" w:type="dxa"/>
            <w:tcBorders/>
          </w:tcPr>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bCs/>
                <w:lang w:val="en-AE"/>
              </w:rPr>
            </w:pPr>
            <w:r>
              <w:rPr>
                <w:rFonts w:eastAsia="Calibri"/>
                <w:bCs/>
                <w:kern w:val="0"/>
                <w:sz w:val="22"/>
                <w:szCs w:val="22"/>
                <w:lang w:val="en-AE" w:eastAsia="en-US" w:bidi="ar-SA"/>
              </w:rPr>
              <w:t>Note</w:t>
            </w:r>
          </w:p>
        </w:tc>
        <w:tc>
          <w:tcPr>
            <w:tcW w:w="1278" w:type="dxa"/>
            <w:tcBorders/>
          </w:tcPr>
          <w:p>
            <w:pPr>
              <w:pStyle w:val="TableText"/>
              <w:widowControl w:val="false"/>
              <w:suppressAutoHyphens w:val="true"/>
              <w:spacing w:before="0" w:after="0"/>
              <w:jc w:val="center"/>
              <w:rPr>
                <w:color w:themeColor="text1" w:val="000000"/>
              </w:rPr>
            </w:pPr>
            <w:r>
              <w:rPr>
                <w:rFonts w:eastAsia="Calibri"/>
                <w:color w:themeColor="text1" w:val="000000"/>
                <w:kern w:val="0"/>
                <w:sz w:val="22"/>
                <w:szCs w:val="22"/>
                <w:lang w:val="en-US"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r>
          </w:p>
        </w:tc>
      </w:tr>
      <w:tr>
        <w:trPr>
          <w:trHeight w:val="1145" w:hRule="atLeast"/>
        </w:trPr>
        <w:tc>
          <w:tcPr>
            <w:tcW w:w="1400" w:type="dxa"/>
            <w:vMerge w:val="restart"/>
            <w:tcBorders/>
            <w:vAlign w:val="center"/>
          </w:tcPr>
          <w:p>
            <w:pPr>
              <w:pStyle w:val="TableLineNumbering"/>
              <w:widowControl w:val="false"/>
              <w:numPr>
                <w:ilvl w:val="0"/>
                <w:numId w:val="0"/>
              </w:numPr>
              <w:suppressAutoHyphens w:val="true"/>
              <w:spacing w:before="0" w:after="0"/>
              <w:ind w:hanging="360" w:start="360"/>
              <w:jc w:val="start"/>
              <w:rPr>
                <w:kern w:val="0"/>
                <w:lang w:val="en-US" w:eastAsia="en-US" w:bidi="ar-SA"/>
              </w:rPr>
            </w:pPr>
            <w:r>
              <w:rPr>
                <w:kern w:val="0"/>
                <w:lang w:val="en-US" w:eastAsia="en-US" w:bidi="ar-SA"/>
              </w:rPr>
              <w:t>3.</w:t>
            </w:r>
          </w:p>
        </w:tc>
        <w:tc>
          <w:tcPr>
            <w:tcW w:w="1871" w:type="dxa"/>
            <w:vMerge w:val="restart"/>
            <w:tcBorders/>
            <w:vAlign w:val="center"/>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GB" w:eastAsia="en-US" w:bidi="ar-SA"/>
              </w:rPr>
              <w:t>PACKAGING &amp; PROCUREMENT STRATEGY AND TENDER DOCUMENTATION</w:t>
            </w:r>
          </w:p>
          <w:p>
            <w:pPr>
              <w:pStyle w:val="TableText"/>
              <w:widowControl w:val="false"/>
              <w:suppressAutoHyphens w:val="true"/>
              <w:spacing w:before="0" w:after="0"/>
              <w:jc w:val="start"/>
              <w:rPr>
                <w:bCs/>
              </w:rPr>
            </w:pPr>
            <w:r>
              <w:rPr>
                <w:rFonts w:eastAsia="Calibri"/>
                <w:bCs/>
                <w:kern w:val="0"/>
                <w:sz w:val="22"/>
                <w:szCs w:val="22"/>
                <w:lang w:val="en-US" w:eastAsia="en-US" w:bidi="ar-SA"/>
              </w:rPr>
            </w:r>
          </w:p>
        </w:tc>
        <w:tc>
          <w:tcPr>
            <w:tcW w:w="5527" w:type="dxa"/>
            <w:tcBorders/>
          </w:tcPr>
          <w:p>
            <w:pPr>
              <w:pStyle w:val="Normal"/>
              <w:widowControl w:val="false"/>
              <w:suppressAutoHyphens w:val="true"/>
              <w:spacing w:before="0" w:after="0"/>
              <w:jc w:val="both"/>
              <w:rPr>
                <w:rFonts w:cs="Dubai"/>
                <w:color w:themeColor="text1" w:val="000000"/>
                <w:sz w:val="22"/>
                <w:szCs w:val="22"/>
              </w:rPr>
            </w:pPr>
            <w:r>
              <w:rPr>
                <w:rFonts w:cs="Dubai"/>
                <w:b/>
                <w:bCs/>
                <w:color w:themeColor="text1" w:val="000000"/>
                <w:kern w:val="0"/>
                <w:sz w:val="22"/>
                <w:szCs w:val="22"/>
                <w:lang w:val="en-US" w:eastAsia="en-US" w:bidi="ar-SA"/>
              </w:rPr>
              <w:t xml:space="preserve">Relevant P6 Programme (level 2): </w:t>
            </w:r>
          </w:p>
          <w:p>
            <w:pPr>
              <w:pStyle w:val="TableText"/>
              <w:widowControl w:val="false"/>
              <w:suppressAutoHyphens w:val="true"/>
              <w:spacing w:before="0" w:after="0"/>
              <w:jc w:val="both"/>
              <w:rPr>
                <w:color w:themeColor="text1" w:val="000000"/>
              </w:rPr>
            </w:pPr>
            <w:r>
              <w:rPr>
                <w:rFonts w:eastAsia="Calibri"/>
                <w:color w:themeColor="text1" w:val="000000"/>
                <w:kern w:val="0"/>
                <w:sz w:val="22"/>
                <w:szCs w:val="22"/>
                <w:u w:val="single"/>
                <w:lang w:val="en-US" w:eastAsia="en-US" w:bidi="ar-SA"/>
              </w:rPr>
              <w:t>Base Scope D&amp;B Level 2 Programme:</w:t>
            </w:r>
            <w:r>
              <w:rPr>
                <w:rFonts w:eastAsia="Calibri"/>
                <w:color w:themeColor="text1" w:val="000000"/>
                <w:kern w:val="0"/>
                <w:sz w:val="22"/>
                <w:szCs w:val="22"/>
                <w:lang w:val="en-US" w:eastAsia="en-US" w:bidi="ar-SA"/>
              </w:rPr>
              <w:t xml:space="preserve"> Code 2 received on 19/11/2024. All remaining open comments are new from last revision, where all the previous comments have been closed. Under development the new Programme(s), considering the latest project configuration.</w:t>
            </w:r>
          </w:p>
          <w:p>
            <w:pPr>
              <w:pStyle w:val="TableText"/>
              <w:widowControl w:val="false"/>
              <w:suppressAutoHyphens w:val="true"/>
              <w:spacing w:lineRule="auto" w:line="259" w:before="0" w:after="0"/>
              <w:jc w:val="both"/>
              <w:rPr>
                <w:color w:themeColor="text1" w:val="000000"/>
              </w:rPr>
            </w:pPr>
            <w:r>
              <w:rPr>
                <w:rFonts w:eastAsia="Calibri"/>
                <w:color w:themeColor="text1" w:val="000000"/>
                <w:kern w:val="0"/>
                <w:sz w:val="22"/>
                <w:szCs w:val="22"/>
                <w:u w:val="single"/>
                <w:lang w:val="en-US" w:eastAsia="en-US" w:bidi="ar-SA"/>
              </w:rPr>
              <w:t>Reem D&amp;B Level 2 Programme (Intercity with Reem and Sectioning):</w:t>
            </w:r>
            <w:r>
              <w:rPr>
                <w:rFonts w:eastAsia="Calibri"/>
                <w:color w:themeColor="text1" w:val="000000"/>
                <w:kern w:val="0"/>
                <w:sz w:val="22"/>
                <w:szCs w:val="22"/>
                <w:lang w:val="en-US" w:eastAsia="en-US" w:bidi="ar-SA"/>
              </w:rPr>
              <w:t xml:space="preserve"> Ongoing workshops to finalize the Key Milestones/Dates coordinated with the Programme, waiting for final agreement on Systems’ programme and complete report with PMC before EPFM submission. New changes requested 21/04/25 and 27/05/25</w:t>
            </w:r>
          </w:p>
          <w:p>
            <w:pPr>
              <w:pStyle w:val="TableText"/>
              <w:widowControl w:val="false"/>
              <w:suppressAutoHyphens w:val="true"/>
              <w:spacing w:lineRule="auto" w:line="259" w:before="0" w:after="0"/>
              <w:jc w:val="both"/>
              <w:rPr>
                <w:color w:themeColor="text1" w:val="000000"/>
              </w:rPr>
            </w:pPr>
            <w:r>
              <w:rPr>
                <w:rFonts w:eastAsia="Calibri"/>
                <w:color w:themeColor="text1" w:val="000000"/>
                <w:kern w:val="0"/>
                <w:sz w:val="22"/>
                <w:szCs w:val="22"/>
                <w:lang w:val="en-US" w:eastAsia="en-US" w:bidi="ar-SA"/>
              </w:rPr>
              <w:t xml:space="preserve">Narrative shared unofficially on 27/03/25, as agreed. </w:t>
            </w:r>
          </w:p>
        </w:tc>
        <w:tc>
          <w:tcPr>
            <w:tcW w:w="850" w:type="dxa"/>
            <w:tcBorders/>
          </w:tcPr>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t>Note</w:t>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bCs/>
              </w:rPr>
            </w:pPr>
            <w:r>
              <w:rPr>
                <w:rFonts w:eastAsia="Calibri"/>
                <w:kern w:val="0"/>
                <w:sz w:val="22"/>
                <w:szCs w:val="22"/>
                <w:lang w:val="en-US" w:eastAsia="en-US" w:bidi="ar-SA"/>
              </w:rPr>
              <w:t>Note</w:t>
            </w:r>
          </w:p>
        </w:tc>
        <w:tc>
          <w:tcPr>
            <w:tcW w:w="1278" w:type="dxa"/>
            <w:tcBorders/>
          </w:tcPr>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r>
          </w:p>
        </w:tc>
      </w:tr>
      <w:tr>
        <w:trPr>
          <w:trHeight w:val="300" w:hRule="atLeast"/>
        </w:trPr>
        <w:tc>
          <w:tcPr>
            <w:tcW w:w="1400" w:type="dxa"/>
            <w:vMerge w:val="continue"/>
            <w:tcBorders/>
            <w:vAlign w:val="center"/>
          </w:tcPr>
          <w:p>
            <w:pPr>
              <w:pStyle w:val="TableLineNumbering"/>
              <w:widowControl w:val="false"/>
              <w:numPr>
                <w:ilvl w:val="0"/>
                <w:numId w:val="0"/>
              </w:numPr>
              <w:suppressAutoHyphens w:val="true"/>
              <w:spacing w:before="0" w:after="0"/>
              <w:ind w:hanging="360" w:start="360"/>
              <w:jc w:val="start"/>
              <w:rPr>
                <w:kern w:val="0"/>
                <w:lang w:val="en-US" w:eastAsia="en-US" w:bidi="ar-SA"/>
              </w:rPr>
            </w:pPr>
            <w:r>
              <w:rPr>
                <w:kern w:val="0"/>
                <w:lang w:val="en-US" w:eastAsia="en-US" w:bidi="ar-SA"/>
              </w:rPr>
            </w:r>
          </w:p>
        </w:tc>
        <w:tc>
          <w:tcPr>
            <w:tcW w:w="1871" w:type="dxa"/>
            <w:vMerge w:val="continue"/>
            <w:tcBorders/>
            <w:vAlign w:val="center"/>
          </w:tcPr>
          <w:p>
            <w:pPr>
              <w:pStyle w:val="TableText"/>
              <w:widowControl w:val="false"/>
              <w:suppressAutoHyphens w:val="true"/>
              <w:spacing w:before="0" w:after="0"/>
              <w:jc w:val="start"/>
              <w:rPr>
                <w:bCs/>
              </w:rPr>
            </w:pPr>
            <w:r>
              <w:rPr>
                <w:rFonts w:eastAsia="Calibri"/>
                <w:bCs/>
                <w:kern w:val="0"/>
                <w:sz w:val="22"/>
                <w:szCs w:val="22"/>
                <w:lang w:val="en-US" w:eastAsia="en-US" w:bidi="ar-SA"/>
              </w:rPr>
            </w:r>
          </w:p>
        </w:tc>
        <w:tc>
          <w:tcPr>
            <w:tcW w:w="5527" w:type="dxa"/>
            <w:tcBorders/>
          </w:tcPr>
          <w:p>
            <w:pPr>
              <w:pStyle w:val="Normal"/>
              <w:widowControl/>
              <w:suppressAutoHyphens w:val="true"/>
              <w:spacing w:before="0" w:after="0"/>
              <w:jc w:val="both"/>
              <w:rPr>
                <w:rFonts w:cs="Dubai"/>
                <w:color w:themeColor="text1" w:val="000000"/>
                <w:sz w:val="22"/>
                <w:szCs w:val="22"/>
              </w:rPr>
            </w:pPr>
            <w:r>
              <w:rPr>
                <w:rFonts w:cs="Dubai"/>
                <w:b/>
                <w:bCs/>
                <w:color w:themeColor="text1" w:val="000000"/>
                <w:kern w:val="0"/>
                <w:sz w:val="22"/>
                <w:szCs w:val="22"/>
                <w:lang w:val="en-US" w:eastAsia="en-US" w:bidi="ar-SA"/>
              </w:rPr>
              <w:t>Civil (Stations included):</w:t>
            </w:r>
            <w:r>
              <w:rPr>
                <w:rFonts w:cs="Dubai"/>
                <w:color w:themeColor="text1" w:val="000000"/>
                <w:kern w:val="0"/>
                <w:sz w:val="22"/>
                <w:szCs w:val="22"/>
                <w:lang w:val="en-US" w:eastAsia="en-US" w:bidi="ar-SA"/>
              </w:rPr>
              <w:t xml:space="preserve"> </w:t>
            </w:r>
          </w:p>
          <w:p>
            <w:pPr>
              <w:pStyle w:val="TableText"/>
              <w:widowControl w:val="false"/>
              <w:suppressAutoHyphens w:val="true"/>
              <w:spacing w:before="0" w:after="0"/>
              <w:jc w:val="both"/>
              <w:rPr>
                <w:rFonts w:eastAsia="Dubai"/>
                <w:lang w:val="en-GB"/>
              </w:rPr>
            </w:pPr>
            <w:r>
              <w:rPr>
                <w:rFonts w:eastAsia="Dubai"/>
                <w:kern w:val="0"/>
                <w:sz w:val="22"/>
                <w:szCs w:val="22"/>
                <w:lang w:val="en-GB" w:eastAsia="en-US" w:bidi="ar-SA"/>
              </w:rPr>
              <w:t>Addendum No.2 USBs have been issued officially on 02/05 to Bidders.</w:t>
            </w:r>
          </w:p>
          <w:p>
            <w:pPr>
              <w:pStyle w:val="TableText"/>
              <w:widowControl w:val="false"/>
              <w:suppressAutoHyphens w:val="true"/>
              <w:spacing w:before="0" w:after="0"/>
              <w:jc w:val="both"/>
              <w:rPr>
                <w:rFonts w:eastAsia="Calibri"/>
                <w:lang w:val="en-GB"/>
              </w:rPr>
            </w:pPr>
            <w:r>
              <w:rPr>
                <w:rFonts w:eastAsia="Calibri"/>
                <w:kern w:val="0"/>
                <w:sz w:val="22"/>
                <w:szCs w:val="22"/>
                <w:lang w:val="en-GB" w:eastAsia="en-US" w:bidi="ar-SA"/>
              </w:rPr>
              <w:t>Circulation plan to be included in Tender (Exh E). AUH &amp; YAS &amp; DJD drawings to be added.</w:t>
            </w:r>
          </w:p>
          <w:p>
            <w:pPr>
              <w:pStyle w:val="TableText"/>
              <w:widowControl w:val="false"/>
              <w:suppressAutoHyphens w:val="true"/>
              <w:spacing w:before="0" w:after="0"/>
              <w:jc w:val="both"/>
              <w:rPr>
                <w:rFonts w:eastAsia="Calibri"/>
                <w:lang w:val="en-GB"/>
              </w:rPr>
            </w:pPr>
            <w:r>
              <w:rPr>
                <w:rFonts w:eastAsia="Calibri"/>
                <w:kern w:val="0"/>
                <w:sz w:val="22"/>
                <w:szCs w:val="22"/>
                <w:lang w:val="en-GB" w:eastAsia="en-US" w:bidi="ar-SA"/>
              </w:rPr>
              <w:t>Evaluation criteria (draft) sent to ER for review.</w:t>
            </w:r>
          </w:p>
          <w:p>
            <w:pPr>
              <w:pStyle w:val="TableText"/>
              <w:widowControl w:val="false"/>
              <w:suppressAutoHyphens w:val="true"/>
              <w:spacing w:before="0" w:after="0"/>
              <w:jc w:val="both"/>
              <w:rPr>
                <w:rFonts w:eastAsia="Dubai"/>
                <w:lang w:val="en-GB"/>
              </w:rPr>
            </w:pPr>
            <w:r>
              <w:rPr>
                <w:rFonts w:eastAsia="Calibri"/>
                <w:kern w:val="0"/>
                <w:sz w:val="22"/>
                <w:szCs w:val="22"/>
                <w:lang w:val="en-GB" w:eastAsia="en-US" w:bidi="ar-SA"/>
              </w:rPr>
              <w:t>SLR folders to be added to upcoming TA.</w:t>
            </w:r>
          </w:p>
        </w:tc>
        <w:tc>
          <w:tcPr>
            <w:tcW w:w="850" w:type="dxa"/>
            <w:tcBorders/>
          </w:tcPr>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lang w:val="ca-ES"/>
              </w:rPr>
            </w:pPr>
            <w:r>
              <w:rPr>
                <w:rFonts w:eastAsia="Calibri"/>
                <w:kern w:val="0"/>
                <w:sz w:val="22"/>
                <w:szCs w:val="22"/>
                <w:lang w:val="ca-ES" w:eastAsia="en-US" w:bidi="ar-SA"/>
              </w:rPr>
              <w:t>Note</w:t>
            </w:r>
          </w:p>
          <w:p>
            <w:pPr>
              <w:pStyle w:val="TableText"/>
              <w:widowControl w:val="false"/>
              <w:suppressAutoHyphens w:val="true"/>
              <w:spacing w:before="0" w:after="0"/>
              <w:jc w:val="center"/>
              <w:rPr>
                <w:lang w:val="ca-ES"/>
              </w:rPr>
            </w:pPr>
            <w:r>
              <w:rPr>
                <w:rFonts w:eastAsia="Calibri"/>
                <w:kern w:val="0"/>
                <w:sz w:val="22"/>
                <w:szCs w:val="22"/>
                <w:lang w:val="ca-ES" w:eastAsia="en-US" w:bidi="ar-SA"/>
              </w:rPr>
            </w:r>
          </w:p>
          <w:p>
            <w:pPr>
              <w:pStyle w:val="TableText"/>
              <w:widowControl w:val="false"/>
              <w:suppressAutoHyphens w:val="true"/>
              <w:spacing w:before="0" w:after="0"/>
              <w:jc w:val="center"/>
              <w:rPr>
                <w:lang w:val="ca-ES"/>
              </w:rPr>
            </w:pPr>
            <w:r>
              <w:rPr>
                <w:rFonts w:eastAsia="Calibri"/>
                <w:kern w:val="0"/>
                <w:sz w:val="22"/>
                <w:szCs w:val="22"/>
                <w:lang w:val="ca-ES" w:eastAsia="en-US" w:bidi="ar-SA"/>
              </w:rPr>
              <w:t>Note</w:t>
            </w:r>
          </w:p>
          <w:p>
            <w:pPr>
              <w:pStyle w:val="TableText"/>
              <w:widowControl w:val="false"/>
              <w:suppressAutoHyphens w:val="true"/>
              <w:spacing w:before="0" w:after="0"/>
              <w:jc w:val="center"/>
              <w:rPr>
                <w:lang w:val="ca-ES"/>
              </w:rPr>
            </w:pPr>
            <w:r>
              <w:rPr>
                <w:rFonts w:eastAsia="Calibri"/>
                <w:kern w:val="0"/>
                <w:sz w:val="22"/>
                <w:szCs w:val="22"/>
                <w:lang w:val="ca-ES" w:eastAsia="en-US" w:bidi="ar-SA"/>
              </w:rPr>
            </w:r>
          </w:p>
          <w:p>
            <w:pPr>
              <w:pStyle w:val="TableText"/>
              <w:widowControl w:val="false"/>
              <w:suppressAutoHyphens w:val="true"/>
              <w:spacing w:before="0" w:after="0"/>
              <w:jc w:val="center"/>
              <w:rPr>
                <w:lang w:val="ca-ES"/>
              </w:rPr>
            </w:pPr>
            <w:r>
              <w:rPr>
                <w:rFonts w:eastAsia="Calibri"/>
                <w:kern w:val="0"/>
                <w:sz w:val="22"/>
                <w:szCs w:val="22"/>
                <w:lang w:val="ca-ES" w:eastAsia="en-US" w:bidi="ar-SA"/>
              </w:rPr>
              <w:t>ER</w:t>
            </w:r>
          </w:p>
        </w:tc>
        <w:tc>
          <w:tcPr>
            <w:tcW w:w="1278" w:type="dxa"/>
            <w:tcBorders/>
          </w:tcPr>
          <w:p>
            <w:pPr>
              <w:pStyle w:val="TableText"/>
              <w:widowControl w:val="false"/>
              <w:suppressAutoHyphens w:val="true"/>
              <w:spacing w:before="0" w:after="0"/>
              <w:jc w:val="center"/>
              <w:rPr>
                <w:bCs/>
              </w:rPr>
            </w:pPr>
            <w:r>
              <w:rPr>
                <w:rFonts w:eastAsia="Calibri"/>
                <w:bCs/>
                <w:kern w:val="0"/>
                <w:sz w:val="22"/>
                <w:szCs w:val="22"/>
                <w:lang w:val="en-US"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t>TBC</w:t>
            </w:r>
          </w:p>
        </w:tc>
      </w:tr>
      <w:tr>
        <w:trPr>
          <w:trHeight w:val="300" w:hRule="atLeast"/>
        </w:trPr>
        <w:tc>
          <w:tcPr>
            <w:tcW w:w="1400" w:type="dxa"/>
            <w:vMerge w:val="continue"/>
            <w:tcBorders/>
            <w:vAlign w:val="center"/>
          </w:tcPr>
          <w:p>
            <w:pPr>
              <w:pStyle w:val="TableLineNumbering"/>
              <w:widowControl w:val="false"/>
              <w:numPr>
                <w:ilvl w:val="0"/>
                <w:numId w:val="0"/>
              </w:numPr>
              <w:suppressAutoHyphens w:val="true"/>
              <w:spacing w:before="0" w:after="0"/>
              <w:ind w:hanging="360" w:start="360"/>
              <w:jc w:val="start"/>
              <w:rPr>
                <w:kern w:val="0"/>
                <w:lang w:val="en-US" w:eastAsia="en-US" w:bidi="ar-SA"/>
              </w:rPr>
            </w:pPr>
            <w:r>
              <w:rPr>
                <w:kern w:val="0"/>
                <w:lang w:val="en-US" w:eastAsia="en-US" w:bidi="ar-SA"/>
              </w:rPr>
            </w:r>
          </w:p>
        </w:tc>
        <w:tc>
          <w:tcPr>
            <w:tcW w:w="1871" w:type="dxa"/>
            <w:vMerge w:val="continue"/>
            <w:tcBorders/>
            <w:vAlign w:val="center"/>
          </w:tcPr>
          <w:p>
            <w:pPr>
              <w:pStyle w:val="TableText"/>
              <w:widowControl w:val="false"/>
              <w:suppressAutoHyphens w:val="true"/>
              <w:spacing w:before="0" w:after="0"/>
              <w:jc w:val="start"/>
              <w:rPr>
                <w:bCs/>
              </w:rPr>
            </w:pPr>
            <w:r>
              <w:rPr>
                <w:rFonts w:eastAsia="Calibri"/>
                <w:bCs/>
                <w:kern w:val="0"/>
                <w:sz w:val="22"/>
                <w:szCs w:val="22"/>
                <w:lang w:val="en-US" w:eastAsia="en-US" w:bidi="ar-SA"/>
              </w:rPr>
            </w:r>
          </w:p>
        </w:tc>
        <w:tc>
          <w:tcPr>
            <w:tcW w:w="5527" w:type="dxa"/>
            <w:tcBorders/>
          </w:tcPr>
          <w:p>
            <w:pPr>
              <w:pStyle w:val="TableText"/>
              <w:widowControl w:val="false"/>
              <w:suppressAutoHyphens w:val="true"/>
              <w:spacing w:before="0" w:after="0"/>
              <w:jc w:val="both"/>
              <w:rPr>
                <w:b/>
                <w:bCs/>
                <w:color w:themeColor="text1" w:val="000000"/>
                <w:lang w:val="en-GB"/>
              </w:rPr>
            </w:pPr>
            <w:r>
              <w:rPr>
                <w:rFonts w:eastAsia="Calibri"/>
                <w:b/>
                <w:bCs/>
                <w:color w:themeColor="text1" w:val="000000"/>
                <w:kern w:val="0"/>
                <w:sz w:val="22"/>
                <w:szCs w:val="22"/>
                <w:lang w:val="en-GB" w:eastAsia="en-US" w:bidi="ar-SA"/>
              </w:rPr>
              <w:t>Systems:</w:t>
            </w:r>
          </w:p>
          <w:p>
            <w:pPr>
              <w:pStyle w:val="TableText"/>
              <w:widowControl w:val="false"/>
              <w:suppressAutoHyphens w:val="true"/>
              <w:spacing w:before="0" w:after="0"/>
              <w:jc w:val="start"/>
              <w:rPr>
                <w:rFonts w:eastAsia="Dubai"/>
                <w:lang w:val="en-GB"/>
              </w:rPr>
            </w:pPr>
            <w:r>
              <w:rPr>
                <w:rFonts w:eastAsia="Dubai"/>
                <w:kern w:val="0"/>
                <w:sz w:val="22"/>
                <w:szCs w:val="22"/>
                <w:lang w:val="en-GB" w:eastAsia="en-US" w:bidi="ar-SA"/>
              </w:rPr>
              <w:t>Addendum No.2: Exh D2 Track Changes files to be added to USBs.</w:t>
            </w:r>
          </w:p>
          <w:p>
            <w:pPr>
              <w:pStyle w:val="TableText"/>
              <w:widowControl w:val="false"/>
              <w:suppressAutoHyphens w:val="true"/>
              <w:spacing w:before="0" w:after="0"/>
              <w:jc w:val="start"/>
              <w:rPr>
                <w:rFonts w:eastAsia="Dubai"/>
                <w:lang w:val="en-GB"/>
              </w:rPr>
            </w:pPr>
            <w:r>
              <w:rPr>
                <w:rFonts w:eastAsia="Calibri"/>
                <w:kern w:val="0"/>
                <w:sz w:val="22"/>
                <w:szCs w:val="22"/>
                <w:lang w:val="en-GB" w:eastAsia="en-US" w:bidi="ar-SA"/>
              </w:rPr>
              <w:t>Circulation plan to be included in Tender (Exh E). AUH &amp; YAS &amp; DJD drawings to be added.</w:t>
            </w:r>
          </w:p>
        </w:tc>
        <w:tc>
          <w:tcPr>
            <w:tcW w:w="850" w:type="dxa"/>
            <w:tcBorders/>
          </w:tcPr>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SEI</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Note</w:t>
            </w:r>
          </w:p>
        </w:tc>
        <w:tc>
          <w:tcPr>
            <w:tcW w:w="1278" w:type="dxa"/>
            <w:tcBorders/>
          </w:tcPr>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t>27/05/25</w:t>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r>
          </w:p>
        </w:tc>
      </w:tr>
      <w:tr>
        <w:trPr>
          <w:trHeight w:val="300" w:hRule="atLeast"/>
        </w:trPr>
        <w:tc>
          <w:tcPr>
            <w:tcW w:w="1400" w:type="dxa"/>
            <w:vMerge w:val="continue"/>
            <w:tcBorders/>
            <w:vAlign w:val="center"/>
          </w:tcPr>
          <w:p>
            <w:pPr>
              <w:pStyle w:val="TableLineNumbering"/>
              <w:widowControl w:val="false"/>
              <w:numPr>
                <w:ilvl w:val="0"/>
                <w:numId w:val="0"/>
              </w:numPr>
              <w:suppressAutoHyphens w:val="true"/>
              <w:spacing w:before="0" w:after="0"/>
              <w:ind w:hanging="360" w:start="360"/>
              <w:jc w:val="start"/>
              <w:rPr>
                <w:lang w:val="pt-BR"/>
              </w:rPr>
            </w:pPr>
            <w:r>
              <w:rPr>
                <w:kern w:val="0"/>
                <w:lang w:val="pt-BR" w:eastAsia="en-US" w:bidi="ar-SA"/>
              </w:rPr>
            </w:r>
          </w:p>
        </w:tc>
        <w:tc>
          <w:tcPr>
            <w:tcW w:w="1871" w:type="dxa"/>
            <w:vMerge w:val="continue"/>
            <w:tcBorders/>
            <w:vAlign w:val="center"/>
          </w:tcPr>
          <w:p>
            <w:pPr>
              <w:pStyle w:val="TableText"/>
              <w:widowControl w:val="false"/>
              <w:suppressAutoHyphens w:val="true"/>
              <w:spacing w:before="0" w:after="0"/>
              <w:jc w:val="start"/>
              <w:rPr>
                <w:bCs/>
                <w:lang w:val="pt-BR"/>
              </w:rPr>
            </w:pPr>
            <w:r>
              <w:rPr>
                <w:rFonts w:eastAsia="Calibri"/>
                <w:bCs/>
                <w:kern w:val="0"/>
                <w:sz w:val="22"/>
                <w:szCs w:val="22"/>
                <w:lang w:val="pt-BR" w:eastAsia="en-US" w:bidi="ar-SA"/>
              </w:rPr>
            </w:r>
          </w:p>
        </w:tc>
        <w:tc>
          <w:tcPr>
            <w:tcW w:w="5527" w:type="dxa"/>
            <w:tcBorders/>
          </w:tcPr>
          <w:p>
            <w:pPr>
              <w:pStyle w:val="Normal"/>
              <w:widowControl/>
              <w:suppressAutoHyphens w:val="true"/>
              <w:spacing w:before="0" w:after="0"/>
              <w:jc w:val="both"/>
              <w:rPr>
                <w:rFonts w:cs="Dubai"/>
                <w:b/>
                <w:bCs/>
                <w:color w:themeColor="text1" w:val="000000"/>
                <w:sz w:val="22"/>
                <w:szCs w:val="22"/>
                <w:lang w:val="en-GB"/>
              </w:rPr>
            </w:pPr>
            <w:r>
              <w:rPr>
                <w:rFonts w:cs="Dubai"/>
                <w:b/>
                <w:bCs/>
                <w:color w:themeColor="text1" w:val="000000"/>
                <w:kern w:val="0"/>
                <w:sz w:val="22"/>
                <w:szCs w:val="22"/>
                <w:lang w:val="en-GB" w:eastAsia="en-US" w:bidi="ar-SA"/>
              </w:rPr>
              <w:t>Enabling Works:</w:t>
            </w:r>
          </w:p>
          <w:p>
            <w:pPr>
              <w:pStyle w:val="TableText"/>
              <w:widowControl w:val="false"/>
              <w:suppressAutoHyphens w:val="true"/>
              <w:spacing w:before="0" w:after="0"/>
              <w:jc w:val="both"/>
              <w:rPr>
                <w:color w:themeColor="text1" w:val="000000"/>
                <w:lang w:val="en-GB"/>
              </w:rPr>
            </w:pPr>
            <w:r>
              <w:rPr>
                <w:rFonts w:eastAsia="Calibri"/>
                <w:color w:themeColor="text1" w:val="000000"/>
                <w:kern w:val="0"/>
                <w:sz w:val="22"/>
                <w:szCs w:val="22"/>
                <w:u w:val="single"/>
                <w:lang w:val="en-GB" w:eastAsia="en-US" w:bidi="ar-SA"/>
              </w:rPr>
              <w:t>Abu Dhabi:</w:t>
            </w:r>
            <w:r>
              <w:rPr>
                <w:rFonts w:eastAsia="Calibri"/>
                <w:color w:themeColor="text1" w:val="000000"/>
                <w:kern w:val="0"/>
                <w:sz w:val="22"/>
                <w:szCs w:val="22"/>
                <w:lang w:val="en-GB" w:eastAsia="en-US" w:bidi="ar-SA"/>
              </w:rPr>
              <w:t xml:space="preserve"> Package completed on 30/04.</w:t>
            </w:r>
          </w:p>
          <w:p>
            <w:pPr>
              <w:pStyle w:val="TableText"/>
              <w:widowControl w:val="false"/>
              <w:suppressAutoHyphens w:val="true"/>
              <w:spacing w:before="0" w:after="0"/>
              <w:jc w:val="both"/>
              <w:rPr>
                <w:color w:themeColor="text1" w:val="000000"/>
                <w:lang w:val="en-GB"/>
              </w:rPr>
            </w:pPr>
            <w:r>
              <w:rPr>
                <w:rFonts w:eastAsia="Calibri"/>
                <w:color w:themeColor="text1" w:val="000000"/>
                <w:kern w:val="0"/>
                <w:sz w:val="22"/>
                <w:szCs w:val="22"/>
                <w:u w:val="single"/>
                <w:lang w:val="en-GB" w:eastAsia="en-US" w:bidi="ar-SA"/>
              </w:rPr>
              <w:t>Dubai:</w:t>
            </w:r>
            <w:r>
              <w:rPr>
                <w:rFonts w:eastAsia="Calibri"/>
                <w:color w:themeColor="text1" w:val="000000"/>
                <w:kern w:val="0"/>
                <w:sz w:val="22"/>
                <w:szCs w:val="22"/>
                <w:lang w:val="en-GB" w:eastAsia="en-US" w:bidi="ar-SA"/>
              </w:rPr>
              <w:t xml:space="preserve"> Package completed on 28/04.</w:t>
            </w:r>
          </w:p>
        </w:tc>
        <w:tc>
          <w:tcPr>
            <w:tcW w:w="850" w:type="dxa"/>
            <w:tcBorders/>
          </w:tcPr>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lang w:val="pt-BR"/>
              </w:rPr>
            </w:pPr>
            <w:r>
              <w:rPr>
                <w:rFonts w:eastAsia="Calibri"/>
                <w:color w:themeColor="text1" w:val="000000"/>
                <w:kern w:val="0"/>
                <w:sz w:val="22"/>
                <w:szCs w:val="22"/>
                <w:lang w:val="pt-BR" w:eastAsia="en-US" w:bidi="ar-SA"/>
              </w:rPr>
              <w:t>Note</w:t>
            </w:r>
          </w:p>
        </w:tc>
        <w:tc>
          <w:tcPr>
            <w:tcW w:w="1278" w:type="dxa"/>
            <w:tcBorders/>
          </w:tcPr>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r>
          </w:p>
        </w:tc>
      </w:tr>
      <w:tr>
        <w:trPr>
          <w:trHeight w:val="300" w:hRule="atLeast"/>
        </w:trPr>
        <w:tc>
          <w:tcPr>
            <w:tcW w:w="1400" w:type="dxa"/>
            <w:vMerge w:val="restart"/>
            <w:tcBorders/>
            <w:vAlign w:val="center"/>
          </w:tcPr>
          <w:p>
            <w:pPr>
              <w:pStyle w:val="TableLineNumbering"/>
              <w:widowControl w:val="false"/>
              <w:numPr>
                <w:ilvl w:val="0"/>
                <w:numId w:val="0"/>
              </w:numPr>
              <w:suppressAutoHyphens w:val="true"/>
              <w:spacing w:before="0" w:after="0"/>
              <w:ind w:hanging="360" w:start="360"/>
              <w:jc w:val="start"/>
              <w:rPr>
                <w:kern w:val="0"/>
                <w:lang w:val="en-US" w:eastAsia="en-US" w:bidi="ar-SA"/>
              </w:rPr>
            </w:pPr>
            <w:r>
              <w:rPr>
                <w:kern w:val="0"/>
                <w:lang w:val="en-US" w:eastAsia="en-US" w:bidi="ar-SA"/>
              </w:rPr>
              <w:t>4.</w:t>
            </w:r>
          </w:p>
        </w:tc>
        <w:tc>
          <w:tcPr>
            <w:tcW w:w="1871" w:type="dxa"/>
            <w:vMerge w:val="restart"/>
            <w:tcBorders/>
            <w:vAlign w:val="center"/>
          </w:tcPr>
          <w:p>
            <w:pPr>
              <w:pStyle w:val="TableText"/>
              <w:widowControl w:val="false"/>
              <w:suppressAutoHyphens w:val="true"/>
              <w:spacing w:before="0" w:after="0"/>
              <w:jc w:val="start"/>
              <w:rPr>
                <w:bCs/>
              </w:rPr>
            </w:pPr>
            <w:r>
              <w:rPr>
                <w:rFonts w:eastAsia="Calibri"/>
                <w:kern w:val="0"/>
                <w:sz w:val="22"/>
                <w:szCs w:val="22"/>
                <w:lang w:val="en-US" w:eastAsia="en-US" w:bidi="ar-SA"/>
              </w:rPr>
              <w:t>CIVIL</w:t>
            </w:r>
          </w:p>
        </w:tc>
        <w:tc>
          <w:tcPr>
            <w:tcW w:w="5527" w:type="dxa"/>
            <w:tcBorders/>
          </w:tcPr>
          <w:p>
            <w:pPr>
              <w:pStyle w:val="TableText"/>
              <w:widowControl w:val="false"/>
              <w:suppressAutoHyphens w:val="true"/>
              <w:spacing w:before="0" w:after="0"/>
              <w:jc w:val="both"/>
              <w:rPr>
                <w:color w:themeColor="text1" w:val="000000"/>
                <w:lang w:val="en-GB"/>
              </w:rPr>
            </w:pPr>
            <w:r>
              <w:rPr>
                <w:rFonts w:eastAsia="Calibri"/>
                <w:b/>
                <w:color w:themeColor="text1" w:val="000000"/>
                <w:kern w:val="0"/>
                <w:sz w:val="22"/>
                <w:szCs w:val="22"/>
                <w:lang w:val="en-GB" w:eastAsia="en-US" w:bidi="ar-SA"/>
              </w:rPr>
              <w:t>Alignment</w:t>
            </w:r>
          </w:p>
          <w:p>
            <w:pPr>
              <w:pStyle w:val="TableText"/>
              <w:widowControl w:val="false"/>
              <w:suppressAutoHyphens w:val="true"/>
              <w:spacing w:before="0" w:after="0"/>
              <w:jc w:val="both"/>
              <w:rPr>
                <w:u w:val="single"/>
                <w:lang w:val="en-GB"/>
              </w:rPr>
            </w:pPr>
            <w:r>
              <w:rPr>
                <w:rFonts w:eastAsia="Calibri"/>
                <w:kern w:val="0"/>
                <w:sz w:val="22"/>
                <w:szCs w:val="22"/>
                <w:u w:val="single"/>
                <w:lang w:val="en-GB" w:eastAsia="en-US" w:bidi="ar-SA"/>
              </w:rPr>
              <w:t>Phase 1 – submission status</w:t>
            </w:r>
          </w:p>
          <w:tbl>
            <w:tblPr>
              <w:tblW w:w="4950" w:type="pct"/>
              <w:jc w:val="start"/>
              <w:tblInd w:w="0" w:type="dxa"/>
              <w:tblLayout w:type="fixed"/>
              <w:tblCellMar>
                <w:top w:w="0" w:type="dxa"/>
                <w:start w:w="108" w:type="dxa"/>
                <w:bottom w:w="0" w:type="dxa"/>
                <w:end w:w="108" w:type="dxa"/>
              </w:tblCellMar>
              <w:tblLook w:firstRow="1" w:noVBand="1" w:lastRow="0" w:firstColumn="1" w:lastColumn="0" w:noHBand="0" w:val="04a0"/>
            </w:tblPr>
            <w:tblGrid>
              <w:gridCol w:w="1315"/>
              <w:gridCol w:w="1779"/>
              <w:gridCol w:w="2163"/>
            </w:tblGrid>
            <w:tr>
              <w:trPr>
                <w:trHeight w:val="420" w:hRule="atLeast"/>
              </w:trPr>
              <w:tc>
                <w:tcPr>
                  <w:tcW w:w="1315" w:type="dxa"/>
                  <w:tcBorders>
                    <w:top w:val="single" w:sz="4" w:space="0" w:color="000000"/>
                    <w:start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rPr>
                  </w:pPr>
                  <w:r>
                    <w:rPr>
                      <w:rFonts w:cs="Dubai"/>
                      <w:color w:themeColor="text1" w:val="000000"/>
                      <w:sz w:val="20"/>
                      <w:szCs w:val="20"/>
                    </w:rPr>
                    <w:t> </w:t>
                  </w:r>
                  <w:r>
                    <w:rPr>
                      <w:rFonts w:cs="Dubai"/>
                      <w:color w:themeColor="text1" w:val="000000"/>
                      <w:sz w:val="20"/>
                      <w:szCs w:val="20"/>
                    </w:rPr>
                    <w:t>Section</w:t>
                  </w:r>
                </w:p>
              </w:tc>
              <w:tc>
                <w:tcPr>
                  <w:tcW w:w="1779" w:type="dxa"/>
                  <w:tcBorders>
                    <w:top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rPr>
                  </w:pPr>
                  <w:r>
                    <w:rPr>
                      <w:rFonts w:cs="Dubai"/>
                      <w:color w:themeColor="text1" w:val="000000"/>
                      <w:sz w:val="20"/>
                      <w:szCs w:val="20"/>
                    </w:rPr>
                    <w:t>Alignment</w:t>
                  </w:r>
                </w:p>
              </w:tc>
              <w:tc>
                <w:tcPr>
                  <w:tcW w:w="2163" w:type="dxa"/>
                  <w:tcBorders>
                    <w:top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rPr>
                  </w:pPr>
                  <w:r>
                    <w:rPr>
                      <w:rFonts w:cs="Dubai"/>
                      <w:color w:themeColor="text1" w:val="000000"/>
                      <w:sz w:val="20"/>
                      <w:szCs w:val="20"/>
                    </w:rPr>
                    <w:t>Civil Eng. &amp; Track</w:t>
                  </w:r>
                </w:p>
              </w:tc>
            </w:tr>
            <w:tr>
              <w:trPr>
                <w:trHeight w:val="840" w:hRule="atLeast"/>
              </w:trPr>
              <w:tc>
                <w:tcPr>
                  <w:tcW w:w="1315" w:type="dxa"/>
                  <w:tcBorders>
                    <w:start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lang w:val="en-AE" w:eastAsia="en-AE"/>
                    </w:rPr>
                  </w:pPr>
                  <w:r>
                    <w:rPr>
                      <w:rFonts w:cs="Dubai"/>
                      <w:color w:val="000000"/>
                      <w:sz w:val="20"/>
                      <w:szCs w:val="20"/>
                      <w:lang w:val="en-AE" w:eastAsia="en-AE"/>
                    </w:rPr>
                    <w:t>Ph.1A</w:t>
                  </w:r>
                </w:p>
              </w:tc>
              <w:tc>
                <w:tcPr>
                  <w:tcW w:w="1779" w:type="dxa"/>
                  <w:tcBorders>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rPr>
                  </w:pPr>
                  <w:r>
                    <w:rPr>
                      <w:rFonts w:cs="Dubai"/>
                      <w:color w:themeColor="text1" w:val="000000"/>
                      <w:sz w:val="20"/>
                      <w:szCs w:val="20"/>
                    </w:rPr>
                    <w:t>Rev. 00</w:t>
                  </w:r>
                  <w:r>
                    <w:rPr>
                      <w:rFonts w:cs="Dubai"/>
                      <w:sz w:val="20"/>
                      <w:szCs w:val="20"/>
                    </w:rPr>
                    <w:br/>
                  </w:r>
                  <w:r>
                    <w:rPr>
                      <w:rFonts w:cs="Dubai"/>
                      <w:color w:themeColor="text1" w:val="000000"/>
                      <w:sz w:val="20"/>
                      <w:szCs w:val="20"/>
                    </w:rPr>
                    <w:t>Code 01</w:t>
                  </w:r>
                </w:p>
                <w:p>
                  <w:pPr>
                    <w:pStyle w:val="Normal"/>
                    <w:suppressAutoHyphens w:val="false"/>
                    <w:jc w:val="center"/>
                    <w:rPr>
                      <w:rFonts w:cs="Dubai"/>
                      <w:color w:val="000000"/>
                      <w:sz w:val="20"/>
                      <w:szCs w:val="20"/>
                    </w:rPr>
                  </w:pPr>
                  <w:r>
                    <w:rPr>
                      <w:rFonts w:cs="Dubai"/>
                      <w:color w:themeColor="text1" w:val="000000"/>
                      <w:sz w:val="20"/>
                      <w:szCs w:val="20"/>
                    </w:rPr>
                    <w:t>Submitted 27/11</w:t>
                  </w:r>
                </w:p>
              </w:tc>
              <w:tc>
                <w:tcPr>
                  <w:tcW w:w="2163" w:type="dxa"/>
                  <w:tcBorders>
                    <w:bottom w:val="single" w:sz="4" w:space="0" w:color="000000"/>
                    <w:end w:val="single" w:sz="4" w:space="0" w:color="000000"/>
                  </w:tcBorders>
                  <w:shd w:color="auto" w:fill="auto" w:val="clear"/>
                  <w:vAlign w:val="center"/>
                </w:tcPr>
                <w:p>
                  <w:pPr>
                    <w:pStyle w:val="Normal"/>
                    <w:jc w:val="center"/>
                    <w:rPr>
                      <w:rFonts w:cs="Dubai"/>
                      <w:color w:themeColor="text1" w:val="000000"/>
                      <w:sz w:val="20"/>
                      <w:szCs w:val="20"/>
                    </w:rPr>
                  </w:pPr>
                  <w:r>
                    <w:rPr>
                      <w:rFonts w:cs="Dubai"/>
                      <w:color w:val="000000"/>
                      <w:sz w:val="20"/>
                      <w:szCs w:val="20"/>
                      <w:lang w:val="en-AE" w:eastAsia="en-AE"/>
                    </w:rPr>
                    <w:t>Rev. AD</w:t>
                    <w:br/>
                  </w:r>
                  <w:r>
                    <w:rPr>
                      <w:rFonts w:cs="Dubai"/>
                      <w:color w:themeColor="text1" w:val="000000"/>
                      <w:sz w:val="20"/>
                      <w:szCs w:val="20"/>
                    </w:rPr>
                    <w:t>Code 01 (report)</w:t>
                  </w:r>
                </w:p>
                <w:p>
                  <w:pPr>
                    <w:pStyle w:val="Normal"/>
                    <w:suppressAutoHyphens w:val="false"/>
                    <w:jc w:val="center"/>
                    <w:rPr>
                      <w:rFonts w:cs="Dubai"/>
                      <w:color w:val="000000"/>
                      <w:sz w:val="20"/>
                      <w:szCs w:val="20"/>
                    </w:rPr>
                  </w:pPr>
                  <w:r>
                    <w:rPr>
                      <w:rFonts w:cs="Dubai"/>
                      <w:color w:themeColor="text1" w:val="000000"/>
                      <w:sz w:val="20"/>
                      <w:szCs w:val="20"/>
                    </w:rPr>
                    <w:t>Code 02 (dwg)</w:t>
                  </w:r>
                </w:p>
                <w:p>
                  <w:pPr>
                    <w:pStyle w:val="Normal"/>
                    <w:suppressAutoHyphens w:val="false"/>
                    <w:jc w:val="center"/>
                    <w:rPr>
                      <w:rFonts w:cs="Dubai"/>
                      <w:color w:val="000000"/>
                      <w:sz w:val="20"/>
                      <w:szCs w:val="20"/>
                      <w:highlight w:val="yellow"/>
                    </w:rPr>
                  </w:pPr>
                  <w:r>
                    <w:rPr>
                      <w:rFonts w:cs="Dubai"/>
                      <w:color w:themeColor="text1" w:val="000000"/>
                      <w:sz w:val="20"/>
                      <w:szCs w:val="20"/>
                    </w:rPr>
                    <w:t>Submitted (report) 28/01</w:t>
                  </w:r>
                </w:p>
              </w:tc>
            </w:tr>
            <w:tr>
              <w:trPr>
                <w:trHeight w:val="422" w:hRule="atLeast"/>
              </w:trPr>
              <w:tc>
                <w:tcPr>
                  <w:tcW w:w="1315" w:type="dxa"/>
                  <w:tcBorders>
                    <w:start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lang w:val="en-AE" w:eastAsia="en-AE"/>
                    </w:rPr>
                  </w:pPr>
                  <w:r>
                    <w:rPr>
                      <w:rFonts w:cs="Dubai"/>
                      <w:color w:val="000000"/>
                      <w:sz w:val="20"/>
                      <w:szCs w:val="20"/>
                      <w:lang w:val="en-AE" w:eastAsia="en-AE"/>
                    </w:rPr>
                    <w:t>Ph.1B</w:t>
                  </w:r>
                </w:p>
              </w:tc>
              <w:tc>
                <w:tcPr>
                  <w:tcW w:w="1779" w:type="dxa"/>
                  <w:tcBorders>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rPr>
                  </w:pPr>
                  <w:r>
                    <w:rPr>
                      <w:rFonts w:cs="Dubai"/>
                      <w:color w:val="000000"/>
                      <w:sz w:val="20"/>
                      <w:szCs w:val="20"/>
                      <w:lang w:val="en-AE" w:eastAsia="en-AE"/>
                    </w:rPr>
                    <w:t>Rev. 03</w:t>
                    <w:br/>
                  </w:r>
                  <w:r>
                    <w:rPr>
                      <w:rFonts w:cs="Dubai"/>
                      <w:color w:themeColor="text1" w:val="000000"/>
                      <w:sz w:val="20"/>
                      <w:szCs w:val="20"/>
                    </w:rPr>
                    <w:t>Code 01</w:t>
                  </w:r>
                </w:p>
                <w:p>
                  <w:pPr>
                    <w:pStyle w:val="Normal"/>
                    <w:suppressAutoHyphens w:val="false"/>
                    <w:jc w:val="center"/>
                    <w:rPr>
                      <w:rFonts w:cs="Dubai"/>
                      <w:color w:val="000000"/>
                      <w:sz w:val="20"/>
                      <w:szCs w:val="20"/>
                      <w:lang w:val="en-AE" w:eastAsia="en-AE"/>
                    </w:rPr>
                  </w:pPr>
                  <w:r>
                    <w:rPr>
                      <w:rFonts w:cs="Dubai"/>
                      <w:color w:themeColor="text1" w:val="000000"/>
                      <w:sz w:val="20"/>
                      <w:szCs w:val="20"/>
                    </w:rPr>
                    <w:t>Submitted 17/04</w:t>
                  </w:r>
                </w:p>
              </w:tc>
              <w:tc>
                <w:tcPr>
                  <w:tcW w:w="2163" w:type="dxa"/>
                  <w:tcBorders>
                    <w:bottom w:val="single" w:sz="4" w:space="0" w:color="000000"/>
                    <w:end w:val="single" w:sz="4" w:space="0" w:color="000000"/>
                  </w:tcBorders>
                  <w:shd w:color="auto" w:fill="auto" w:val="clear"/>
                  <w:vAlign w:val="center"/>
                </w:tcPr>
                <w:p>
                  <w:pPr>
                    <w:pStyle w:val="Normal"/>
                    <w:jc w:val="center"/>
                    <w:rPr>
                      <w:rFonts w:cs="Dubai"/>
                      <w:color w:themeColor="text1" w:val="000000"/>
                      <w:sz w:val="20"/>
                      <w:szCs w:val="20"/>
                      <w:lang w:val="fr-FR"/>
                    </w:rPr>
                  </w:pPr>
                  <w:r>
                    <w:rPr>
                      <w:rFonts w:cs="Dubai"/>
                      <w:color w:val="000000"/>
                      <w:sz w:val="20"/>
                      <w:szCs w:val="20"/>
                      <w:lang w:val="fr-FR" w:eastAsia="en-AE"/>
                    </w:rPr>
                    <w:t>Rev. AE</w:t>
                    <w:br/>
                  </w:r>
                  <w:r>
                    <w:rPr>
                      <w:rFonts w:cs="Dubai"/>
                      <w:color w:themeColor="text1" w:val="000000"/>
                      <w:sz w:val="20"/>
                      <w:szCs w:val="20"/>
                      <w:lang w:val="fr-FR"/>
                    </w:rPr>
                    <w:t>Code 01 (report)</w:t>
                  </w:r>
                </w:p>
                <w:p>
                  <w:pPr>
                    <w:pStyle w:val="Normal"/>
                    <w:suppressAutoHyphens w:val="false"/>
                    <w:jc w:val="center"/>
                    <w:rPr>
                      <w:rFonts w:cs="Dubai"/>
                      <w:color w:val="000000"/>
                      <w:sz w:val="20"/>
                      <w:szCs w:val="20"/>
                      <w:lang w:val="fr-FR"/>
                    </w:rPr>
                  </w:pPr>
                  <w:r>
                    <w:rPr>
                      <w:rFonts w:cs="Dubai"/>
                      <w:color w:themeColor="text1" w:val="000000"/>
                      <w:sz w:val="20"/>
                      <w:szCs w:val="20"/>
                      <w:lang w:val="fr-FR"/>
                    </w:rPr>
                    <w:t>Code 02 (dwg)</w:t>
                  </w:r>
                </w:p>
                <w:p>
                  <w:pPr>
                    <w:pStyle w:val="Normal"/>
                    <w:suppressAutoHyphens w:val="false"/>
                    <w:jc w:val="center"/>
                    <w:rPr>
                      <w:rFonts w:cs="Dubai"/>
                      <w:color w:val="000000"/>
                      <w:sz w:val="20"/>
                      <w:szCs w:val="20"/>
                      <w:highlight w:val="yellow"/>
                    </w:rPr>
                  </w:pPr>
                  <w:r>
                    <w:rPr>
                      <w:rFonts w:cs="Dubai"/>
                      <w:color w:themeColor="text1" w:val="000000"/>
                      <w:sz w:val="20"/>
                      <w:szCs w:val="20"/>
                    </w:rPr>
                    <w:t>Submitted (report) 29/01</w:t>
                  </w:r>
                </w:p>
              </w:tc>
            </w:tr>
            <w:tr>
              <w:trPr>
                <w:trHeight w:val="840" w:hRule="atLeast"/>
              </w:trPr>
              <w:tc>
                <w:tcPr>
                  <w:tcW w:w="1315" w:type="dxa"/>
                  <w:tcBorders>
                    <w:start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lang w:val="en-AE" w:eastAsia="en-AE"/>
                    </w:rPr>
                  </w:pPr>
                  <w:r>
                    <w:rPr>
                      <w:rFonts w:cs="Dubai"/>
                      <w:color w:val="000000"/>
                      <w:sz w:val="20"/>
                      <w:szCs w:val="20"/>
                      <w:lang w:val="en-AE" w:eastAsia="en-AE"/>
                    </w:rPr>
                    <w:t>Ph.1C</w:t>
                  </w:r>
                </w:p>
              </w:tc>
              <w:tc>
                <w:tcPr>
                  <w:tcW w:w="1779" w:type="dxa"/>
                  <w:tcBorders>
                    <w:bottom w:val="single" w:sz="4" w:space="0" w:color="000000"/>
                    <w:end w:val="single" w:sz="4" w:space="0" w:color="000000"/>
                  </w:tcBorders>
                  <w:shd w:color="auto" w:fill="auto" w:val="clear"/>
                  <w:vAlign w:val="center"/>
                </w:tcPr>
                <w:p>
                  <w:pPr>
                    <w:pStyle w:val="Normal"/>
                    <w:suppressAutoHyphens w:val="false"/>
                    <w:jc w:val="center"/>
                    <w:rPr>
                      <w:rFonts w:cs="Dubai"/>
                      <w:color w:themeColor="text1" w:val="000000"/>
                      <w:sz w:val="20"/>
                      <w:szCs w:val="20"/>
                      <w:lang w:val="fr-FR"/>
                    </w:rPr>
                  </w:pPr>
                  <w:r>
                    <w:rPr>
                      <w:rFonts w:cs="Dubai"/>
                      <w:color w:themeColor="text1" w:val="000000"/>
                      <w:sz w:val="20"/>
                      <w:szCs w:val="20"/>
                      <w:lang w:val="fr-FR"/>
                    </w:rPr>
                    <w:t>Rev. 00</w:t>
                  </w:r>
                </w:p>
                <w:p>
                  <w:pPr>
                    <w:pStyle w:val="Normal"/>
                    <w:jc w:val="center"/>
                    <w:rPr>
                      <w:rFonts w:cs="Dubai"/>
                      <w:color w:themeColor="text1" w:val="000000"/>
                      <w:sz w:val="20"/>
                      <w:szCs w:val="20"/>
                      <w:lang w:val="fr-FR"/>
                    </w:rPr>
                  </w:pPr>
                  <w:r>
                    <w:rPr>
                      <w:rFonts w:cs="Dubai"/>
                      <w:color w:themeColor="text1" w:val="000000"/>
                      <w:sz w:val="20"/>
                      <w:szCs w:val="20"/>
                      <w:lang w:val="fr-FR"/>
                    </w:rPr>
                    <w:t>Code 01</w:t>
                  </w:r>
                </w:p>
                <w:p>
                  <w:pPr>
                    <w:pStyle w:val="Normal"/>
                    <w:suppressAutoHyphens w:val="false"/>
                    <w:jc w:val="center"/>
                    <w:rPr>
                      <w:rFonts w:cs="Dubai"/>
                      <w:color w:val="000000"/>
                      <w:sz w:val="20"/>
                      <w:szCs w:val="20"/>
                    </w:rPr>
                  </w:pPr>
                  <w:r>
                    <w:rPr>
                      <w:rFonts w:cs="Dubai"/>
                      <w:color w:themeColor="text1" w:val="000000"/>
                      <w:sz w:val="20"/>
                      <w:szCs w:val="20"/>
                    </w:rPr>
                    <w:t>Submitted 31/01</w:t>
                  </w:r>
                </w:p>
              </w:tc>
              <w:tc>
                <w:tcPr>
                  <w:tcW w:w="2163" w:type="dxa"/>
                  <w:tcBorders>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rPr>
                  </w:pPr>
                  <w:r>
                    <w:rPr>
                      <w:rFonts w:cs="Dubai"/>
                      <w:color w:val="000000"/>
                      <w:sz w:val="20"/>
                      <w:szCs w:val="20"/>
                      <w:lang w:val="en-AE" w:eastAsia="en-AE"/>
                    </w:rPr>
                    <w:t>Rev. AD</w:t>
                    <w:br/>
                  </w:r>
                  <w:r>
                    <w:rPr>
                      <w:rFonts w:cs="Dubai"/>
                      <w:color w:themeColor="text1" w:val="000000"/>
                      <w:sz w:val="20"/>
                      <w:szCs w:val="20"/>
                    </w:rPr>
                    <w:t>UR</w:t>
                  </w:r>
                </w:p>
                <w:p>
                  <w:pPr>
                    <w:pStyle w:val="Normal"/>
                    <w:suppressAutoHyphens w:val="false"/>
                    <w:jc w:val="center"/>
                    <w:rPr>
                      <w:rFonts w:cs="Dubai"/>
                      <w:color w:val="000000"/>
                      <w:sz w:val="20"/>
                      <w:szCs w:val="20"/>
                      <w:highlight w:val="yellow"/>
                    </w:rPr>
                  </w:pPr>
                  <w:r>
                    <w:rPr>
                      <w:rFonts w:cs="Dubai"/>
                      <w:color w:themeColor="text1" w:val="000000"/>
                      <w:sz w:val="20"/>
                      <w:szCs w:val="20"/>
                    </w:rPr>
                    <w:t>Submitted 17/03</w:t>
                  </w:r>
                </w:p>
              </w:tc>
            </w:tr>
            <w:tr>
              <w:trPr>
                <w:trHeight w:val="840" w:hRule="atLeast"/>
              </w:trPr>
              <w:tc>
                <w:tcPr>
                  <w:tcW w:w="1315" w:type="dxa"/>
                  <w:tcBorders>
                    <w:top w:val="single" w:sz="4" w:space="0" w:color="000000"/>
                    <w:start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lang w:val="en-AE" w:eastAsia="en-AE"/>
                    </w:rPr>
                  </w:pPr>
                  <w:r>
                    <w:rPr>
                      <w:rFonts w:cs="Dubai"/>
                      <w:color w:val="000000"/>
                      <w:sz w:val="20"/>
                      <w:szCs w:val="20"/>
                      <w:lang w:val="en-AE" w:eastAsia="en-AE"/>
                    </w:rPr>
                    <w:t>Ph.1D</w:t>
                  </w:r>
                </w:p>
              </w:tc>
              <w:tc>
                <w:tcPr>
                  <w:tcW w:w="1779" w:type="dxa"/>
                  <w:tcBorders>
                    <w:top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themeColor="text1" w:val="000000"/>
                      <w:sz w:val="20"/>
                      <w:szCs w:val="20"/>
                      <w:lang w:val="fr-FR"/>
                    </w:rPr>
                  </w:pPr>
                  <w:r>
                    <w:rPr>
                      <w:rFonts w:cs="Dubai"/>
                      <w:color w:themeColor="text1" w:val="000000"/>
                      <w:sz w:val="20"/>
                      <w:szCs w:val="20"/>
                      <w:lang w:val="fr-FR"/>
                    </w:rPr>
                    <w:t>Rev. 01</w:t>
                  </w:r>
                </w:p>
                <w:p>
                  <w:pPr>
                    <w:pStyle w:val="Normal"/>
                    <w:jc w:val="center"/>
                    <w:rPr>
                      <w:rFonts w:cs="Dubai"/>
                      <w:color w:themeColor="text1" w:val="000000"/>
                      <w:sz w:val="20"/>
                      <w:szCs w:val="20"/>
                      <w:lang w:val="fr-FR"/>
                    </w:rPr>
                  </w:pPr>
                  <w:r>
                    <w:rPr>
                      <w:rFonts w:cs="Dubai"/>
                      <w:color w:themeColor="text1" w:val="000000"/>
                      <w:sz w:val="20"/>
                      <w:szCs w:val="20"/>
                      <w:lang w:val="fr-FR"/>
                    </w:rPr>
                    <w:t>Code 01</w:t>
                  </w:r>
                </w:p>
                <w:p>
                  <w:pPr>
                    <w:pStyle w:val="Normal"/>
                    <w:jc w:val="center"/>
                    <w:rPr>
                      <w:rFonts w:cs="Dubai"/>
                      <w:b/>
                      <w:color w:val="000000"/>
                      <w:sz w:val="20"/>
                      <w:szCs w:val="20"/>
                    </w:rPr>
                  </w:pPr>
                  <w:r>
                    <w:rPr>
                      <w:rFonts w:cs="Dubai"/>
                      <w:color w:themeColor="text1" w:val="000000"/>
                      <w:sz w:val="20"/>
                      <w:szCs w:val="20"/>
                    </w:rPr>
                    <w:t>Submitted 05/03</w:t>
                  </w:r>
                </w:p>
              </w:tc>
              <w:tc>
                <w:tcPr>
                  <w:tcW w:w="2163" w:type="dxa"/>
                  <w:tcBorders>
                    <w:top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rPr>
                  </w:pPr>
                  <w:r>
                    <w:rPr>
                      <w:rFonts w:cs="Dubai"/>
                      <w:color w:val="000000"/>
                      <w:sz w:val="20"/>
                      <w:szCs w:val="20"/>
                      <w:lang w:eastAsia="en-AE"/>
                    </w:rPr>
                    <w:t>Rev. AD</w:t>
                    <w:br/>
                  </w:r>
                  <w:r>
                    <w:rPr>
                      <w:rFonts w:cs="Dubai"/>
                      <w:color w:themeColor="text1" w:val="000000"/>
                      <w:sz w:val="20"/>
                      <w:szCs w:val="20"/>
                    </w:rPr>
                    <w:t>Code 02</w:t>
                  </w:r>
                </w:p>
                <w:p>
                  <w:pPr>
                    <w:pStyle w:val="Normal"/>
                    <w:suppressAutoHyphens w:val="false"/>
                    <w:jc w:val="center"/>
                    <w:rPr>
                      <w:rFonts w:cs="Dubai"/>
                      <w:color w:val="000000"/>
                      <w:sz w:val="20"/>
                      <w:szCs w:val="20"/>
                      <w:highlight w:val="yellow"/>
                    </w:rPr>
                  </w:pPr>
                  <w:r>
                    <w:rPr>
                      <w:rFonts w:cs="Dubai"/>
                      <w:color w:themeColor="text1" w:val="000000"/>
                      <w:sz w:val="20"/>
                      <w:szCs w:val="20"/>
                    </w:rPr>
                    <w:t>Resubmission 25/04</w:t>
                  </w:r>
                </w:p>
              </w:tc>
            </w:tr>
            <w:tr>
              <w:trPr>
                <w:trHeight w:val="840" w:hRule="atLeast"/>
              </w:trPr>
              <w:tc>
                <w:tcPr>
                  <w:tcW w:w="1315"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jc w:val="center"/>
                    <w:rPr>
                      <w:rFonts w:cs="Dubai"/>
                      <w:color w:val="000000"/>
                      <w:sz w:val="20"/>
                      <w:szCs w:val="20"/>
                      <w:lang w:val="pt-BR" w:eastAsia="en-AE"/>
                    </w:rPr>
                  </w:pPr>
                  <w:r>
                    <w:rPr>
                      <w:rFonts w:cs="Dubai"/>
                      <w:color w:val="000000"/>
                      <w:sz w:val="20"/>
                      <w:szCs w:val="20"/>
                      <w:lang w:val="pt-BR" w:eastAsia="en-AE"/>
                    </w:rPr>
                    <w:t>Ph.1A</w:t>
                  </w:r>
                </w:p>
                <w:p>
                  <w:pPr>
                    <w:pStyle w:val="Normal"/>
                    <w:suppressAutoHyphens w:val="false"/>
                    <w:jc w:val="center"/>
                    <w:rPr>
                      <w:rFonts w:cs="Dubai"/>
                      <w:color w:val="000000"/>
                      <w:sz w:val="20"/>
                      <w:szCs w:val="20"/>
                      <w:lang w:val="pt-BR" w:eastAsia="en-AE"/>
                    </w:rPr>
                  </w:pPr>
                  <w:r>
                    <w:rPr>
                      <w:rFonts w:cs="Dubai"/>
                      <w:color w:val="000000"/>
                      <w:sz w:val="20"/>
                      <w:szCs w:val="20"/>
                      <w:lang w:val="pt-BR" w:eastAsia="en-AE"/>
                    </w:rPr>
                    <w:t>(Reem-E12)</w:t>
                  </w:r>
                </w:p>
              </w:tc>
              <w:tc>
                <w:tcPr>
                  <w:tcW w:w="1779" w:type="dxa"/>
                  <w:tcBorders>
                    <w:top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rPr>
                  </w:pPr>
                  <w:r>
                    <w:rPr>
                      <w:rFonts w:cs="Dubai"/>
                      <w:color w:themeColor="text1" w:val="000000"/>
                      <w:sz w:val="20"/>
                      <w:szCs w:val="20"/>
                    </w:rPr>
                    <w:t>Rev. AB</w:t>
                  </w:r>
                  <w:r>
                    <w:rPr>
                      <w:rFonts w:cs="Dubai"/>
                      <w:sz w:val="20"/>
                      <w:szCs w:val="20"/>
                    </w:rPr>
                    <w:br/>
                  </w:r>
                  <w:r>
                    <w:rPr>
                      <w:rFonts w:cs="Dubai"/>
                      <w:color w:themeColor="text1" w:val="000000"/>
                      <w:sz w:val="20"/>
                      <w:szCs w:val="20"/>
                    </w:rPr>
                    <w:t>Code 02</w:t>
                  </w:r>
                </w:p>
                <w:p>
                  <w:pPr>
                    <w:pStyle w:val="Normal"/>
                    <w:suppressAutoHyphens w:val="false"/>
                    <w:jc w:val="center"/>
                    <w:rPr>
                      <w:rFonts w:cs="Dubai"/>
                      <w:color w:themeColor="text1" w:val="000000"/>
                      <w:sz w:val="20"/>
                      <w:szCs w:val="20"/>
                    </w:rPr>
                  </w:pPr>
                  <w:r>
                    <w:rPr>
                      <w:rFonts w:cs="Dubai"/>
                      <w:color w:themeColor="text1" w:val="000000"/>
                      <w:sz w:val="20"/>
                      <w:szCs w:val="20"/>
                    </w:rPr>
                    <w:t xml:space="preserve">Submitted 09/04 </w:t>
                  </w:r>
                </w:p>
              </w:tc>
              <w:tc>
                <w:tcPr>
                  <w:tcW w:w="2163" w:type="dxa"/>
                  <w:tcBorders>
                    <w:top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lang w:eastAsia="en-AE"/>
                    </w:rPr>
                  </w:pPr>
                  <w:r>
                    <w:rPr>
                      <w:rFonts w:cs="Dubai"/>
                      <w:color w:val="000000"/>
                      <w:sz w:val="20"/>
                      <w:szCs w:val="20"/>
                      <w:lang w:eastAsia="en-AE"/>
                    </w:rPr>
                    <w:t>See note (**)</w:t>
                  </w:r>
                </w:p>
                <w:p>
                  <w:pPr>
                    <w:pStyle w:val="Normal"/>
                    <w:suppressAutoHyphens w:val="false"/>
                    <w:jc w:val="center"/>
                    <w:rPr>
                      <w:rFonts w:cs="Dubai"/>
                      <w:color w:val="000000"/>
                      <w:sz w:val="20"/>
                      <w:szCs w:val="20"/>
                      <w:lang w:eastAsia="en-AE"/>
                    </w:rPr>
                  </w:pPr>
                  <w:r>
                    <w:rPr>
                      <w:rFonts w:cs="Dubai"/>
                      <w:color w:val="000000"/>
                      <w:sz w:val="20"/>
                      <w:szCs w:val="20"/>
                      <w:lang w:eastAsia="en-AE"/>
                    </w:rPr>
                  </w:r>
                </w:p>
              </w:tc>
            </w:tr>
            <w:tr>
              <w:trPr>
                <w:trHeight w:val="840" w:hRule="atLeast"/>
              </w:trPr>
              <w:tc>
                <w:tcPr>
                  <w:tcW w:w="1315" w:type="dxa"/>
                  <w:tcBorders>
                    <w:top w:val="single" w:sz="4" w:space="0" w:color="000000"/>
                    <w:start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lang w:val="en-AE" w:eastAsia="en-AE"/>
                    </w:rPr>
                  </w:pPr>
                  <w:r>
                    <w:rPr>
                      <w:rFonts w:cs="Dubai"/>
                      <w:color w:val="000000"/>
                      <w:sz w:val="20"/>
                      <w:szCs w:val="20"/>
                      <w:lang w:val="en-AE" w:eastAsia="en-AE"/>
                    </w:rPr>
                    <w:t>Ph.1C</w:t>
                  </w:r>
                </w:p>
                <w:p>
                  <w:pPr>
                    <w:pStyle w:val="Normal"/>
                    <w:suppressAutoHyphens w:val="false"/>
                    <w:jc w:val="center"/>
                    <w:rPr>
                      <w:rFonts w:cs="Dubai"/>
                      <w:color w:themeColor="text1" w:val="000000"/>
                      <w:sz w:val="20"/>
                      <w:szCs w:val="20"/>
                      <w:lang w:val="en-GB"/>
                    </w:rPr>
                  </w:pPr>
                  <w:r>
                    <w:rPr>
                      <w:rFonts w:cs="Dubai"/>
                      <w:color w:themeColor="text1" w:val="000000"/>
                      <w:sz w:val="20"/>
                      <w:szCs w:val="20"/>
                      <w:lang w:val="en-GB"/>
                    </w:rPr>
                    <w:t>(full viaduct)</w:t>
                  </w:r>
                </w:p>
                <w:p>
                  <w:pPr>
                    <w:pStyle w:val="Normal"/>
                    <w:suppressAutoHyphens w:val="false"/>
                    <w:jc w:val="center"/>
                    <w:rPr>
                      <w:rFonts w:cs="Dubai"/>
                      <w:color w:val="000000"/>
                      <w:sz w:val="20"/>
                      <w:szCs w:val="20"/>
                      <w:lang w:val="en-GB"/>
                    </w:rPr>
                  </w:pPr>
                  <w:r>
                    <w:rPr>
                      <w:rFonts w:cs="Dubai"/>
                      <w:color w:themeColor="text1" w:val="000000"/>
                      <w:sz w:val="20"/>
                      <w:szCs w:val="20"/>
                      <w:lang w:val="en-GB"/>
                    </w:rPr>
                    <w:t>Concept</w:t>
                  </w:r>
                </w:p>
              </w:tc>
              <w:tc>
                <w:tcPr>
                  <w:tcW w:w="1779" w:type="dxa"/>
                  <w:tcBorders>
                    <w:top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rPr>
                  </w:pPr>
                  <w:r>
                    <w:rPr>
                      <w:rFonts w:cs="Dubai"/>
                      <w:color w:themeColor="text1" w:val="000000"/>
                      <w:sz w:val="20"/>
                      <w:szCs w:val="20"/>
                    </w:rPr>
                    <w:t>Rev. 00</w:t>
                  </w:r>
                  <w:r>
                    <w:rPr>
                      <w:rFonts w:cs="Dubai"/>
                      <w:sz w:val="20"/>
                      <w:szCs w:val="20"/>
                    </w:rPr>
                    <w:br/>
                  </w:r>
                  <w:r>
                    <w:rPr>
                      <w:rFonts w:cs="Dubai"/>
                      <w:color w:themeColor="text1" w:val="000000"/>
                      <w:sz w:val="20"/>
                      <w:szCs w:val="20"/>
                    </w:rPr>
                    <w:t>Code 05</w:t>
                  </w:r>
                </w:p>
                <w:p>
                  <w:pPr>
                    <w:pStyle w:val="Normal"/>
                    <w:suppressAutoHyphens w:val="false"/>
                    <w:jc w:val="center"/>
                    <w:rPr>
                      <w:rFonts w:cs="Dubai"/>
                      <w:color w:themeColor="text1" w:val="000000"/>
                      <w:sz w:val="20"/>
                      <w:szCs w:val="20"/>
                    </w:rPr>
                  </w:pPr>
                  <w:r>
                    <w:rPr>
                      <w:rFonts w:cs="Dubai"/>
                      <w:color w:themeColor="text1" w:val="000000"/>
                      <w:sz w:val="20"/>
                      <w:szCs w:val="20"/>
                    </w:rPr>
                    <w:t>Submitted 28/02</w:t>
                  </w:r>
                </w:p>
              </w:tc>
              <w:tc>
                <w:tcPr>
                  <w:tcW w:w="2163" w:type="dxa"/>
                  <w:tcBorders>
                    <w:top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lang w:eastAsia="en-AE"/>
                    </w:rPr>
                  </w:pPr>
                  <w:r>
                    <w:rPr>
                      <w:rFonts w:cs="Dubai"/>
                      <w:color w:val="000000"/>
                      <w:sz w:val="20"/>
                      <w:szCs w:val="20"/>
                      <w:lang w:eastAsia="en-AE"/>
                    </w:rPr>
                  </w:r>
                </w:p>
              </w:tc>
            </w:tr>
            <w:tr>
              <w:trPr>
                <w:trHeight w:val="840" w:hRule="atLeast"/>
              </w:trPr>
              <w:tc>
                <w:tcPr>
                  <w:tcW w:w="1315" w:type="dxa"/>
                  <w:tcBorders>
                    <w:top w:val="single" w:sz="4" w:space="0" w:color="000000"/>
                    <w:start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lang w:val="en-AE" w:eastAsia="en-AE"/>
                    </w:rPr>
                  </w:pPr>
                  <w:r>
                    <w:rPr>
                      <w:rFonts w:cs="Dubai"/>
                      <w:color w:val="000000"/>
                      <w:sz w:val="20"/>
                      <w:szCs w:val="20"/>
                      <w:lang w:val="en-AE" w:eastAsia="en-AE"/>
                    </w:rPr>
                    <w:t>Ph.1C</w:t>
                  </w:r>
                </w:p>
                <w:p>
                  <w:pPr>
                    <w:pStyle w:val="Normal"/>
                    <w:suppressAutoHyphens w:val="false"/>
                    <w:jc w:val="center"/>
                    <w:rPr>
                      <w:rFonts w:cs="Dubai"/>
                      <w:color w:themeColor="text1" w:val="000000"/>
                      <w:sz w:val="20"/>
                      <w:szCs w:val="20"/>
                      <w:lang w:val="en-GB"/>
                    </w:rPr>
                  </w:pPr>
                  <w:r>
                    <w:rPr>
                      <w:rFonts w:cs="Dubai"/>
                      <w:color w:themeColor="text1" w:val="000000"/>
                      <w:sz w:val="20"/>
                      <w:szCs w:val="20"/>
                      <w:lang w:val="en-GB"/>
                    </w:rPr>
                    <w:t>(Maktoum St UG)</w:t>
                  </w:r>
                </w:p>
              </w:tc>
              <w:tc>
                <w:tcPr>
                  <w:tcW w:w="1779" w:type="dxa"/>
                  <w:tcBorders>
                    <w:top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themeColor="text1" w:val="000000"/>
                      <w:sz w:val="20"/>
                      <w:szCs w:val="20"/>
                    </w:rPr>
                  </w:pPr>
                  <w:r>
                    <w:rPr>
                      <w:rFonts w:cs="Dubai"/>
                      <w:color w:themeColor="text1" w:val="000000"/>
                      <w:sz w:val="20"/>
                      <w:szCs w:val="20"/>
                    </w:rPr>
                    <w:t>Rev. AB</w:t>
                  </w:r>
                </w:p>
                <w:p>
                  <w:pPr>
                    <w:pStyle w:val="Normal"/>
                    <w:suppressAutoHyphens w:val="false"/>
                    <w:jc w:val="center"/>
                    <w:rPr>
                      <w:rFonts w:cs="Dubai"/>
                      <w:color w:themeColor="text1" w:val="000000"/>
                      <w:sz w:val="20"/>
                      <w:szCs w:val="20"/>
                    </w:rPr>
                  </w:pPr>
                  <w:r>
                    <w:rPr>
                      <w:rFonts w:cs="Dubai"/>
                      <w:color w:themeColor="text1" w:val="000000"/>
                      <w:sz w:val="20"/>
                      <w:szCs w:val="20"/>
                    </w:rPr>
                    <w:t>Code 02</w:t>
                  </w:r>
                </w:p>
                <w:p>
                  <w:pPr>
                    <w:pStyle w:val="Normal"/>
                    <w:suppressAutoHyphens w:val="false"/>
                    <w:jc w:val="center"/>
                    <w:rPr>
                      <w:rFonts w:cs="Dubai"/>
                      <w:color w:themeColor="text1" w:val="000000"/>
                      <w:sz w:val="20"/>
                      <w:szCs w:val="20"/>
                    </w:rPr>
                  </w:pPr>
                  <w:r>
                    <w:rPr>
                      <w:rFonts w:cs="Dubai"/>
                      <w:color w:themeColor="text1" w:val="000000"/>
                      <w:sz w:val="20"/>
                      <w:szCs w:val="20"/>
                    </w:rPr>
                    <w:t>Resubmission 27/06 (*)</w:t>
                  </w:r>
                </w:p>
              </w:tc>
              <w:tc>
                <w:tcPr>
                  <w:tcW w:w="2163" w:type="dxa"/>
                  <w:tcBorders>
                    <w:top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lang w:eastAsia="en-AE"/>
                    </w:rPr>
                  </w:pPr>
                  <w:r>
                    <w:rPr>
                      <w:rFonts w:cs="Dubai"/>
                      <w:color w:val="000000"/>
                      <w:sz w:val="20"/>
                      <w:szCs w:val="20"/>
                      <w:lang w:eastAsia="en-AE"/>
                    </w:rPr>
                    <w:t>See note (**)</w:t>
                  </w:r>
                </w:p>
              </w:tc>
            </w:tr>
            <w:tr>
              <w:trPr>
                <w:trHeight w:val="840" w:hRule="atLeast"/>
              </w:trPr>
              <w:tc>
                <w:tcPr>
                  <w:tcW w:w="1315" w:type="dxa"/>
                  <w:tcBorders>
                    <w:top w:val="single" w:sz="4" w:space="0" w:color="000000"/>
                    <w:start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lang w:val="en-AE" w:eastAsia="en-AE"/>
                    </w:rPr>
                  </w:pPr>
                  <w:r>
                    <w:rPr>
                      <w:rFonts w:cs="Dubai"/>
                      <w:color w:val="000000"/>
                      <w:sz w:val="20"/>
                      <w:szCs w:val="20"/>
                      <w:lang w:val="en-AE" w:eastAsia="en-AE"/>
                    </w:rPr>
                    <w:t>Ph.1C</w:t>
                  </w:r>
                </w:p>
                <w:p>
                  <w:pPr>
                    <w:pStyle w:val="Normal"/>
                    <w:suppressAutoHyphens w:val="false"/>
                    <w:jc w:val="center"/>
                    <w:rPr>
                      <w:rFonts w:cs="Dubai"/>
                      <w:color w:val="000000"/>
                      <w:sz w:val="20"/>
                      <w:szCs w:val="20"/>
                      <w:lang w:val="en-GB"/>
                    </w:rPr>
                  </w:pPr>
                  <w:r>
                    <w:rPr>
                      <w:rFonts w:cs="Dubai"/>
                      <w:color w:themeColor="text1" w:val="000000"/>
                      <w:sz w:val="20"/>
                      <w:szCs w:val="20"/>
                      <w:lang w:val="en-GB"/>
                    </w:rPr>
                    <w:t>(Maktoum St Elevated)</w:t>
                  </w:r>
                </w:p>
              </w:tc>
              <w:tc>
                <w:tcPr>
                  <w:tcW w:w="1779" w:type="dxa"/>
                  <w:tcBorders>
                    <w:top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themeColor="text1" w:val="000000"/>
                      <w:sz w:val="20"/>
                      <w:szCs w:val="20"/>
                    </w:rPr>
                  </w:pPr>
                  <w:r>
                    <w:rPr>
                      <w:rFonts w:cs="Dubai"/>
                      <w:color w:themeColor="text1" w:val="000000"/>
                      <w:sz w:val="20"/>
                      <w:szCs w:val="20"/>
                    </w:rPr>
                    <w:t>Rev. AC</w:t>
                  </w:r>
                </w:p>
                <w:p>
                  <w:pPr>
                    <w:pStyle w:val="Normal"/>
                    <w:suppressAutoHyphens w:val="false"/>
                    <w:jc w:val="center"/>
                    <w:rPr>
                      <w:rFonts w:cs="Dubai"/>
                      <w:color w:themeColor="text1" w:val="000000"/>
                      <w:sz w:val="20"/>
                      <w:szCs w:val="20"/>
                    </w:rPr>
                  </w:pPr>
                  <w:r>
                    <w:rPr>
                      <w:rFonts w:cs="Dubai"/>
                      <w:color w:themeColor="text1" w:val="000000"/>
                      <w:sz w:val="20"/>
                      <w:szCs w:val="20"/>
                    </w:rPr>
                    <w:t>UR</w:t>
                  </w:r>
                </w:p>
                <w:p>
                  <w:pPr>
                    <w:pStyle w:val="Normal"/>
                    <w:suppressAutoHyphens w:val="false"/>
                    <w:jc w:val="center"/>
                    <w:rPr>
                      <w:rFonts w:cs="Dubai"/>
                      <w:color w:themeColor="text1" w:val="000000"/>
                      <w:sz w:val="20"/>
                      <w:szCs w:val="20"/>
                    </w:rPr>
                  </w:pPr>
                  <w:r>
                    <w:rPr>
                      <w:rFonts w:cs="Dubai"/>
                      <w:color w:themeColor="text1" w:val="000000"/>
                      <w:sz w:val="20"/>
                      <w:szCs w:val="20"/>
                    </w:rPr>
                    <w:t>Submitted 20/05</w:t>
                  </w:r>
                </w:p>
              </w:tc>
              <w:tc>
                <w:tcPr>
                  <w:tcW w:w="2163" w:type="dxa"/>
                  <w:tcBorders>
                    <w:top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lang w:eastAsia="en-AE"/>
                    </w:rPr>
                  </w:pPr>
                  <w:r>
                    <w:rPr>
                      <w:rFonts w:cs="Dubai"/>
                      <w:color w:val="000000"/>
                      <w:sz w:val="20"/>
                      <w:szCs w:val="20"/>
                      <w:lang w:eastAsia="en-AE"/>
                    </w:rPr>
                  </w:r>
                </w:p>
              </w:tc>
            </w:tr>
            <w:tr>
              <w:trPr>
                <w:trHeight w:val="840" w:hRule="atLeast"/>
              </w:trPr>
              <w:tc>
                <w:tcPr>
                  <w:tcW w:w="1315" w:type="dxa"/>
                  <w:tcBorders>
                    <w:top w:val="single" w:sz="4" w:space="0" w:color="000000"/>
                    <w:start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lang w:val="en-AE" w:eastAsia="en-AE"/>
                    </w:rPr>
                  </w:pPr>
                  <w:r>
                    <w:rPr>
                      <w:rFonts w:cs="Dubai"/>
                      <w:color w:val="000000"/>
                      <w:sz w:val="20"/>
                      <w:szCs w:val="20"/>
                      <w:lang w:val="en-AE" w:eastAsia="en-AE"/>
                    </w:rPr>
                    <w:t>Ph.1D</w:t>
                  </w:r>
                </w:p>
                <w:p>
                  <w:pPr>
                    <w:pStyle w:val="Normal"/>
                    <w:suppressAutoHyphens w:val="false"/>
                    <w:jc w:val="center"/>
                    <w:rPr>
                      <w:rFonts w:cs="Dubai"/>
                      <w:color w:val="000000"/>
                      <w:sz w:val="20"/>
                      <w:szCs w:val="20"/>
                      <w:lang w:val="en-GB"/>
                    </w:rPr>
                  </w:pPr>
                  <w:r>
                    <w:rPr>
                      <w:rFonts w:cs="Dubai"/>
                      <w:color w:themeColor="text1" w:val="000000"/>
                      <w:sz w:val="20"/>
                      <w:szCs w:val="20"/>
                      <w:lang w:val="en-GB"/>
                    </w:rPr>
                    <w:t>(Al Reef St)</w:t>
                  </w:r>
                </w:p>
              </w:tc>
              <w:tc>
                <w:tcPr>
                  <w:tcW w:w="1779" w:type="dxa"/>
                  <w:tcBorders>
                    <w:top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themeColor="text1" w:val="000000"/>
                      <w:sz w:val="20"/>
                      <w:szCs w:val="20"/>
                    </w:rPr>
                  </w:pPr>
                  <w:r>
                    <w:rPr>
                      <w:rFonts w:cs="Dubai"/>
                      <w:color w:themeColor="text1" w:val="000000"/>
                      <w:sz w:val="20"/>
                      <w:szCs w:val="20"/>
                    </w:rPr>
                    <w:t>Rev. AB</w:t>
                  </w:r>
                </w:p>
                <w:p>
                  <w:pPr>
                    <w:pStyle w:val="Normal"/>
                    <w:suppressAutoHyphens w:val="false"/>
                    <w:jc w:val="center"/>
                    <w:rPr>
                      <w:rFonts w:cs="Dubai"/>
                      <w:color w:themeColor="text1" w:val="000000"/>
                      <w:sz w:val="20"/>
                      <w:szCs w:val="20"/>
                    </w:rPr>
                  </w:pPr>
                  <w:r>
                    <w:rPr>
                      <w:rFonts w:cs="Dubai"/>
                      <w:color w:themeColor="text1" w:val="000000"/>
                      <w:sz w:val="20"/>
                      <w:szCs w:val="20"/>
                    </w:rPr>
                    <w:t>Code 02</w:t>
                  </w:r>
                </w:p>
                <w:p>
                  <w:pPr>
                    <w:pStyle w:val="Normal"/>
                    <w:suppressAutoHyphens w:val="false"/>
                    <w:jc w:val="center"/>
                    <w:rPr>
                      <w:rFonts w:cs="Dubai"/>
                      <w:color w:themeColor="text1" w:val="000000"/>
                      <w:sz w:val="20"/>
                      <w:szCs w:val="20"/>
                    </w:rPr>
                  </w:pPr>
                  <w:r>
                    <w:rPr>
                      <w:rFonts w:cs="Dubai"/>
                      <w:color w:themeColor="text1" w:val="000000"/>
                      <w:sz w:val="20"/>
                      <w:szCs w:val="20"/>
                    </w:rPr>
                    <w:t>Submitted 21/04</w:t>
                  </w:r>
                </w:p>
              </w:tc>
              <w:tc>
                <w:tcPr>
                  <w:tcW w:w="2163" w:type="dxa"/>
                  <w:tcBorders>
                    <w:top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lang w:eastAsia="en-AE"/>
                    </w:rPr>
                  </w:pPr>
                  <w:r>
                    <w:rPr>
                      <w:rFonts w:cs="Dubai"/>
                      <w:color w:val="000000"/>
                      <w:sz w:val="20"/>
                      <w:szCs w:val="20"/>
                      <w:lang w:eastAsia="en-AE"/>
                    </w:rPr>
                  </w:r>
                </w:p>
              </w:tc>
            </w:tr>
          </w:tbl>
          <w:p>
            <w:pPr>
              <w:pStyle w:val="TableText"/>
              <w:widowControl w:val="false"/>
              <w:suppressAutoHyphens w:val="true"/>
              <w:spacing w:before="0" w:after="0"/>
              <w:jc w:val="both"/>
              <w:rPr>
                <w:lang w:val="en-GB"/>
              </w:rPr>
            </w:pPr>
            <w:r>
              <w:rPr>
                <w:rFonts w:eastAsia="Calibri"/>
                <w:kern w:val="0"/>
                <w:sz w:val="22"/>
                <w:szCs w:val="22"/>
                <w:lang w:val="en-GB" w:eastAsia="en-US" w:bidi="ar-SA"/>
              </w:rPr>
              <w:t xml:space="preserve">Notes: </w:t>
            </w:r>
          </w:p>
          <w:p>
            <w:pPr>
              <w:pStyle w:val="TableText"/>
              <w:widowControl w:val="false"/>
              <w:numPr>
                <w:ilvl w:val="0"/>
                <w:numId w:val="13"/>
              </w:numPr>
              <w:suppressAutoHyphens w:val="true"/>
              <w:spacing w:before="0" w:after="0"/>
              <w:jc w:val="both"/>
              <w:rPr>
                <w:lang w:val="en-GB"/>
              </w:rPr>
            </w:pPr>
            <w:r>
              <w:rPr>
                <w:rFonts w:eastAsia="Calibri"/>
                <w:kern w:val="0"/>
                <w:sz w:val="22"/>
                <w:szCs w:val="22"/>
                <w:lang w:val="en-GB" w:eastAsia="en-US" w:bidi="ar-SA"/>
              </w:rPr>
              <w:t>Alignment drawings do not need to be resubmitted to exclude temporary site location. Site logistic and temporary site drawings already included a note to state that these drawings override the alignment drawings regarding the temporary site.</w:t>
            </w:r>
          </w:p>
          <w:p>
            <w:pPr>
              <w:pStyle w:val="TableText"/>
              <w:widowControl w:val="false"/>
              <w:numPr>
                <w:ilvl w:val="0"/>
                <w:numId w:val="13"/>
              </w:numPr>
              <w:suppressAutoHyphens w:val="true"/>
              <w:spacing w:before="0" w:after="0"/>
              <w:jc w:val="both"/>
              <w:rPr>
                <w:lang w:val="en-GB"/>
              </w:rPr>
            </w:pPr>
            <w:r>
              <w:rPr>
                <w:rFonts w:eastAsia="Calibri"/>
                <w:kern w:val="0"/>
                <w:sz w:val="22"/>
                <w:szCs w:val="22"/>
                <w:lang w:val="en-GB" w:eastAsia="en-US" w:bidi="ar-SA"/>
              </w:rPr>
              <w:t>(*) Based on alignment shared with ER on 22/05, see Dubai section.</w:t>
            </w:r>
          </w:p>
          <w:p>
            <w:pPr>
              <w:pStyle w:val="TableText"/>
              <w:widowControl w:val="false"/>
              <w:numPr>
                <w:ilvl w:val="0"/>
                <w:numId w:val="13"/>
              </w:numPr>
              <w:suppressAutoHyphens w:val="true"/>
              <w:spacing w:before="0" w:after="0"/>
              <w:jc w:val="both"/>
              <w:rPr>
                <w:lang w:val="en-GB"/>
              </w:rPr>
            </w:pPr>
            <w:r>
              <w:rPr>
                <w:rFonts w:eastAsia="Calibri"/>
                <w:kern w:val="0"/>
                <w:sz w:val="22"/>
                <w:szCs w:val="22"/>
                <w:lang w:val="en-GB" w:eastAsia="en-US" w:bidi="ar-SA"/>
              </w:rPr>
              <w:t>(**) Civil Engineering &amp; Track drawings will be submitted after obtention of NOCs and approval of PE for related disciplines (code 2).</w:t>
            </w:r>
          </w:p>
          <w:p>
            <w:pPr>
              <w:pStyle w:val="TableText"/>
              <w:widowControl w:val="false"/>
              <w:tabs>
                <w:tab w:val="clear" w:pos="720"/>
                <w:tab w:val="left" w:pos="3770" w:leader="none"/>
              </w:tabs>
              <w:suppressAutoHyphens w:val="true"/>
              <w:spacing w:before="0" w:after="0"/>
              <w:ind w:start="360"/>
              <w:jc w:val="both"/>
              <w:rPr>
                <w:lang w:val="en-GB"/>
              </w:rPr>
            </w:pPr>
            <w:r>
              <w:rPr>
                <w:rFonts w:eastAsia="Calibri"/>
                <w:kern w:val="0"/>
                <w:sz w:val="22"/>
                <w:szCs w:val="22"/>
                <w:lang w:val="en-GB" w:eastAsia="en-US" w:bidi="ar-SA"/>
              </w:rPr>
              <w:tab/>
            </w:r>
          </w:p>
          <w:p>
            <w:pPr>
              <w:pStyle w:val="TableText"/>
              <w:widowControl w:val="false"/>
              <w:suppressAutoHyphens w:val="true"/>
              <w:spacing w:before="0" w:after="0"/>
              <w:jc w:val="both"/>
              <w:rPr>
                <w:u w:val="single"/>
                <w:lang w:val="en-GB"/>
              </w:rPr>
            </w:pPr>
            <w:r>
              <w:rPr>
                <w:rFonts w:eastAsia="Calibri"/>
                <w:kern w:val="0"/>
                <w:sz w:val="22"/>
                <w:szCs w:val="22"/>
                <w:u w:val="single"/>
                <w:lang w:val="en-GB" w:eastAsia="en-US" w:bidi="ar-SA"/>
              </w:rPr>
              <w:t>Phase 1 – Reem Island/E12</w:t>
            </w:r>
          </w:p>
          <w:p>
            <w:pPr>
              <w:pStyle w:val="TableText"/>
              <w:widowControl w:val="false"/>
              <w:suppressAutoHyphens w:val="true"/>
              <w:spacing w:before="0" w:after="0"/>
              <w:jc w:val="both"/>
              <w:rPr>
                <w:lang w:val="en-GB"/>
              </w:rPr>
            </w:pPr>
            <w:r>
              <w:rPr>
                <w:rFonts w:eastAsia="Calibri"/>
                <w:kern w:val="0"/>
                <w:sz w:val="22"/>
                <w:szCs w:val="22"/>
                <w:lang w:val="en-GB" w:eastAsia="en-US" w:bidi="ar-SA"/>
              </w:rPr>
              <w:t xml:space="preserve">Concept Alignment has been submitted (Code 1). </w:t>
            </w:r>
          </w:p>
          <w:p>
            <w:pPr>
              <w:pStyle w:val="TableText"/>
              <w:widowControl w:val="false"/>
              <w:suppressAutoHyphens w:val="true"/>
              <w:spacing w:before="0" w:after="0"/>
              <w:jc w:val="both"/>
              <w:rPr>
                <w:lang w:val="en-GB"/>
              </w:rPr>
            </w:pPr>
            <w:r>
              <w:rPr>
                <w:rFonts w:eastAsia="Calibri"/>
                <w:kern w:val="0"/>
                <w:sz w:val="22"/>
                <w:szCs w:val="22"/>
                <w:lang w:val="en-GB" w:eastAsia="en-US" w:bidi="ar-SA"/>
              </w:rPr>
              <w:t>New Reem station location by MODON shared with SEI on 06/01. Location was agreed in general in the meeting with MODON 29/01.</w:t>
            </w:r>
          </w:p>
          <w:p>
            <w:pPr>
              <w:pStyle w:val="TableText"/>
              <w:widowControl w:val="false"/>
              <w:suppressAutoHyphens w:val="true"/>
              <w:spacing w:before="0" w:after="0"/>
              <w:jc w:val="both"/>
              <w:rPr>
                <w:lang w:val="en-GB"/>
              </w:rPr>
            </w:pPr>
            <w:r>
              <w:rPr>
                <w:rFonts w:eastAsia="Calibri"/>
                <w:kern w:val="0"/>
                <w:sz w:val="22"/>
                <w:szCs w:val="22"/>
                <w:lang w:val="en-GB" w:eastAsia="en-US" w:bidi="ar-SA"/>
              </w:rPr>
              <w:t>Saadiyat Station agreed to be shifted towards lower chainage as per the request made by ALDAR in meeting of 10/03 and reflected in PE rev AB.</w:t>
            </w:r>
          </w:p>
          <w:p>
            <w:pPr>
              <w:pStyle w:val="TableText"/>
              <w:widowControl w:val="false"/>
              <w:suppressAutoHyphens w:val="true"/>
              <w:spacing w:before="0" w:after="0"/>
              <w:jc w:val="both"/>
              <w:rPr>
                <w:lang w:val="en-GB"/>
              </w:rPr>
            </w:pPr>
            <w:r>
              <w:rPr>
                <w:rFonts w:eastAsia="Calibri"/>
                <w:kern w:val="0"/>
                <w:sz w:val="22"/>
                <w:szCs w:val="22"/>
                <w:lang w:val="en-GB" w:eastAsia="en-US" w:bidi="ar-SA"/>
              </w:rPr>
              <w:t>TVS shaft to be shifted from Jubail island to Saadiyat island as requested by LEAD. To be reflected in next submission.</w:t>
            </w:r>
          </w:p>
          <w:p>
            <w:pPr>
              <w:pStyle w:val="TableText"/>
              <w:widowControl w:val="false"/>
              <w:suppressAutoHyphens w:val="true"/>
              <w:spacing w:before="0" w:after="0"/>
              <w:jc w:val="both"/>
              <w:rPr>
                <w:lang w:val="en-GB"/>
              </w:rPr>
            </w:pPr>
            <w:r>
              <w:rPr>
                <w:rFonts w:eastAsia="Calibri"/>
                <w:kern w:val="0"/>
                <w:sz w:val="22"/>
                <w:szCs w:val="22"/>
                <w:lang w:val="en-GB" w:eastAsia="en-US" w:bidi="ar-SA"/>
              </w:rPr>
            </w:r>
          </w:p>
          <w:p>
            <w:pPr>
              <w:pStyle w:val="TableText"/>
              <w:widowControl w:val="false"/>
              <w:suppressAutoHyphens w:val="true"/>
              <w:spacing w:before="0" w:after="0"/>
              <w:jc w:val="both"/>
              <w:rPr>
                <w:u w:val="single"/>
                <w:lang w:val="en-GB"/>
              </w:rPr>
            </w:pPr>
            <w:r>
              <w:rPr>
                <w:rFonts w:eastAsia="Calibri"/>
                <w:kern w:val="0"/>
                <w:sz w:val="22"/>
                <w:szCs w:val="22"/>
                <w:u w:val="single"/>
                <w:lang w:val="en-GB" w:eastAsia="en-US" w:bidi="ar-SA"/>
              </w:rPr>
              <w:t>Phase 1 - Dubai Section</w:t>
            </w:r>
          </w:p>
          <w:p>
            <w:pPr>
              <w:pStyle w:val="TableText"/>
              <w:widowControl w:val="false"/>
              <w:suppressAutoHyphens w:val="true"/>
              <w:spacing w:before="0" w:after="0"/>
              <w:jc w:val="both"/>
              <w:rPr>
                <w:b/>
                <w:bCs/>
                <w:lang w:val="en-GB"/>
              </w:rPr>
            </w:pPr>
            <w:r>
              <w:rPr>
                <w:rFonts w:eastAsia="Calibri"/>
                <w:b/>
                <w:bCs/>
                <w:kern w:val="0"/>
                <w:sz w:val="22"/>
                <w:szCs w:val="22"/>
                <w:lang w:val="en-GB" w:eastAsia="en-US" w:bidi="ar-SA"/>
              </w:rPr>
              <w:t>Dubai South sector</w:t>
            </w:r>
          </w:p>
          <w:p>
            <w:pPr>
              <w:pStyle w:val="TableText"/>
              <w:widowControl w:val="false"/>
              <w:suppressAutoHyphens w:val="true"/>
              <w:spacing w:before="0" w:after="0"/>
              <w:jc w:val="both"/>
              <w:rPr>
                <w:lang w:val="en-GB"/>
              </w:rPr>
            </w:pPr>
            <w:r>
              <w:rPr>
                <w:rFonts w:eastAsia="Calibri"/>
                <w:kern w:val="0"/>
                <w:sz w:val="22"/>
                <w:szCs w:val="22"/>
                <w:lang w:val="en-GB" w:eastAsia="en-US" w:bidi="ar-SA"/>
              </w:rPr>
              <w:t xml:space="preserve">PE development for two alignment alternatives (underground and elevated) considering a station at Maktoum Int. airport as instructed by ER. SEI has prepared different alignment options. </w:t>
            </w:r>
          </w:p>
          <w:p>
            <w:pPr>
              <w:pStyle w:val="TableText"/>
              <w:widowControl w:val="false"/>
              <w:suppressAutoHyphens w:val="true"/>
              <w:spacing w:before="0" w:after="0"/>
              <w:jc w:val="both"/>
              <w:rPr>
                <w:lang w:val="en-GB"/>
              </w:rPr>
            </w:pPr>
            <w:r>
              <w:rPr>
                <w:rFonts w:eastAsia="Calibri"/>
                <w:kern w:val="0"/>
                <w:sz w:val="22"/>
                <w:szCs w:val="22"/>
                <w:lang w:val="en-GB" w:eastAsia="en-US" w:bidi="ar-SA"/>
              </w:rPr>
              <w:t>Maktoum Station Elevated option: rev AC submitted to obtain code 5.</w:t>
            </w:r>
          </w:p>
          <w:p>
            <w:pPr>
              <w:pStyle w:val="TableText"/>
              <w:widowControl w:val="false"/>
              <w:suppressAutoHyphens w:val="true"/>
              <w:spacing w:before="0" w:after="0"/>
              <w:jc w:val="both"/>
              <w:rPr>
                <w:lang w:val="en-GB"/>
              </w:rPr>
            </w:pPr>
            <w:r>
              <w:rPr>
                <w:rFonts w:eastAsia="Calibri"/>
                <w:kern w:val="0"/>
                <w:sz w:val="22"/>
                <w:szCs w:val="22"/>
                <w:lang w:val="en-GB" w:eastAsia="en-US" w:bidi="ar-SA"/>
              </w:rPr>
              <w:t>Maktoum Station Underground option: revised alignment shared with ER on 22/05 with implementation of Option 6B and station shift as requested by JAFZA.</w:t>
            </w:r>
          </w:p>
          <w:p>
            <w:pPr>
              <w:pStyle w:val="TableText"/>
              <w:widowControl w:val="false"/>
              <w:suppressAutoHyphens w:val="true"/>
              <w:spacing w:before="0" w:after="0"/>
              <w:jc w:val="both"/>
              <w:rPr>
                <w:b/>
                <w:bCs/>
                <w:lang w:val="en-GB"/>
              </w:rPr>
            </w:pPr>
            <w:r>
              <w:rPr>
                <w:rFonts w:eastAsia="Calibri"/>
                <w:b/>
                <w:bCs/>
                <w:kern w:val="0"/>
                <w:sz w:val="22"/>
                <w:szCs w:val="22"/>
                <w:lang w:val="en-GB" w:eastAsia="en-US" w:bidi="ar-SA"/>
              </w:rPr>
              <w:t>Dubai North sector</w:t>
            </w:r>
          </w:p>
          <w:p>
            <w:pPr>
              <w:pStyle w:val="TableText"/>
              <w:widowControl w:val="false"/>
              <w:suppressAutoHyphens w:val="true"/>
              <w:spacing w:before="0" w:after="0"/>
              <w:jc w:val="both"/>
              <w:rPr>
                <w:lang w:val="en-GB"/>
              </w:rPr>
            </w:pPr>
            <w:r>
              <w:rPr>
                <w:rFonts w:eastAsia="Calibri"/>
                <w:kern w:val="0"/>
                <w:sz w:val="22"/>
                <w:szCs w:val="22"/>
                <w:lang w:val="en-GB" w:eastAsia="en-US" w:bidi="ar-SA"/>
              </w:rPr>
              <w:t>Revised alignment shared with ER on 22/05 with modification of Jaddaf tunnel south portal to minimize land acquisition requirements and tweak in Meydan around retrieval shaft location.</w:t>
            </w:r>
          </w:p>
          <w:p>
            <w:pPr>
              <w:pStyle w:val="TableText"/>
              <w:widowControl w:val="false"/>
              <w:suppressAutoHyphens w:val="true"/>
              <w:spacing w:before="0" w:after="0"/>
              <w:jc w:val="both"/>
              <w:rPr>
                <w:lang w:val="en-GB"/>
              </w:rPr>
            </w:pPr>
            <w:r>
              <w:rPr>
                <w:rFonts w:eastAsia="Calibri"/>
                <w:kern w:val="0"/>
                <w:sz w:val="22"/>
                <w:szCs w:val="22"/>
                <w:lang w:val="en-GB" w:eastAsia="en-US" w:bidi="ar-SA"/>
              </w:rPr>
              <w:t xml:space="preserve">Jaddaf Station. SEI studied modified track layout following SHA-DJD operation requirements meeting on 27/03. Sketches shared by SEI on 23/04. ER confirmed to move forward with the revised layout. </w:t>
            </w:r>
          </w:p>
          <w:p>
            <w:pPr>
              <w:pStyle w:val="TableText"/>
              <w:widowControl w:val="false"/>
              <w:suppressAutoHyphens w:val="true"/>
              <w:spacing w:before="0" w:after="0"/>
              <w:jc w:val="both"/>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both"/>
              <w:rPr>
                <w:rFonts w:eastAsia="Calibri"/>
                <w:kern w:val="0"/>
                <w:sz w:val="22"/>
                <w:szCs w:val="22"/>
                <w:lang w:val="en-US" w:eastAsia="en-US" w:bidi="ar-SA"/>
              </w:rPr>
            </w:pPr>
            <w:r>
              <w:rPr>
                <w:rFonts w:eastAsia="Calibri"/>
                <w:kern w:val="0"/>
                <w:sz w:val="22"/>
                <w:szCs w:val="22"/>
                <w:lang w:val="en-US" w:eastAsia="en-US" w:bidi="ar-SA"/>
              </w:rPr>
              <w:t>PE alignment (new package) to be prepared according to these changes.</w:t>
            </w:r>
          </w:p>
          <w:p>
            <w:pPr>
              <w:pStyle w:val="TableText"/>
              <w:widowControl w:val="false"/>
              <w:suppressAutoHyphens w:val="true"/>
              <w:spacing w:before="0" w:after="0"/>
              <w:jc w:val="both"/>
              <w:rPr>
                <w:lang w:val="en-GB"/>
              </w:rPr>
            </w:pPr>
            <w:r>
              <w:rPr>
                <w:rFonts w:eastAsia="Calibri"/>
                <w:kern w:val="0"/>
                <w:sz w:val="22"/>
                <w:szCs w:val="22"/>
                <w:lang w:val="en-US" w:eastAsia="en-US" w:bidi="ar-SA"/>
              </w:rPr>
              <w:t>Meeting required with ER to agree on the design updates required for other disciplines (i.e. utilities, roads, structures, drainage etc.).</w:t>
            </w:r>
          </w:p>
          <w:p>
            <w:pPr>
              <w:pStyle w:val="TableText"/>
              <w:widowControl w:val="false"/>
              <w:suppressAutoHyphens w:val="true"/>
              <w:spacing w:before="0" w:after="0"/>
              <w:jc w:val="both"/>
              <w:rPr>
                <w:lang w:val="en-GB"/>
              </w:rPr>
            </w:pPr>
            <w:r>
              <w:rPr>
                <w:rFonts w:eastAsia="Calibri"/>
                <w:kern w:val="0"/>
                <w:sz w:val="22"/>
                <w:szCs w:val="22"/>
                <w:lang w:val="en-GB" w:eastAsia="en-US" w:bidi="ar-SA"/>
              </w:rPr>
            </w:r>
          </w:p>
          <w:p>
            <w:pPr>
              <w:pStyle w:val="TableText"/>
              <w:widowControl w:val="false"/>
              <w:suppressAutoHyphens w:val="true"/>
              <w:spacing w:before="0" w:after="0"/>
              <w:jc w:val="both"/>
              <w:rPr>
                <w:u w:val="single"/>
                <w:lang w:val="en-GB"/>
              </w:rPr>
            </w:pPr>
            <w:r>
              <w:rPr>
                <w:rFonts w:eastAsia="Calibri"/>
                <w:kern w:val="0"/>
                <w:sz w:val="22"/>
                <w:szCs w:val="22"/>
                <w:u w:val="single"/>
                <w:lang w:val="en-GB" w:eastAsia="en-US" w:bidi="ar-SA"/>
              </w:rPr>
              <w:t>Phase 1 - AUH Delta</w:t>
            </w:r>
          </w:p>
          <w:p>
            <w:pPr>
              <w:pStyle w:val="TableText"/>
              <w:widowControl w:val="false"/>
              <w:suppressAutoHyphens w:val="true"/>
              <w:spacing w:before="0" w:after="0"/>
              <w:jc w:val="both"/>
              <w:rPr>
                <w:lang w:val="en-GB"/>
              </w:rPr>
            </w:pPr>
            <w:r>
              <w:rPr>
                <w:rFonts w:eastAsia="Calibri"/>
                <w:kern w:val="0"/>
                <w:sz w:val="22"/>
                <w:szCs w:val="22"/>
                <w:lang w:val="en-GB" w:eastAsia="en-US" w:bidi="ar-SA"/>
              </w:rPr>
              <w:t xml:space="preserve">Alignment modified in plan and profile to fit the Al Reef station and the required crossovers. Details agreed with PMC on 14/02. </w:t>
            </w:r>
          </w:p>
          <w:p>
            <w:pPr>
              <w:pStyle w:val="TableText"/>
              <w:widowControl w:val="false"/>
              <w:suppressAutoHyphens w:val="true"/>
              <w:spacing w:before="0" w:after="0"/>
              <w:jc w:val="both"/>
              <w:rPr>
                <w:lang w:val="en-GB"/>
              </w:rPr>
            </w:pPr>
            <w:r>
              <w:rPr>
                <w:rFonts w:eastAsia="Calibri"/>
                <w:kern w:val="0"/>
                <w:sz w:val="22"/>
                <w:szCs w:val="22"/>
                <w:lang w:val="en-GB" w:eastAsia="en-US" w:bidi="ar-SA"/>
              </w:rPr>
              <w:t>Assumptions report for Al Reef St: reply provided by ER/PMC.</w:t>
            </w:r>
          </w:p>
          <w:p>
            <w:pPr>
              <w:pStyle w:val="TableText"/>
              <w:widowControl w:val="false"/>
              <w:suppressAutoHyphens w:val="true"/>
              <w:spacing w:before="0" w:after="0"/>
              <w:jc w:val="both"/>
              <w:rPr>
                <w:lang w:val="en-GB"/>
              </w:rPr>
            </w:pPr>
            <w:r>
              <w:rPr>
                <w:rFonts w:eastAsia="Calibri"/>
                <w:kern w:val="0"/>
                <w:sz w:val="22"/>
                <w:szCs w:val="22"/>
                <w:lang w:val="en-GB" w:eastAsia="en-US" w:bidi="ar-SA"/>
              </w:rPr>
            </w:r>
          </w:p>
          <w:p>
            <w:pPr>
              <w:pStyle w:val="TableText"/>
              <w:widowControl w:val="false"/>
              <w:suppressAutoHyphens w:val="true"/>
              <w:spacing w:before="0" w:after="0"/>
              <w:jc w:val="both"/>
              <w:rPr>
                <w:u w:val="single"/>
                <w:lang w:val="en-GB"/>
              </w:rPr>
            </w:pPr>
            <w:r>
              <w:rPr>
                <w:rFonts w:eastAsia="Calibri"/>
                <w:kern w:val="0"/>
                <w:sz w:val="22"/>
                <w:szCs w:val="22"/>
                <w:u w:val="single"/>
                <w:lang w:val="en-GB" w:eastAsia="en-US" w:bidi="ar-SA"/>
              </w:rPr>
              <w:t>Phase 2– submission status</w:t>
            </w:r>
          </w:p>
          <w:tbl>
            <w:tblPr>
              <w:tblW w:w="4950" w:type="pct"/>
              <w:jc w:val="start"/>
              <w:tblInd w:w="0" w:type="dxa"/>
              <w:tblLayout w:type="fixed"/>
              <w:tblCellMar>
                <w:top w:w="0" w:type="dxa"/>
                <w:start w:w="108" w:type="dxa"/>
                <w:bottom w:w="0" w:type="dxa"/>
                <w:end w:w="108" w:type="dxa"/>
              </w:tblCellMar>
              <w:tblLook w:firstRow="1" w:noVBand="1" w:lastRow="0" w:firstColumn="1" w:lastColumn="0" w:noHBand="0" w:val="04a0"/>
            </w:tblPr>
            <w:tblGrid>
              <w:gridCol w:w="1315"/>
              <w:gridCol w:w="1779"/>
              <w:gridCol w:w="2163"/>
            </w:tblGrid>
            <w:tr>
              <w:trPr>
                <w:tblHeader w:val="true"/>
                <w:trHeight w:val="420" w:hRule="atLeast"/>
              </w:trPr>
              <w:tc>
                <w:tcPr>
                  <w:tcW w:w="1315" w:type="dxa"/>
                  <w:tcBorders>
                    <w:top w:val="single" w:sz="4" w:space="0" w:color="000000"/>
                    <w:start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rPr>
                  </w:pPr>
                  <w:r>
                    <w:rPr>
                      <w:rFonts w:cs="Dubai"/>
                      <w:color w:themeColor="text1" w:val="000000"/>
                      <w:sz w:val="20"/>
                      <w:szCs w:val="20"/>
                    </w:rPr>
                    <w:t> </w:t>
                  </w:r>
                  <w:r>
                    <w:rPr>
                      <w:rFonts w:cs="Dubai"/>
                      <w:color w:themeColor="text1" w:val="000000"/>
                      <w:sz w:val="20"/>
                      <w:szCs w:val="20"/>
                    </w:rPr>
                    <w:t>Section</w:t>
                  </w:r>
                </w:p>
              </w:tc>
              <w:tc>
                <w:tcPr>
                  <w:tcW w:w="1779" w:type="dxa"/>
                  <w:tcBorders>
                    <w:top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rPr>
                  </w:pPr>
                  <w:r>
                    <w:rPr>
                      <w:rFonts w:cs="Dubai"/>
                      <w:color w:themeColor="text1" w:val="000000"/>
                      <w:sz w:val="20"/>
                      <w:szCs w:val="20"/>
                    </w:rPr>
                    <w:t>Alignment</w:t>
                  </w:r>
                </w:p>
              </w:tc>
              <w:tc>
                <w:tcPr>
                  <w:tcW w:w="2163" w:type="dxa"/>
                  <w:tcBorders>
                    <w:top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rPr>
                  </w:pPr>
                  <w:r>
                    <w:rPr>
                      <w:rFonts w:cs="Dubai"/>
                      <w:color w:themeColor="text1" w:val="000000"/>
                      <w:sz w:val="20"/>
                      <w:szCs w:val="20"/>
                    </w:rPr>
                    <w:t>Civil Eng. &amp; Track</w:t>
                  </w:r>
                </w:p>
              </w:tc>
            </w:tr>
            <w:tr>
              <w:trPr>
                <w:trHeight w:val="840" w:hRule="atLeast"/>
              </w:trPr>
              <w:tc>
                <w:tcPr>
                  <w:tcW w:w="1315" w:type="dxa"/>
                  <w:tcBorders>
                    <w:start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lang w:val="en-GB"/>
                    </w:rPr>
                  </w:pPr>
                  <w:r>
                    <w:rPr>
                      <w:rFonts w:cs="Dubai"/>
                      <w:color w:themeColor="text1" w:val="000000"/>
                      <w:sz w:val="20"/>
                      <w:szCs w:val="20"/>
                      <w:lang w:val="en-GB"/>
                    </w:rPr>
                    <w:t>Option A – Al Ain section 1</w:t>
                  </w:r>
                </w:p>
              </w:tc>
              <w:tc>
                <w:tcPr>
                  <w:tcW w:w="1779" w:type="dxa"/>
                  <w:tcBorders>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rPr>
                  </w:pPr>
                  <w:r>
                    <w:rPr>
                      <w:rFonts w:cs="Dubai"/>
                      <w:color w:themeColor="text1" w:val="000000"/>
                      <w:sz w:val="20"/>
                      <w:szCs w:val="20"/>
                    </w:rPr>
                    <w:t>Rev. AA</w:t>
                  </w:r>
                  <w:r>
                    <w:rPr>
                      <w:rFonts w:cs="Dubai"/>
                      <w:sz w:val="20"/>
                      <w:szCs w:val="20"/>
                    </w:rPr>
                    <w:br/>
                  </w:r>
                  <w:r>
                    <w:rPr>
                      <w:rFonts w:cs="Dubai"/>
                      <w:color w:themeColor="text1" w:val="000000"/>
                      <w:sz w:val="20"/>
                      <w:szCs w:val="20"/>
                    </w:rPr>
                    <w:t>Code 03</w:t>
                  </w:r>
                </w:p>
                <w:p>
                  <w:pPr>
                    <w:pStyle w:val="Normal"/>
                    <w:suppressAutoHyphens w:val="false"/>
                    <w:jc w:val="center"/>
                    <w:rPr>
                      <w:rFonts w:cs="Dubai"/>
                      <w:color w:val="000000"/>
                      <w:sz w:val="20"/>
                      <w:szCs w:val="20"/>
                    </w:rPr>
                  </w:pPr>
                  <w:r>
                    <w:rPr>
                      <w:rFonts w:cs="Dubai"/>
                      <w:color w:themeColor="text1" w:val="000000"/>
                      <w:sz w:val="20"/>
                      <w:szCs w:val="20"/>
                    </w:rPr>
                    <w:t>(*)</w:t>
                  </w:r>
                </w:p>
              </w:tc>
              <w:tc>
                <w:tcPr>
                  <w:tcW w:w="2163" w:type="dxa"/>
                  <w:tcBorders>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highlight w:val="yellow"/>
                    </w:rPr>
                  </w:pPr>
                  <w:r>
                    <w:rPr>
                      <w:rFonts w:cs="Dubai"/>
                      <w:color w:val="000000"/>
                      <w:sz w:val="20"/>
                      <w:szCs w:val="20"/>
                      <w:highlight w:val="yellow"/>
                    </w:rPr>
                  </w:r>
                </w:p>
              </w:tc>
            </w:tr>
            <w:tr>
              <w:trPr>
                <w:trHeight w:val="422" w:hRule="atLeast"/>
              </w:trPr>
              <w:tc>
                <w:tcPr>
                  <w:tcW w:w="1315" w:type="dxa"/>
                  <w:tcBorders>
                    <w:start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lang w:val="en-GB"/>
                    </w:rPr>
                  </w:pPr>
                  <w:r>
                    <w:rPr>
                      <w:rFonts w:cs="Dubai"/>
                      <w:color w:themeColor="text1" w:val="000000"/>
                      <w:sz w:val="20"/>
                      <w:szCs w:val="20"/>
                      <w:lang w:val="en-GB"/>
                    </w:rPr>
                    <w:t>Option A – Al Ain section 2</w:t>
                  </w:r>
                </w:p>
              </w:tc>
              <w:tc>
                <w:tcPr>
                  <w:tcW w:w="1779" w:type="dxa"/>
                  <w:tcBorders>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rPr>
                  </w:pPr>
                  <w:r>
                    <w:rPr>
                      <w:rFonts w:cs="Dubai"/>
                      <w:color w:themeColor="text1" w:val="000000"/>
                      <w:sz w:val="20"/>
                      <w:szCs w:val="20"/>
                    </w:rPr>
                    <w:t>Rev. AB</w:t>
                  </w:r>
                  <w:r>
                    <w:rPr>
                      <w:rFonts w:cs="Dubai"/>
                      <w:sz w:val="20"/>
                      <w:szCs w:val="20"/>
                    </w:rPr>
                    <w:br/>
                  </w:r>
                  <w:r>
                    <w:rPr>
                      <w:rFonts w:cs="Dubai"/>
                      <w:color w:themeColor="text1" w:val="000000"/>
                      <w:sz w:val="20"/>
                      <w:szCs w:val="20"/>
                    </w:rPr>
                    <w:t>UR</w:t>
                  </w:r>
                </w:p>
                <w:p>
                  <w:pPr>
                    <w:pStyle w:val="Normal"/>
                    <w:suppressAutoHyphens w:val="false"/>
                    <w:jc w:val="center"/>
                    <w:rPr>
                      <w:rFonts w:cs="Dubai"/>
                      <w:color w:val="000000"/>
                      <w:sz w:val="20"/>
                      <w:szCs w:val="20"/>
                      <w:lang w:val="en-AE" w:eastAsia="en-AE"/>
                    </w:rPr>
                  </w:pPr>
                  <w:r>
                    <w:rPr>
                      <w:rFonts w:cs="Dubai"/>
                      <w:color w:themeColor="text1" w:val="000000"/>
                      <w:sz w:val="20"/>
                      <w:szCs w:val="20"/>
                    </w:rPr>
                    <w:t>Submitted 16/05</w:t>
                  </w:r>
                </w:p>
              </w:tc>
              <w:tc>
                <w:tcPr>
                  <w:tcW w:w="2163" w:type="dxa"/>
                  <w:tcBorders>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highlight w:val="yellow"/>
                    </w:rPr>
                  </w:pPr>
                  <w:r>
                    <w:rPr>
                      <w:rFonts w:cs="Dubai"/>
                      <w:color w:val="000000"/>
                      <w:sz w:val="20"/>
                      <w:szCs w:val="20"/>
                      <w:highlight w:val="yellow"/>
                    </w:rPr>
                  </w:r>
                </w:p>
              </w:tc>
            </w:tr>
            <w:tr>
              <w:trPr>
                <w:trHeight w:val="840" w:hRule="atLeast"/>
              </w:trPr>
              <w:tc>
                <w:tcPr>
                  <w:tcW w:w="1315" w:type="dxa"/>
                  <w:tcBorders>
                    <w:start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lang w:val="en-GB"/>
                    </w:rPr>
                  </w:pPr>
                  <w:r>
                    <w:rPr>
                      <w:rFonts w:cs="Dubai"/>
                      <w:color w:themeColor="text1" w:val="000000"/>
                      <w:sz w:val="20"/>
                      <w:szCs w:val="20"/>
                      <w:lang w:val="en-GB"/>
                    </w:rPr>
                    <w:t>Option B – Sharjah section 1</w:t>
                  </w:r>
                </w:p>
              </w:tc>
              <w:tc>
                <w:tcPr>
                  <w:tcW w:w="1779" w:type="dxa"/>
                  <w:tcBorders>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rPr>
                  </w:pPr>
                  <w:r>
                    <w:rPr>
                      <w:rFonts w:cs="Dubai"/>
                      <w:color w:themeColor="text1" w:val="000000"/>
                      <w:sz w:val="20"/>
                      <w:szCs w:val="20"/>
                    </w:rPr>
                    <w:t>Rev. AB</w:t>
                  </w:r>
                  <w:r>
                    <w:rPr>
                      <w:rFonts w:cs="Dubai"/>
                      <w:sz w:val="20"/>
                      <w:szCs w:val="20"/>
                    </w:rPr>
                    <w:br/>
                  </w:r>
                  <w:r>
                    <w:rPr>
                      <w:rFonts w:cs="Dubai"/>
                      <w:color w:themeColor="text1" w:val="000000"/>
                      <w:sz w:val="20"/>
                      <w:szCs w:val="20"/>
                    </w:rPr>
                    <w:t>Code 02</w:t>
                  </w:r>
                </w:p>
                <w:p>
                  <w:pPr>
                    <w:pStyle w:val="Normal"/>
                    <w:suppressAutoHyphens w:val="false"/>
                    <w:jc w:val="center"/>
                    <w:rPr>
                      <w:rFonts w:cs="Dubai"/>
                      <w:color w:val="000000"/>
                      <w:sz w:val="20"/>
                      <w:szCs w:val="20"/>
                    </w:rPr>
                  </w:pPr>
                  <w:r>
                    <w:rPr>
                      <w:rFonts w:cs="Dubai"/>
                      <w:color w:themeColor="text1" w:val="000000"/>
                      <w:sz w:val="20"/>
                      <w:szCs w:val="20"/>
                    </w:rPr>
                    <w:t>On hold (**)</w:t>
                  </w:r>
                </w:p>
              </w:tc>
              <w:tc>
                <w:tcPr>
                  <w:tcW w:w="2163" w:type="dxa"/>
                  <w:tcBorders>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highlight w:val="yellow"/>
                    </w:rPr>
                  </w:pPr>
                  <w:r>
                    <w:rPr>
                      <w:rFonts w:cs="Dubai"/>
                      <w:color w:val="000000"/>
                      <w:sz w:val="20"/>
                      <w:szCs w:val="20"/>
                      <w:highlight w:val="yellow"/>
                    </w:rPr>
                  </w:r>
                </w:p>
              </w:tc>
            </w:tr>
            <w:tr>
              <w:trPr>
                <w:trHeight w:val="840" w:hRule="atLeast"/>
              </w:trPr>
              <w:tc>
                <w:tcPr>
                  <w:tcW w:w="1315" w:type="dxa"/>
                  <w:tcBorders>
                    <w:top w:val="single" w:sz="4" w:space="0" w:color="000000"/>
                    <w:start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lang w:val="en-GB"/>
                    </w:rPr>
                  </w:pPr>
                  <w:r>
                    <w:rPr>
                      <w:rFonts w:cs="Dubai"/>
                      <w:color w:themeColor="text1" w:val="000000"/>
                      <w:sz w:val="20"/>
                      <w:szCs w:val="20"/>
                      <w:lang w:val="en-GB"/>
                    </w:rPr>
                    <w:t>Option B – Sharjah section 2</w:t>
                  </w:r>
                </w:p>
              </w:tc>
              <w:tc>
                <w:tcPr>
                  <w:tcW w:w="1779" w:type="dxa"/>
                  <w:tcBorders>
                    <w:top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themeColor="text1" w:val="000000"/>
                      <w:sz w:val="20"/>
                      <w:szCs w:val="20"/>
                    </w:rPr>
                  </w:pPr>
                  <w:r>
                    <w:rPr>
                      <w:rFonts w:cs="Dubai"/>
                      <w:color w:themeColor="text1" w:val="000000"/>
                      <w:sz w:val="20"/>
                      <w:szCs w:val="20"/>
                    </w:rPr>
                    <w:t>Rev. AB</w:t>
                  </w:r>
                  <w:r>
                    <w:rPr>
                      <w:rFonts w:cs="Dubai"/>
                      <w:sz w:val="20"/>
                      <w:szCs w:val="20"/>
                    </w:rPr>
                    <w:br/>
                  </w:r>
                  <w:r>
                    <w:rPr>
                      <w:rFonts w:cs="Dubai"/>
                      <w:color w:themeColor="text1" w:val="000000"/>
                      <w:sz w:val="20"/>
                      <w:szCs w:val="20"/>
                    </w:rPr>
                    <w:t xml:space="preserve">Code 01 </w:t>
                  </w:r>
                </w:p>
                <w:p>
                  <w:pPr>
                    <w:pStyle w:val="Normal"/>
                    <w:suppressAutoHyphens w:val="false"/>
                    <w:rPr>
                      <w:rFonts w:cs="Dubai"/>
                      <w:color w:val="000000"/>
                      <w:sz w:val="20"/>
                      <w:szCs w:val="20"/>
                    </w:rPr>
                  </w:pPr>
                  <w:r>
                    <w:rPr>
                      <w:rFonts w:cs="Dubai"/>
                      <w:color w:val="000000"/>
                      <w:sz w:val="20"/>
                      <w:szCs w:val="20"/>
                    </w:rPr>
                  </w:r>
                </w:p>
                <w:p>
                  <w:pPr>
                    <w:pStyle w:val="Normal"/>
                    <w:jc w:val="center"/>
                    <w:rPr>
                      <w:rFonts w:cs="Dubai"/>
                      <w:b/>
                      <w:color w:val="000000"/>
                      <w:sz w:val="20"/>
                      <w:szCs w:val="20"/>
                    </w:rPr>
                  </w:pPr>
                  <w:r>
                    <w:rPr>
                      <w:rFonts w:cs="Dubai"/>
                      <w:b/>
                      <w:color w:val="000000"/>
                      <w:sz w:val="20"/>
                      <w:szCs w:val="20"/>
                    </w:rPr>
                  </w:r>
                </w:p>
              </w:tc>
              <w:tc>
                <w:tcPr>
                  <w:tcW w:w="2163" w:type="dxa"/>
                  <w:tcBorders>
                    <w:top w:val="single" w:sz="4" w:space="0" w:color="000000"/>
                    <w:bottom w:val="single" w:sz="4" w:space="0" w:color="000000"/>
                    <w:end w:val="single" w:sz="4" w:space="0" w:color="000000"/>
                  </w:tcBorders>
                  <w:shd w:color="auto" w:fill="auto" w:val="clear"/>
                  <w:vAlign w:val="center"/>
                </w:tcPr>
                <w:p>
                  <w:pPr>
                    <w:pStyle w:val="Normal"/>
                    <w:suppressAutoHyphens w:val="false"/>
                    <w:jc w:val="center"/>
                    <w:rPr>
                      <w:rFonts w:cs="Dubai"/>
                      <w:color w:val="000000"/>
                      <w:sz w:val="20"/>
                      <w:szCs w:val="20"/>
                      <w:highlight w:val="yellow"/>
                    </w:rPr>
                  </w:pPr>
                  <w:r>
                    <w:rPr>
                      <w:rFonts w:cs="Dubai"/>
                      <w:color w:val="000000"/>
                      <w:sz w:val="20"/>
                      <w:szCs w:val="20"/>
                      <w:highlight w:val="yellow"/>
                    </w:rPr>
                  </w:r>
                </w:p>
              </w:tc>
            </w:tr>
          </w:tbl>
          <w:p>
            <w:pPr>
              <w:pStyle w:val="TableText"/>
              <w:widowControl w:val="false"/>
              <w:suppressAutoHyphens w:val="true"/>
              <w:spacing w:before="0" w:after="0"/>
              <w:jc w:val="both"/>
              <w:rPr>
                <w:lang w:val="en-GB"/>
              </w:rPr>
            </w:pPr>
            <w:r>
              <w:rPr>
                <w:rFonts w:eastAsia="Calibri"/>
                <w:kern w:val="0"/>
                <w:sz w:val="22"/>
                <w:szCs w:val="22"/>
                <w:lang w:val="en-GB" w:eastAsia="en-US" w:bidi="ar-SA"/>
              </w:rPr>
            </w:r>
          </w:p>
          <w:p>
            <w:pPr>
              <w:pStyle w:val="TableText"/>
              <w:widowControl w:val="false"/>
              <w:suppressAutoHyphens w:val="true"/>
              <w:spacing w:before="0" w:after="0"/>
              <w:jc w:val="both"/>
              <w:rPr>
                <w:lang w:val="en-GB"/>
              </w:rPr>
            </w:pPr>
            <w:r>
              <w:rPr>
                <w:rFonts w:eastAsia="Calibri"/>
                <w:kern w:val="0"/>
                <w:sz w:val="22"/>
                <w:szCs w:val="22"/>
                <w:lang w:val="en-GB" w:eastAsia="en-US" w:bidi="ar-SA"/>
              </w:rPr>
              <w:t xml:space="preserve">Notes: </w:t>
            </w:r>
          </w:p>
          <w:p>
            <w:pPr>
              <w:pStyle w:val="TableText"/>
              <w:widowControl w:val="false"/>
              <w:numPr>
                <w:ilvl w:val="0"/>
                <w:numId w:val="33"/>
              </w:numPr>
              <w:suppressAutoHyphens w:val="true"/>
              <w:spacing w:before="0" w:after="0"/>
              <w:jc w:val="both"/>
              <w:rPr>
                <w:lang w:val="en-GB"/>
              </w:rPr>
            </w:pPr>
            <w:r>
              <w:rPr>
                <w:rFonts w:eastAsia="Calibri"/>
                <w:kern w:val="0"/>
                <w:sz w:val="22"/>
                <w:szCs w:val="22"/>
                <w:lang w:val="en-GB" w:eastAsia="en-US" w:bidi="ar-SA"/>
              </w:rPr>
              <w:t>(*) Alignment P&amp;P shared via email with PMC on 20/05 for closure of code 3 comments.</w:t>
            </w:r>
          </w:p>
          <w:p>
            <w:pPr>
              <w:pStyle w:val="TableText"/>
              <w:widowControl w:val="false"/>
              <w:numPr>
                <w:ilvl w:val="0"/>
                <w:numId w:val="33"/>
              </w:numPr>
              <w:suppressAutoHyphens w:val="true"/>
              <w:spacing w:before="0" w:after="0"/>
              <w:jc w:val="both"/>
              <w:rPr>
                <w:lang w:val="en-GB"/>
              </w:rPr>
            </w:pPr>
            <w:r>
              <w:rPr>
                <w:rFonts w:eastAsia="Calibri"/>
                <w:kern w:val="0"/>
                <w:sz w:val="22"/>
                <w:szCs w:val="22"/>
                <w:lang w:val="en-GB" w:eastAsia="en-US" w:bidi="ar-SA"/>
              </w:rPr>
              <w:t>(**) Only pending comment is ROW validation which will be done after approval of the PE for other disciplines as well as after obtention of NOCs.</w:t>
            </w:r>
          </w:p>
          <w:p>
            <w:pPr>
              <w:pStyle w:val="TableText"/>
              <w:widowControl w:val="false"/>
              <w:suppressAutoHyphens w:val="true"/>
              <w:spacing w:before="0" w:after="0"/>
              <w:ind w:start="720"/>
              <w:jc w:val="both"/>
              <w:rPr>
                <w:lang w:val="en-GB"/>
              </w:rPr>
            </w:pPr>
            <w:r>
              <w:rPr>
                <w:rFonts w:eastAsia="Calibri"/>
                <w:kern w:val="0"/>
                <w:sz w:val="22"/>
                <w:szCs w:val="22"/>
                <w:lang w:val="en-GB" w:eastAsia="en-US" w:bidi="ar-SA"/>
              </w:rPr>
            </w:r>
          </w:p>
          <w:p>
            <w:pPr>
              <w:pStyle w:val="TableText"/>
              <w:widowControl w:val="false"/>
              <w:suppressAutoHyphens w:val="true"/>
              <w:spacing w:before="0" w:after="0"/>
              <w:jc w:val="both"/>
              <w:rPr>
                <w:u w:val="single"/>
                <w:lang w:val="fr-FR"/>
              </w:rPr>
            </w:pPr>
            <w:r>
              <w:rPr>
                <w:rFonts w:eastAsia="Calibri"/>
                <w:kern w:val="0"/>
                <w:sz w:val="22"/>
                <w:szCs w:val="22"/>
                <w:u w:val="single"/>
                <w:lang w:val="fr-FR" w:eastAsia="en-US" w:bidi="ar-SA"/>
              </w:rPr>
              <w:t>Al Ain</w:t>
            </w:r>
          </w:p>
          <w:p>
            <w:pPr>
              <w:pStyle w:val="TableText"/>
              <w:widowControl w:val="false"/>
              <w:suppressAutoHyphens w:val="true"/>
              <w:spacing w:before="0" w:after="0"/>
              <w:jc w:val="both"/>
              <w:rPr>
                <w:b/>
                <w:color w:themeColor="text1" w:val="000000"/>
                <w:lang w:val="fr-FR"/>
              </w:rPr>
            </w:pPr>
            <w:r>
              <w:rPr>
                <w:rFonts w:eastAsia="Calibri"/>
                <w:b/>
                <w:color w:themeColor="text1" w:val="000000"/>
                <w:kern w:val="0"/>
                <w:sz w:val="22"/>
                <w:szCs w:val="22"/>
                <w:lang w:val="fr-FR" w:eastAsia="en-US" w:bidi="ar-SA"/>
              </w:rPr>
              <w:t xml:space="preserve">Abu Dhabi section: </w:t>
            </w:r>
          </w:p>
          <w:p>
            <w:pPr>
              <w:pStyle w:val="TableText"/>
              <w:widowControl w:val="false"/>
              <w:suppressAutoHyphens w:val="true"/>
              <w:spacing w:before="0" w:after="0"/>
              <w:jc w:val="both"/>
              <w:rPr>
                <w:color w:themeColor="text1" w:val="000000"/>
              </w:rPr>
            </w:pPr>
            <w:r>
              <w:rPr>
                <w:rFonts w:eastAsia="Calibri"/>
                <w:color w:themeColor="text1" w:val="000000"/>
                <w:kern w:val="0"/>
                <w:sz w:val="22"/>
                <w:szCs w:val="22"/>
                <w:lang w:val="en-GB" w:eastAsia="en-US" w:bidi="ar-SA"/>
              </w:rPr>
              <w:t>Viaduct solution along Turoush Street pending on feedback from ALDAR from renders and sections to get approval i</w:t>
            </w:r>
            <w:r>
              <w:rPr>
                <w:rFonts w:eastAsia="Calibri"/>
                <w:color w:themeColor="text1" w:val="000000"/>
                <w:kern w:val="0"/>
                <w:sz w:val="22"/>
                <w:szCs w:val="22"/>
                <w:lang w:val="en-US" w:eastAsia="en-US" w:bidi="ar-SA"/>
              </w:rPr>
              <w:t>n principle of current alignment.</w:t>
            </w:r>
          </w:p>
          <w:p>
            <w:pPr>
              <w:pStyle w:val="TableText"/>
              <w:widowControl w:val="false"/>
              <w:suppressAutoHyphens w:val="true"/>
              <w:spacing w:before="0" w:after="0"/>
              <w:jc w:val="both"/>
              <w:rPr>
                <w:b/>
                <w:color w:themeColor="text1" w:val="000000"/>
                <w:lang w:val="en-AE"/>
              </w:rPr>
            </w:pPr>
            <w:r>
              <w:rPr>
                <w:rFonts w:eastAsia="Calibri"/>
                <w:color w:themeColor="text1" w:val="000000"/>
                <w:kern w:val="0"/>
                <w:sz w:val="22"/>
                <w:szCs w:val="22"/>
                <w:lang w:val="en-AE" w:eastAsia="en-US" w:bidi="ar-SA"/>
              </w:rPr>
              <w:t>Alignment to be updated at delta with monotube tunnel with dividing wall.</w:t>
            </w:r>
          </w:p>
          <w:p>
            <w:pPr>
              <w:pStyle w:val="TableText"/>
              <w:widowControl w:val="false"/>
              <w:suppressAutoHyphens w:val="true"/>
              <w:spacing w:before="0" w:after="0"/>
              <w:jc w:val="both"/>
              <w:rPr>
                <w:b/>
                <w:color w:themeColor="text1" w:val="000000"/>
                <w:lang w:val="fr-FR"/>
              </w:rPr>
            </w:pPr>
            <w:r>
              <w:rPr>
                <w:rFonts w:eastAsia="Calibri"/>
                <w:b/>
                <w:color w:themeColor="text1" w:val="000000"/>
                <w:kern w:val="0"/>
                <w:sz w:val="22"/>
                <w:szCs w:val="22"/>
                <w:lang w:val="fr-FR" w:eastAsia="en-US" w:bidi="ar-SA"/>
              </w:rPr>
              <w:t xml:space="preserve">Al Ain section: </w:t>
            </w:r>
          </w:p>
          <w:p>
            <w:pPr>
              <w:pStyle w:val="TableText"/>
              <w:widowControl w:val="false"/>
              <w:suppressAutoHyphens w:val="true"/>
              <w:spacing w:before="0" w:after="0"/>
              <w:jc w:val="both"/>
              <w:rPr>
                <w:color w:themeColor="text1" w:val="000000"/>
              </w:rPr>
            </w:pPr>
            <w:r>
              <w:rPr>
                <w:rFonts w:eastAsia="Calibri"/>
                <w:color w:themeColor="text1" w:val="000000"/>
                <w:kern w:val="0"/>
                <w:sz w:val="22"/>
                <w:szCs w:val="22"/>
                <w:lang w:val="en-GB" w:eastAsia="en-US" w:bidi="ar-SA"/>
              </w:rPr>
              <w:t>SEI to share revised</w:t>
            </w:r>
            <w:r>
              <w:rPr>
                <w:rFonts w:eastAsia="Calibri"/>
                <w:color w:themeColor="text1" w:val="000000"/>
                <w:kern w:val="0"/>
                <w:sz w:val="22"/>
                <w:szCs w:val="22"/>
                <w:lang w:val="en-US" w:eastAsia="en-US" w:bidi="ar-SA"/>
              </w:rPr>
              <w:t xml:space="preserve"> alignment around Al Amerah to reflect station location preferred by ALDAR</w:t>
            </w:r>
          </w:p>
          <w:p>
            <w:pPr>
              <w:pStyle w:val="TableText"/>
              <w:widowControl w:val="false"/>
              <w:suppressAutoHyphens w:val="true"/>
              <w:spacing w:before="0" w:after="0"/>
              <w:jc w:val="both"/>
              <w:rPr>
                <w:color w:themeColor="text1" w:val="000000"/>
                <w:lang w:val="en-GB"/>
              </w:rPr>
            </w:pPr>
            <w:r>
              <w:rPr>
                <w:rFonts w:eastAsia="Calibri"/>
                <w:color w:themeColor="text1" w:val="000000"/>
                <w:kern w:val="0"/>
                <w:sz w:val="22"/>
                <w:szCs w:val="22"/>
                <w:lang w:val="en-AE" w:eastAsia="en-US" w:bidi="ar-SA"/>
              </w:rPr>
              <w:t>Alignment to be updated with monotube tunnel with dividing wall</w:t>
            </w:r>
            <w:r>
              <w:rPr>
                <w:rFonts w:eastAsia="Calibri"/>
                <w:color w:themeColor="text1" w:val="000000"/>
                <w:kern w:val="0"/>
                <w:sz w:val="22"/>
                <w:szCs w:val="22"/>
                <w:lang w:val="en-GB" w:eastAsia="en-US" w:bidi="ar-SA"/>
              </w:rPr>
              <w:t>.</w:t>
            </w:r>
          </w:p>
          <w:p>
            <w:pPr>
              <w:pStyle w:val="TableText"/>
              <w:widowControl w:val="false"/>
              <w:suppressAutoHyphens w:val="true"/>
              <w:spacing w:before="0" w:after="0"/>
              <w:jc w:val="both"/>
              <w:rPr>
                <w:rFonts w:eastAsia="Calibri"/>
                <w:kern w:val="0"/>
                <w:sz w:val="22"/>
                <w:szCs w:val="22"/>
                <w:lang w:val="en-US" w:eastAsia="en-US" w:bidi="ar-SA"/>
              </w:rPr>
            </w:pPr>
            <w:r>
              <w:rPr>
                <w:rFonts w:eastAsia="Calibri"/>
                <w:kern w:val="0"/>
                <w:sz w:val="22"/>
                <w:szCs w:val="22"/>
                <w:lang w:val="en-US" w:eastAsia="en-US" w:bidi="ar-SA"/>
              </w:rPr>
              <w:t xml:space="preserve">Assumptions Report for Al Ain shared on 07/03. </w:t>
            </w:r>
            <w:r>
              <w:rPr>
                <w:rFonts w:eastAsia="Calibri"/>
                <w:kern w:val="0"/>
                <w:sz w:val="22"/>
                <w:szCs w:val="22"/>
                <w:lang w:val="en-GB" w:eastAsia="en-US" w:bidi="ar-SA"/>
              </w:rPr>
              <w:t>Reply provided by ER/PMC.</w:t>
            </w:r>
          </w:p>
          <w:p>
            <w:pPr>
              <w:pStyle w:val="TableText"/>
              <w:widowControl w:val="false"/>
              <w:suppressAutoHyphens w:val="true"/>
              <w:spacing w:before="0" w:after="0"/>
              <w:jc w:val="both"/>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both"/>
              <w:rPr>
                <w:color w:themeColor="text1" w:val="000000"/>
                <w:u w:val="single"/>
                <w:lang w:val="en-GB"/>
              </w:rPr>
            </w:pPr>
            <w:r>
              <w:rPr>
                <w:rFonts w:eastAsia="Calibri"/>
                <w:color w:themeColor="text1" w:val="000000"/>
                <w:kern w:val="0"/>
                <w:sz w:val="22"/>
                <w:szCs w:val="22"/>
                <w:u w:val="single"/>
                <w:lang w:val="en-GB" w:eastAsia="en-US" w:bidi="ar-SA"/>
              </w:rPr>
              <w:t xml:space="preserve">Inner-city alignment: </w:t>
            </w:r>
          </w:p>
          <w:p>
            <w:pPr>
              <w:pStyle w:val="TableText"/>
              <w:widowControl w:val="false"/>
              <w:suppressAutoHyphens w:val="true"/>
              <w:spacing w:before="0" w:after="0"/>
              <w:jc w:val="both"/>
              <w:rPr>
                <w:color w:themeColor="text1" w:val="000000"/>
                <w:lang w:val="en-GB"/>
              </w:rPr>
            </w:pPr>
            <w:r>
              <w:rPr>
                <w:rFonts w:eastAsia="Calibri"/>
                <w:color w:themeColor="text1" w:val="000000"/>
                <w:kern w:val="0"/>
                <w:sz w:val="22"/>
                <w:szCs w:val="22"/>
                <w:lang w:val="en-GB" w:eastAsia="en-US" w:bidi="ar-SA"/>
              </w:rPr>
              <w:t>ER to reconfirm the need of the design of Mina Depot. Design on Mina Depot is on hold.</w:t>
            </w:r>
          </w:p>
          <w:p>
            <w:pPr>
              <w:pStyle w:val="TableText"/>
              <w:widowControl w:val="false"/>
              <w:suppressAutoHyphens w:val="true"/>
              <w:spacing w:before="0" w:after="0"/>
              <w:jc w:val="both"/>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both"/>
              <w:rPr>
                <w:color w:themeColor="text1" w:val="000000"/>
                <w:u w:val="single"/>
                <w:lang w:val="en-GB"/>
              </w:rPr>
            </w:pPr>
            <w:r>
              <w:rPr>
                <w:rFonts w:eastAsia="Calibri"/>
                <w:color w:themeColor="text1" w:val="000000"/>
                <w:kern w:val="0"/>
                <w:sz w:val="22"/>
                <w:szCs w:val="22"/>
                <w:u w:val="single"/>
                <w:lang w:val="en-GB" w:eastAsia="en-US" w:bidi="ar-SA"/>
              </w:rPr>
              <w:t>Sharjah</w:t>
            </w:r>
          </w:p>
          <w:p>
            <w:pPr>
              <w:pStyle w:val="TableText"/>
              <w:widowControl w:val="false"/>
              <w:suppressAutoHyphens w:val="true"/>
              <w:spacing w:before="0" w:after="0"/>
              <w:jc w:val="both"/>
              <w:rPr>
                <w:lang w:val="en-GB"/>
              </w:rPr>
            </w:pPr>
            <w:r>
              <w:rPr>
                <w:rFonts w:eastAsia="Calibri"/>
                <w:kern w:val="0"/>
                <w:sz w:val="22"/>
                <w:szCs w:val="22"/>
                <w:lang w:val="en-US" w:eastAsia="en-US" w:bidi="ar-SA"/>
              </w:rPr>
              <w:t xml:space="preserve">Alignment updated for </w:t>
            </w:r>
            <w:r>
              <w:rPr>
                <w:rFonts w:eastAsia="Calibri"/>
                <w:kern w:val="0"/>
                <w:sz w:val="22"/>
                <w:szCs w:val="22"/>
                <w:lang w:val="en-GB" w:eastAsia="en-US" w:bidi="ar-SA"/>
              </w:rPr>
              <w:t xml:space="preserve">monotube tunnel with dividing wall and 235m platforms at Sharjah Station shared with ER on 23/05. </w:t>
            </w:r>
          </w:p>
          <w:p>
            <w:pPr>
              <w:pStyle w:val="TableText"/>
              <w:widowControl w:val="false"/>
              <w:suppressAutoHyphens w:val="true"/>
              <w:spacing w:before="0" w:after="0"/>
              <w:jc w:val="both"/>
              <w:rPr>
                <w:lang w:val="en-GB"/>
              </w:rPr>
            </w:pPr>
            <w:r>
              <w:rPr>
                <w:rFonts w:eastAsia="Calibri"/>
                <w:kern w:val="0"/>
                <w:sz w:val="22"/>
                <w:szCs w:val="22"/>
                <w:lang w:val="en-GB" w:eastAsia="en-US" w:bidi="ar-SA"/>
              </w:rPr>
              <w:t>SEI to prepare submission based on discussion in Coordination meeting on 26/05.</w:t>
            </w:r>
          </w:p>
          <w:p>
            <w:pPr>
              <w:pStyle w:val="TableText"/>
              <w:widowControl w:val="false"/>
              <w:suppressAutoHyphens w:val="true"/>
              <w:spacing w:before="0" w:after="0"/>
              <w:jc w:val="both"/>
              <w:rPr>
                <w:rFonts w:eastAsia="Calibri"/>
                <w:kern w:val="0"/>
                <w:sz w:val="22"/>
                <w:szCs w:val="22"/>
                <w:lang w:val="en-US" w:eastAsia="en-US" w:bidi="ar-SA"/>
              </w:rPr>
            </w:pPr>
            <w:r>
              <w:rPr>
                <w:rFonts w:eastAsia="Calibri"/>
                <w:kern w:val="0"/>
                <w:sz w:val="22"/>
                <w:szCs w:val="22"/>
                <w:lang w:val="en-GB" w:eastAsia="en-US" w:bidi="ar-SA"/>
              </w:rPr>
              <w:t>Meeting with ER required to agree on the update required for other disciplines.</w:t>
            </w:r>
          </w:p>
          <w:p>
            <w:pPr>
              <w:pStyle w:val="TableText"/>
              <w:widowControl w:val="false"/>
              <w:suppressAutoHyphens w:val="true"/>
              <w:spacing w:before="0" w:after="0"/>
              <w:jc w:val="both"/>
              <w:rPr>
                <w:color w:themeColor="text1" w:val="000000"/>
                <w:lang w:val="en-GB"/>
              </w:rPr>
            </w:pPr>
            <w:r>
              <w:rPr>
                <w:rFonts w:eastAsia="Calibri"/>
                <w:kern w:val="0"/>
                <w:sz w:val="22"/>
                <w:szCs w:val="22"/>
                <w:lang w:val="en-US" w:eastAsia="en-US" w:bidi="ar-SA"/>
              </w:rPr>
              <w:t xml:space="preserve">Assumptions Report for Sharjah shared on 07/03. </w:t>
            </w:r>
            <w:r>
              <w:rPr>
                <w:rFonts w:eastAsia="Calibri"/>
                <w:kern w:val="0"/>
                <w:sz w:val="22"/>
                <w:szCs w:val="22"/>
                <w:lang w:val="en-GB" w:eastAsia="en-US" w:bidi="ar-SA"/>
              </w:rPr>
              <w:t>Reply provided by ER/PMC</w:t>
            </w:r>
            <w:r>
              <w:rPr>
                <w:rFonts w:eastAsia="Calibri"/>
                <w:kern w:val="0"/>
                <w:sz w:val="22"/>
                <w:szCs w:val="22"/>
                <w:lang w:val="en-US" w:eastAsia="en-US" w:bidi="ar-SA"/>
              </w:rPr>
              <w:t>.</w:t>
            </w:r>
          </w:p>
        </w:tc>
        <w:tc>
          <w:tcPr>
            <w:tcW w:w="850" w:type="dxa"/>
            <w:tcBorders/>
          </w:tcPr>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SEI</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ER/SEI/PMC</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sz w:val="16"/>
                <w:szCs w:val="16"/>
                <w:lang w:val="pt-BR"/>
              </w:rPr>
            </w:pPr>
            <w:r>
              <w:rPr>
                <w:rFonts w:eastAsia="Calibri"/>
                <w:color w:themeColor="text1" w:val="000000"/>
                <w:kern w:val="0"/>
                <w:sz w:val="16"/>
                <w:szCs w:val="16"/>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SEI</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SEI</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 xml:space="preserve">SEI </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t>Note</w:t>
            </w:r>
          </w:p>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t>ER/PMC</w:t>
            </w:r>
          </w:p>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t>Note</w:t>
            </w:r>
          </w:p>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t>SEI</w:t>
            </w:r>
          </w:p>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t>ER/SEI/PMC</w:t>
            </w:r>
          </w:p>
          <w:p>
            <w:pPr>
              <w:pStyle w:val="TableText"/>
              <w:widowControl w:val="false"/>
              <w:suppressAutoHyphens w:val="true"/>
              <w:spacing w:before="0" w:after="0"/>
              <w:jc w:val="center"/>
              <w:rPr>
                <w:bCs/>
                <w:lang w:val="pt-BR"/>
              </w:rPr>
            </w:pPr>
            <w:r>
              <w:rPr>
                <w:rFonts w:eastAsia="Calibri"/>
                <w:color w:themeColor="text1" w:val="000000"/>
                <w:kern w:val="0"/>
                <w:sz w:val="22"/>
                <w:szCs w:val="22"/>
                <w:lang w:val="pt-PT" w:eastAsia="en-US" w:bidi="ar-SA"/>
              </w:rPr>
              <w:t>Note</w:t>
            </w:r>
          </w:p>
        </w:tc>
        <w:tc>
          <w:tcPr>
            <w:tcW w:w="1278" w:type="dxa"/>
            <w:tcBorders/>
          </w:tcPr>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27/06/25</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TBC</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sz w:val="16"/>
                <w:szCs w:val="16"/>
                <w:lang w:val="pt-BR"/>
              </w:rPr>
            </w:pPr>
            <w:r>
              <w:rPr>
                <w:rFonts w:eastAsia="Calibri"/>
                <w:color w:themeColor="text1" w:val="000000"/>
                <w:kern w:val="0"/>
                <w:sz w:val="16"/>
                <w:szCs w:val="16"/>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27/06/25</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27/05/25</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13/06/25</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rPr>
            </w:pPr>
            <w:r>
              <w:rPr>
                <w:rFonts w:eastAsia="Calibri"/>
                <w:color w:themeColor="text1" w:val="000000"/>
                <w:kern w:val="0"/>
                <w:sz w:val="22"/>
                <w:szCs w:val="22"/>
                <w:lang w:val="en-US" w:eastAsia="en-US" w:bidi="ar-SA"/>
              </w:rPr>
              <w:t>ASAP</w:t>
            </w:r>
          </w:p>
          <w:p>
            <w:pPr>
              <w:pStyle w:val="TableText"/>
              <w:widowControl w:val="false"/>
              <w:suppressAutoHyphens w:val="true"/>
              <w:spacing w:before="0" w:after="0"/>
              <w:jc w:val="center"/>
              <w:rPr>
                <w:color w:themeColor="text1" w:val="000000"/>
              </w:rPr>
            </w:pPr>
            <w:r>
              <w:rPr>
                <w:rFonts w:eastAsia="Calibri"/>
                <w:color w:themeColor="text1" w:val="000000"/>
                <w:kern w:val="0"/>
                <w:sz w:val="22"/>
                <w:szCs w:val="22"/>
                <w:lang w:val="en-US" w:eastAsia="en-US" w:bidi="ar-SA"/>
              </w:rPr>
            </w:r>
          </w:p>
          <w:p>
            <w:pPr>
              <w:pStyle w:val="TableText"/>
              <w:widowControl w:val="false"/>
              <w:suppressAutoHyphens w:val="true"/>
              <w:spacing w:before="0" w:after="0"/>
              <w:jc w:val="center"/>
              <w:rPr>
                <w:color w:themeColor="text1" w:val="000000"/>
              </w:rPr>
            </w:pPr>
            <w:r>
              <w:rPr>
                <w:rFonts w:eastAsia="Calibri"/>
                <w:color w:themeColor="text1" w:val="000000"/>
                <w:kern w:val="0"/>
                <w:sz w:val="22"/>
                <w:szCs w:val="22"/>
                <w:lang w:val="en-US" w:eastAsia="en-US" w:bidi="ar-SA"/>
              </w:rPr>
            </w:r>
          </w:p>
          <w:p>
            <w:pPr>
              <w:pStyle w:val="TableText"/>
              <w:widowControl w:val="false"/>
              <w:suppressAutoHyphens w:val="true"/>
              <w:spacing w:before="0" w:after="0"/>
              <w:jc w:val="center"/>
              <w:rPr>
                <w:color w:themeColor="text1" w:val="000000"/>
              </w:rPr>
            </w:pPr>
            <w:r>
              <w:rPr>
                <w:rFonts w:eastAsia="Calibri"/>
                <w:color w:themeColor="text1" w:val="000000"/>
                <w:kern w:val="0"/>
                <w:sz w:val="22"/>
                <w:szCs w:val="22"/>
                <w:lang w:val="en-US" w:eastAsia="en-US" w:bidi="ar-SA"/>
              </w:rPr>
            </w:r>
          </w:p>
          <w:p>
            <w:pPr>
              <w:pStyle w:val="TableText"/>
              <w:widowControl w:val="false"/>
              <w:suppressAutoHyphens w:val="true"/>
              <w:spacing w:before="0" w:after="0"/>
              <w:jc w:val="center"/>
              <w:rPr>
                <w:color w:themeColor="text1" w:val="000000"/>
              </w:rPr>
            </w:pPr>
            <w:r>
              <w:rPr>
                <w:rFonts w:eastAsia="Calibri"/>
                <w:color w:themeColor="text1" w:val="000000"/>
                <w:kern w:val="0"/>
                <w:sz w:val="22"/>
                <w:szCs w:val="22"/>
                <w:lang w:val="en-US" w:eastAsia="en-US" w:bidi="ar-SA"/>
              </w:rPr>
            </w:r>
          </w:p>
          <w:p>
            <w:pPr>
              <w:pStyle w:val="TableText"/>
              <w:widowControl w:val="false"/>
              <w:suppressAutoHyphens w:val="true"/>
              <w:spacing w:before="0" w:after="0"/>
              <w:jc w:val="center"/>
              <w:rPr>
                <w:color w:themeColor="text1" w:val="000000"/>
              </w:rPr>
            </w:pPr>
            <w:r>
              <w:rPr>
                <w:rFonts w:eastAsia="Calibri"/>
                <w:color w:themeColor="text1" w:val="000000"/>
                <w:kern w:val="0"/>
                <w:sz w:val="22"/>
                <w:szCs w:val="22"/>
                <w:lang w:val="en-US" w:eastAsia="en-US" w:bidi="ar-SA"/>
              </w:rPr>
            </w:r>
          </w:p>
          <w:p>
            <w:pPr>
              <w:pStyle w:val="TableText"/>
              <w:widowControl w:val="false"/>
              <w:suppressAutoHyphens w:val="true"/>
              <w:spacing w:before="0" w:after="0"/>
              <w:jc w:val="center"/>
              <w:rPr>
                <w:color w:themeColor="text1" w:val="000000"/>
              </w:rPr>
            </w:pPr>
            <w:r>
              <w:rPr>
                <w:rFonts w:eastAsia="Calibri"/>
                <w:color w:themeColor="text1" w:val="000000"/>
                <w:kern w:val="0"/>
                <w:sz w:val="22"/>
                <w:szCs w:val="22"/>
                <w:lang w:val="en-US"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t>20/06/25</w:t>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AE" w:eastAsia="en-US" w:bidi="ar-SA"/>
              </w:rPr>
              <w:t>28/05/25</w:t>
            </w:r>
          </w:p>
        </w:tc>
      </w:tr>
      <w:tr>
        <w:trPr>
          <w:trHeight w:val="436" w:hRule="atLeast"/>
        </w:trPr>
        <w:tc>
          <w:tcPr>
            <w:tcW w:w="1400" w:type="dxa"/>
            <w:vMerge w:val="continue"/>
            <w:tcBorders/>
            <w:vAlign w:val="center"/>
          </w:tcPr>
          <w:p>
            <w:pPr>
              <w:pStyle w:val="TableLineNumbering"/>
              <w:widowControl w:val="false"/>
              <w:numPr>
                <w:ilvl w:val="0"/>
                <w:numId w:val="0"/>
              </w:numPr>
              <w:suppressAutoHyphens w:val="true"/>
              <w:spacing w:before="0" w:after="0"/>
              <w:ind w:hanging="360" w:start="360"/>
              <w:jc w:val="start"/>
              <w:rPr>
                <w:kern w:val="0"/>
                <w:lang w:val="en-US" w:eastAsia="en-US" w:bidi="ar-SA"/>
              </w:rPr>
            </w:pPr>
            <w:r>
              <w:rPr>
                <w:kern w:val="0"/>
                <w:lang w:val="en-US" w:eastAsia="en-US" w:bidi="ar-SA"/>
              </w:rPr>
            </w:r>
          </w:p>
        </w:tc>
        <w:tc>
          <w:tcPr>
            <w:tcW w:w="1871" w:type="dxa"/>
            <w:vMerge w:val="continue"/>
            <w:tcBorders/>
            <w:vAlign w:val="center"/>
          </w:tcPr>
          <w:p>
            <w:pPr>
              <w:pStyle w:val="TableText"/>
              <w:widowControl w:val="false"/>
              <w:suppressAutoHyphens w:val="true"/>
              <w:spacing w:before="0" w:after="0"/>
              <w:jc w:val="start"/>
              <w:rPr>
                <w:bCs/>
              </w:rPr>
            </w:pPr>
            <w:r>
              <w:rPr>
                <w:rFonts w:eastAsia="Calibri"/>
                <w:bCs/>
                <w:kern w:val="0"/>
                <w:sz w:val="22"/>
                <w:szCs w:val="22"/>
                <w:lang w:val="en-US" w:eastAsia="en-US" w:bidi="ar-SA"/>
              </w:rPr>
            </w:r>
          </w:p>
        </w:tc>
        <w:tc>
          <w:tcPr>
            <w:tcW w:w="5527" w:type="dxa"/>
            <w:tcBorders/>
          </w:tcPr>
          <w:p>
            <w:pPr>
              <w:pStyle w:val="TableText"/>
              <w:widowControl w:val="false"/>
              <w:suppressAutoHyphens w:val="true"/>
              <w:spacing w:before="0" w:after="0"/>
              <w:jc w:val="both"/>
              <w:rPr>
                <w:b/>
                <w:color w:themeColor="text1" w:val="000000"/>
                <w:lang w:val="en-GB"/>
              </w:rPr>
            </w:pPr>
            <w:r>
              <w:rPr>
                <w:rFonts w:eastAsia="Calibri"/>
                <w:b/>
                <w:color w:themeColor="text1" w:val="000000"/>
                <w:kern w:val="0"/>
                <w:sz w:val="22"/>
                <w:szCs w:val="22"/>
                <w:lang w:val="en-GB" w:eastAsia="en-US" w:bidi="ar-SA"/>
              </w:rPr>
              <w:t>Roads</w:t>
            </w:r>
          </w:p>
          <w:p>
            <w:pPr>
              <w:pStyle w:val="TableText"/>
              <w:widowControl w:val="false"/>
              <w:suppressAutoHyphens w:val="true"/>
              <w:spacing w:before="0" w:after="0"/>
              <w:jc w:val="start"/>
              <w:rPr>
                <w:rFonts w:eastAsia="Dubai"/>
                <w:lang w:val="en-GB"/>
              </w:rPr>
            </w:pPr>
            <w:r>
              <w:rPr>
                <w:rFonts w:eastAsia="Dubai"/>
                <w:kern w:val="0"/>
                <w:sz w:val="22"/>
                <w:szCs w:val="22"/>
                <w:u w:val="single"/>
                <w:lang w:val="en-GB" w:eastAsia="en-US" w:bidi="ar-SA"/>
              </w:rPr>
              <w:t>All Phase 1 sections</w:t>
            </w:r>
            <w:r>
              <w:rPr>
                <w:rFonts w:eastAsia="Dubai"/>
                <w:kern w:val="0"/>
                <w:sz w:val="22"/>
                <w:szCs w:val="22"/>
                <w:lang w:val="en-GB" w:eastAsia="en-US" w:bidi="ar-SA"/>
              </w:rPr>
              <w:t>: pending comments related to NOC’s, RSA and authorities’ approval + minor technical comments (report/drawings).</w:t>
            </w:r>
          </w:p>
          <w:p>
            <w:pPr>
              <w:pStyle w:val="TableText"/>
              <w:widowControl w:val="false"/>
              <w:suppressAutoHyphens w:val="true"/>
              <w:spacing w:before="0" w:after="0"/>
              <w:jc w:val="start"/>
              <w:rPr>
                <w:rFonts w:eastAsia="Dubai"/>
                <w:u w:val="single"/>
                <w:lang w:val="en-GB"/>
              </w:rPr>
            </w:pPr>
            <w:r>
              <w:rPr>
                <w:rFonts w:eastAsia="Dubai"/>
                <w:kern w:val="0"/>
                <w:sz w:val="22"/>
                <w:szCs w:val="22"/>
                <w:u w:val="single"/>
                <w:lang w:val="en-GB" w:eastAsia="en-US" w:bidi="ar-SA"/>
              </w:rPr>
              <w:t>Option B (Extension to Sharjah)</w:t>
            </w:r>
          </w:p>
          <w:p>
            <w:pPr>
              <w:pStyle w:val="TableText"/>
              <w:widowControl w:val="false"/>
              <w:suppressAutoHyphens w:val="true"/>
              <w:spacing w:before="0" w:after="0"/>
              <w:jc w:val="start"/>
              <w:rPr>
                <w:rFonts w:eastAsia="Calibri"/>
                <w:kern w:val="0"/>
                <w:sz w:val="22"/>
                <w:szCs w:val="22"/>
                <w:lang w:val="en-US" w:eastAsia="en-US" w:bidi="ar-SA"/>
              </w:rPr>
            </w:pPr>
            <w:r>
              <w:rPr>
                <w:rFonts w:eastAsia="Dubai"/>
                <w:kern w:val="0"/>
                <w:sz w:val="22"/>
                <w:szCs w:val="22"/>
                <w:lang w:val="en-GB" w:eastAsia="en-US" w:bidi="ar-SA"/>
              </w:rPr>
              <w:t xml:space="preserve">Code 3 comment on temporary road closure/diversion to be approved in principle by Authorities. Following meeting with ER, one main road affection will no longer be applicable with the alignment for the </w:t>
            </w:r>
            <w:r>
              <w:rPr>
                <w:rFonts w:eastAsia="Calibri"/>
                <w:kern w:val="0"/>
                <w:sz w:val="22"/>
                <w:szCs w:val="22"/>
                <w:lang w:val="en-GB" w:eastAsia="en-US" w:bidi="ar-SA"/>
              </w:rPr>
              <w:t>monotube tunnel with dividing wall therefore comment can be downgraded to code 2.</w:t>
            </w:r>
          </w:p>
        </w:tc>
        <w:tc>
          <w:tcPr>
            <w:tcW w:w="850" w:type="dxa"/>
            <w:tcBorders/>
          </w:tcPr>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start"/>
              <w:rPr>
                <w:bCs/>
                <w:lang w:val="pt-BR"/>
              </w:rPr>
            </w:pPr>
            <w:r>
              <w:rPr>
                <w:rFonts w:eastAsia="Calibri"/>
                <w:bCs/>
                <w:kern w:val="0"/>
                <w:sz w:val="22"/>
                <w:szCs w:val="22"/>
                <w:lang w:val="pt-BR" w:eastAsia="en-US" w:bidi="ar-SA"/>
              </w:rPr>
            </w:r>
          </w:p>
          <w:p>
            <w:pPr>
              <w:pStyle w:val="TableText"/>
              <w:widowControl w:val="false"/>
              <w:suppressAutoHyphens w:val="true"/>
              <w:spacing w:before="0" w:after="0"/>
              <w:jc w:val="center"/>
              <w:rPr>
                <w:color w:themeColor="text1" w:val="000000"/>
                <w:lang w:val="en-AE"/>
              </w:rPr>
            </w:pPr>
            <w:r>
              <w:rPr>
                <w:rFonts w:eastAsia="Calibri"/>
                <w:bCs/>
                <w:kern w:val="0"/>
                <w:sz w:val="22"/>
                <w:szCs w:val="22"/>
                <w:lang w:val="pt-BR" w:eastAsia="en-US" w:bidi="ar-SA"/>
              </w:rPr>
              <w:t>Note</w:t>
            </w:r>
          </w:p>
        </w:tc>
        <w:tc>
          <w:tcPr>
            <w:tcW w:w="1278" w:type="dxa"/>
            <w:tcBorders/>
          </w:tcPr>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suppressAutoHyphens w:val="true"/>
              <w:spacing w:before="0" w:after="0"/>
              <w:jc w:val="start"/>
              <w:rPr>
                <w:color w:themeColor="text1" w:val="000000"/>
                <w:lang w:val="en-AE"/>
              </w:rPr>
            </w:pPr>
            <w:r>
              <w:rPr>
                <w:rFonts w:eastAsia="Calibri"/>
                <w:color w:themeColor="text1" w:val="000000"/>
                <w:kern w:val="0"/>
                <w:sz w:val="22"/>
                <w:szCs w:val="22"/>
                <w:lang w:val="en-AE" w:eastAsia="en-US" w:bidi="ar-SA"/>
              </w:rPr>
            </w:r>
          </w:p>
        </w:tc>
      </w:tr>
      <w:tr>
        <w:trPr>
          <w:trHeight w:val="1570" w:hRule="atLeast"/>
        </w:trPr>
        <w:tc>
          <w:tcPr>
            <w:tcW w:w="1400" w:type="dxa"/>
            <w:vMerge w:val="continue"/>
            <w:tcBorders/>
            <w:vAlign w:val="center"/>
          </w:tcPr>
          <w:p>
            <w:pPr>
              <w:pStyle w:val="TableLineNumbering"/>
              <w:widowControl w:val="false"/>
              <w:numPr>
                <w:ilvl w:val="0"/>
                <w:numId w:val="0"/>
              </w:numPr>
              <w:suppressAutoHyphens w:val="true"/>
              <w:spacing w:before="0" w:after="0"/>
              <w:ind w:hanging="360" w:start="360"/>
              <w:jc w:val="start"/>
              <w:rPr>
                <w:kern w:val="0"/>
                <w:lang w:val="en-US" w:eastAsia="en-US" w:bidi="ar-SA"/>
              </w:rPr>
            </w:pPr>
            <w:r>
              <w:rPr>
                <w:kern w:val="0"/>
                <w:lang w:val="en-US" w:eastAsia="en-US" w:bidi="ar-SA"/>
              </w:rPr>
            </w:r>
          </w:p>
        </w:tc>
        <w:tc>
          <w:tcPr>
            <w:tcW w:w="1871" w:type="dxa"/>
            <w:vMerge w:val="continue"/>
            <w:tcBorders/>
            <w:vAlign w:val="center"/>
          </w:tcPr>
          <w:p>
            <w:pPr>
              <w:pStyle w:val="TableText"/>
              <w:widowControl w:val="false"/>
              <w:suppressAutoHyphens w:val="true"/>
              <w:spacing w:before="0" w:after="0"/>
              <w:jc w:val="start"/>
              <w:rPr>
                <w:bCs/>
              </w:rPr>
            </w:pPr>
            <w:r>
              <w:rPr>
                <w:rFonts w:eastAsia="Calibri"/>
                <w:bCs/>
                <w:kern w:val="0"/>
                <w:sz w:val="22"/>
                <w:szCs w:val="22"/>
                <w:lang w:val="en-US" w:eastAsia="en-US" w:bidi="ar-SA"/>
              </w:rPr>
            </w:r>
          </w:p>
        </w:tc>
        <w:tc>
          <w:tcPr>
            <w:tcW w:w="5527" w:type="dxa"/>
            <w:tcBorders/>
          </w:tcPr>
          <w:p>
            <w:pPr>
              <w:pStyle w:val="TableText"/>
              <w:widowControl w:val="false"/>
              <w:suppressAutoHyphens w:val="true"/>
              <w:spacing w:before="0" w:after="0"/>
              <w:jc w:val="both"/>
              <w:rPr>
                <w:b/>
                <w:color w:themeColor="text1" w:val="000000"/>
                <w:lang w:val="en-AE"/>
              </w:rPr>
            </w:pPr>
            <w:r>
              <w:rPr>
                <w:rFonts w:eastAsia="Calibri"/>
                <w:b/>
                <w:color w:themeColor="text1" w:val="000000"/>
                <w:kern w:val="0"/>
                <w:sz w:val="22"/>
                <w:szCs w:val="22"/>
                <w:lang w:val="en-AE" w:eastAsia="en-US" w:bidi="ar-SA"/>
              </w:rPr>
              <w:t>Depots</w:t>
            </w:r>
          </w:p>
          <w:p>
            <w:pPr>
              <w:pStyle w:val="TableText"/>
              <w:widowControl w:val="false"/>
              <w:suppressAutoHyphens w:val="true"/>
              <w:spacing w:before="0" w:after="0"/>
              <w:jc w:val="both"/>
              <w:rPr>
                <w:color w:themeColor="text1" w:val="000000"/>
                <w:u w:val="single"/>
                <w:lang w:val="en-AE"/>
              </w:rPr>
            </w:pPr>
            <w:r>
              <w:rPr>
                <w:rFonts w:eastAsia="Calibri"/>
                <w:color w:themeColor="text1" w:val="000000"/>
                <w:kern w:val="0"/>
                <w:sz w:val="22"/>
                <w:szCs w:val="22"/>
                <w:u w:val="single"/>
                <w:lang w:val="en-AE" w:eastAsia="en-US" w:bidi="ar-SA"/>
              </w:rPr>
              <w:t>Abu Dhabi Depot</w:t>
            </w:r>
          </w:p>
          <w:p>
            <w:pPr>
              <w:pStyle w:val="TableText"/>
              <w:widowControl w:val="false"/>
              <w:suppressAutoHyphens w:val="true"/>
              <w:spacing w:before="0" w:after="0"/>
              <w:jc w:val="both"/>
              <w:rPr>
                <w:color w:themeColor="text1" w:val="000000"/>
                <w:lang w:val="en-GB"/>
              </w:rPr>
            </w:pPr>
            <w:r>
              <w:rPr>
                <w:rFonts w:eastAsia="Calibri"/>
                <w:color w:themeColor="text1" w:val="000000"/>
                <w:kern w:val="0"/>
                <w:sz w:val="22"/>
                <w:szCs w:val="22"/>
                <w:lang w:val="en-GB" w:eastAsia="en-US" w:bidi="ar-SA"/>
              </w:rPr>
              <w:t xml:space="preserve">Depot layout, </w:t>
            </w:r>
            <w:r>
              <w:rPr>
                <w:rFonts w:eastAsia="Dubai"/>
                <w:kern w:val="0"/>
                <w:sz w:val="22"/>
                <w:szCs w:val="22"/>
                <w:lang w:val="en-GB" w:eastAsia="en-US" w:bidi="ar-SA"/>
              </w:rPr>
              <w:t>presentation and renders shared with ER for meeting with Al Reef Palace. A meeting is required to agree on the alignment tweak to avoid impact on Palace assets.</w:t>
            </w:r>
          </w:p>
          <w:p>
            <w:pPr>
              <w:pStyle w:val="TableText"/>
              <w:widowControl w:val="false"/>
              <w:suppressAutoHyphens w:val="true"/>
              <w:spacing w:before="0" w:after="0"/>
              <w:jc w:val="both"/>
              <w:rPr>
                <w:color w:themeColor="text1" w:val="000000"/>
                <w:u w:val="single"/>
                <w:lang w:val="en-AE"/>
              </w:rPr>
            </w:pPr>
            <w:r>
              <w:rPr>
                <w:rFonts w:eastAsia="Calibri"/>
                <w:color w:themeColor="text1" w:val="000000"/>
                <w:kern w:val="0"/>
                <w:sz w:val="22"/>
                <w:szCs w:val="22"/>
                <w:u w:val="single"/>
                <w:lang w:val="en-AE" w:eastAsia="en-US" w:bidi="ar-SA"/>
              </w:rPr>
              <w:t>Dubai depot</w:t>
            </w:r>
          </w:p>
          <w:p>
            <w:pPr>
              <w:pStyle w:val="TableText"/>
              <w:widowControl w:val="false"/>
              <w:suppressAutoHyphens w:val="true"/>
              <w:spacing w:before="0" w:after="0"/>
              <w:jc w:val="both"/>
              <w:rPr>
                <w:bCs/>
                <w:color w:themeColor="text1" w:val="000000"/>
                <w:lang w:val="en-AE"/>
              </w:rPr>
            </w:pPr>
            <w:r>
              <w:rPr>
                <w:rFonts w:eastAsia="Dubai"/>
                <w:kern w:val="0"/>
                <w:sz w:val="22"/>
                <w:szCs w:val="22"/>
                <w:lang w:val="en-AE" w:eastAsia="en-US" w:bidi="ar-SA"/>
              </w:rPr>
              <w:t>Initial package submitted (o</w:t>
            </w:r>
            <w:r>
              <w:rPr>
                <w:rFonts w:eastAsia="Dubai"/>
                <w:kern w:val="0"/>
                <w:sz w:val="22"/>
                <w:szCs w:val="22"/>
                <w:lang w:val="en-GB" w:eastAsia="en-US" w:bidi="ar-SA"/>
              </w:rPr>
              <w:t>nly</w:t>
            </w:r>
            <w:r>
              <w:rPr>
                <w:rFonts w:eastAsia="Dubai"/>
                <w:kern w:val="0"/>
                <w:sz w:val="22"/>
                <w:szCs w:val="22"/>
                <w:lang w:val="en-AE" w:eastAsia="en-US" w:bidi="ar-SA"/>
              </w:rPr>
              <w:t xml:space="preserve"> IMF) has bee</w:t>
            </w:r>
            <w:r>
              <w:rPr>
                <w:rFonts w:eastAsia="Dubai"/>
                <w:kern w:val="0"/>
                <w:sz w:val="22"/>
                <w:szCs w:val="22"/>
                <w:lang w:val="en-GB" w:eastAsia="en-US" w:bidi="ar-SA"/>
              </w:rPr>
              <w:t>n superseded with current package (IMF+depot). Strategy agreed with ER/PMC. A note to be added to the IMF package when resubmitting to close it.</w:t>
            </w:r>
          </w:p>
        </w:tc>
        <w:tc>
          <w:tcPr>
            <w:tcW w:w="850" w:type="dxa"/>
            <w:tcBorders/>
          </w:tcPr>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pt-BR" w:eastAsia="en-US" w:bidi="ar-SA"/>
              </w:rPr>
              <w:t>Note</w:t>
            </w:r>
          </w:p>
        </w:tc>
        <w:tc>
          <w:tcPr>
            <w:tcW w:w="1278" w:type="dxa"/>
            <w:tcBorders/>
          </w:tcPr>
          <w:p>
            <w:pPr>
              <w:pStyle w:val="TableText"/>
              <w:widowControl w:val="false"/>
              <w:suppressAutoHyphens w:val="true"/>
              <w:spacing w:before="0" w:after="0"/>
              <w:jc w:val="center"/>
              <w:rPr>
                <w:color w:themeColor="text1" w:val="000000"/>
              </w:rPr>
            </w:pPr>
            <w:r>
              <w:rPr>
                <w:rFonts w:eastAsia="Calibri"/>
                <w:color w:themeColor="text1" w:val="000000"/>
                <w:kern w:val="0"/>
                <w:sz w:val="22"/>
                <w:szCs w:val="22"/>
                <w:lang w:val="en-US" w:eastAsia="en-US" w:bidi="ar-SA"/>
              </w:rPr>
            </w:r>
          </w:p>
          <w:p>
            <w:pPr>
              <w:pStyle w:val="TableText"/>
              <w:widowControl w:val="false"/>
              <w:suppressAutoHyphens w:val="true"/>
              <w:spacing w:before="0" w:after="0"/>
              <w:jc w:val="center"/>
              <w:rPr>
                <w:color w:themeColor="text1" w:val="000000"/>
              </w:rPr>
            </w:pPr>
            <w:r>
              <w:rPr>
                <w:rFonts w:eastAsia="Calibri"/>
                <w:color w:themeColor="text1" w:val="000000"/>
                <w:kern w:val="0"/>
                <w:sz w:val="22"/>
                <w:szCs w:val="22"/>
                <w:lang w:val="en-US" w:eastAsia="en-US" w:bidi="ar-SA"/>
              </w:rPr>
            </w:r>
          </w:p>
          <w:p>
            <w:pPr>
              <w:pStyle w:val="TableText"/>
              <w:widowControl w:val="false"/>
              <w:suppressAutoHyphens w:val="true"/>
              <w:spacing w:before="0" w:after="0"/>
              <w:jc w:val="center"/>
              <w:rPr>
                <w:color w:themeColor="text1" w:val="000000"/>
              </w:rPr>
            </w:pPr>
            <w:r>
              <w:rPr>
                <w:rFonts w:eastAsia="Calibri"/>
                <w:color w:themeColor="text1" w:val="000000"/>
                <w:kern w:val="0"/>
                <w:sz w:val="22"/>
                <w:szCs w:val="22"/>
                <w:lang w:val="en-US" w:eastAsia="en-US" w:bidi="ar-SA"/>
              </w:rPr>
            </w:r>
          </w:p>
          <w:p>
            <w:pPr>
              <w:pStyle w:val="TableText"/>
              <w:widowControl w:val="false"/>
              <w:suppressAutoHyphens w:val="true"/>
              <w:spacing w:before="0" w:after="0"/>
              <w:jc w:val="center"/>
              <w:rPr>
                <w:color w:themeColor="text1" w:val="000000"/>
              </w:rPr>
            </w:pPr>
            <w:r>
              <w:rPr>
                <w:rFonts w:eastAsia="Calibri"/>
                <w:color w:themeColor="text1" w:val="000000"/>
                <w:kern w:val="0"/>
                <w:sz w:val="22"/>
                <w:szCs w:val="22"/>
                <w:lang w:val="en-US" w:eastAsia="en-US" w:bidi="ar-SA"/>
              </w:rPr>
            </w:r>
          </w:p>
          <w:p>
            <w:pPr>
              <w:pStyle w:val="TableText"/>
              <w:widowControl w:val="false"/>
              <w:suppressAutoHyphens w:val="true"/>
              <w:spacing w:before="0" w:after="0"/>
              <w:jc w:val="center"/>
              <w:rPr>
                <w:color w:themeColor="text1" w:val="000000"/>
              </w:rPr>
            </w:pPr>
            <w:r>
              <w:rPr>
                <w:rFonts w:eastAsia="Calibri"/>
                <w:color w:themeColor="text1" w:val="000000"/>
                <w:kern w:val="0"/>
                <w:sz w:val="22"/>
                <w:szCs w:val="22"/>
                <w:lang w:val="en-US" w:eastAsia="en-US" w:bidi="ar-SA"/>
              </w:rPr>
            </w:r>
          </w:p>
          <w:p>
            <w:pPr>
              <w:pStyle w:val="TableText"/>
              <w:widowControl w:val="false"/>
              <w:suppressAutoHyphens w:val="true"/>
              <w:spacing w:before="0" w:after="0"/>
              <w:jc w:val="center"/>
              <w:rPr>
                <w:color w:themeColor="text1" w:val="000000"/>
              </w:rPr>
            </w:pPr>
            <w:r>
              <w:rPr>
                <w:rFonts w:eastAsia="Calibri"/>
                <w:color w:themeColor="text1" w:val="000000"/>
                <w:kern w:val="0"/>
                <w:sz w:val="22"/>
                <w:szCs w:val="22"/>
                <w:lang w:val="en-US" w:eastAsia="en-US" w:bidi="ar-SA"/>
              </w:rPr>
            </w:r>
          </w:p>
          <w:p>
            <w:pPr>
              <w:pStyle w:val="TableText"/>
              <w:widowControl w:val="false"/>
              <w:suppressAutoHyphens w:val="true"/>
              <w:spacing w:before="0" w:after="0"/>
              <w:jc w:val="center"/>
              <w:rPr>
                <w:color w:themeColor="text1" w:val="000000"/>
              </w:rPr>
            </w:pPr>
            <w:r>
              <w:rPr>
                <w:rFonts w:eastAsia="Calibri"/>
                <w:color w:themeColor="text1" w:val="000000"/>
                <w:kern w:val="0"/>
                <w:sz w:val="22"/>
                <w:szCs w:val="22"/>
                <w:lang w:val="en-US" w:eastAsia="en-US" w:bidi="ar-SA"/>
              </w:rPr>
            </w:r>
          </w:p>
        </w:tc>
      </w:tr>
      <w:tr>
        <w:trPr>
          <w:trHeight w:val="300" w:hRule="atLeast"/>
        </w:trPr>
        <w:tc>
          <w:tcPr>
            <w:tcW w:w="1400" w:type="dxa"/>
            <w:vMerge w:val="continue"/>
            <w:tcBorders/>
            <w:vAlign w:val="center"/>
          </w:tcPr>
          <w:p>
            <w:pPr>
              <w:pStyle w:val="TableLineNumbering"/>
              <w:widowControl w:val="false"/>
              <w:numPr>
                <w:ilvl w:val="0"/>
                <w:numId w:val="0"/>
              </w:numPr>
              <w:suppressAutoHyphens w:val="true"/>
              <w:spacing w:before="0" w:after="0"/>
              <w:ind w:hanging="360" w:start="360"/>
              <w:jc w:val="start"/>
              <w:rPr>
                <w:lang w:val="en-AE"/>
              </w:rPr>
            </w:pPr>
            <w:r>
              <w:rPr>
                <w:kern w:val="0"/>
                <w:lang w:val="en-AE" w:eastAsia="en-US" w:bidi="ar-SA"/>
              </w:rPr>
            </w:r>
          </w:p>
        </w:tc>
        <w:tc>
          <w:tcPr>
            <w:tcW w:w="1871" w:type="dxa"/>
            <w:vMerge w:val="continue"/>
            <w:tcBorders/>
            <w:vAlign w:val="center"/>
          </w:tcPr>
          <w:p>
            <w:pPr>
              <w:pStyle w:val="TableText"/>
              <w:widowControl w:val="false"/>
              <w:suppressAutoHyphens w:val="true"/>
              <w:spacing w:before="0" w:after="0"/>
              <w:jc w:val="start"/>
              <w:rPr>
                <w:lang w:val="en-AE"/>
              </w:rPr>
            </w:pPr>
            <w:r>
              <w:rPr>
                <w:rFonts w:eastAsia="Calibri"/>
                <w:kern w:val="0"/>
                <w:sz w:val="22"/>
                <w:szCs w:val="22"/>
                <w:lang w:val="en-AE" w:eastAsia="en-US" w:bidi="ar-SA"/>
              </w:rPr>
            </w:r>
          </w:p>
        </w:tc>
        <w:tc>
          <w:tcPr>
            <w:tcW w:w="5527" w:type="dxa"/>
            <w:tcBorders/>
          </w:tcPr>
          <w:p>
            <w:pPr>
              <w:pStyle w:val="TableText"/>
              <w:widowControl w:val="false"/>
              <w:suppressAutoHyphens w:val="true"/>
              <w:spacing w:before="0" w:after="0"/>
              <w:jc w:val="both"/>
              <w:rPr>
                <w:b/>
                <w:color w:themeColor="text1" w:val="000000"/>
                <w:lang w:val="en-GB"/>
              </w:rPr>
            </w:pPr>
            <w:r>
              <w:rPr>
                <w:rFonts w:eastAsia="Calibri"/>
                <w:b/>
                <w:color w:themeColor="text1" w:val="000000"/>
                <w:kern w:val="0"/>
                <w:sz w:val="22"/>
                <w:szCs w:val="22"/>
                <w:lang w:val="en-GB" w:eastAsia="en-US" w:bidi="ar-SA"/>
              </w:rPr>
              <w:t>Structures</w:t>
            </w:r>
          </w:p>
          <w:p>
            <w:pPr>
              <w:pStyle w:val="TableText"/>
              <w:widowControl w:val="false"/>
              <w:suppressAutoHyphens w:val="true"/>
              <w:spacing w:before="0" w:after="0"/>
              <w:jc w:val="both"/>
              <w:rPr>
                <w:u w:val="single"/>
                <w:lang w:val="en-GB"/>
              </w:rPr>
            </w:pPr>
            <w:r>
              <w:rPr>
                <w:rFonts w:eastAsia="Calibri"/>
                <w:kern w:val="0"/>
                <w:sz w:val="22"/>
                <w:szCs w:val="22"/>
                <w:u w:val="single"/>
                <w:lang w:val="en-GB" w:eastAsia="en-US" w:bidi="ar-SA"/>
              </w:rPr>
              <w:t>Reem Station</w:t>
            </w:r>
          </w:p>
          <w:p>
            <w:pPr>
              <w:pStyle w:val="TableText"/>
              <w:widowControl w:val="false"/>
              <w:suppressAutoHyphens w:val="true"/>
              <w:spacing w:before="0" w:after="0"/>
              <w:jc w:val="both"/>
              <w:rPr>
                <w:lang w:val="en-GB"/>
              </w:rPr>
            </w:pPr>
            <w:r>
              <w:rPr>
                <w:rFonts w:eastAsia="Calibri"/>
                <w:kern w:val="0"/>
                <w:sz w:val="22"/>
                <w:szCs w:val="22"/>
                <w:lang w:val="en-GB" w:eastAsia="en-US" w:bidi="ar-SA"/>
              </w:rPr>
              <w:t>Modification of current station structure to fit utility corridors in level -1. Subject to having approval in principle from MODON/Bunya.</w:t>
            </w:r>
          </w:p>
          <w:p>
            <w:pPr>
              <w:pStyle w:val="TableText"/>
              <w:widowControl w:val="false"/>
              <w:suppressAutoHyphens w:val="true"/>
              <w:spacing w:before="0" w:after="0"/>
              <w:jc w:val="both"/>
              <w:rPr>
                <w:lang w:val="en-GB"/>
              </w:rPr>
            </w:pPr>
            <w:r>
              <w:rPr>
                <w:rFonts w:eastAsia="Calibri"/>
                <w:kern w:val="0"/>
                <w:sz w:val="22"/>
                <w:szCs w:val="22"/>
                <w:lang w:val="en-GB" w:eastAsia="en-US" w:bidi="ar-SA"/>
              </w:rPr>
            </w:r>
          </w:p>
          <w:p>
            <w:pPr>
              <w:pStyle w:val="TableText"/>
              <w:widowControl w:val="false"/>
              <w:suppressAutoHyphens w:val="true"/>
              <w:spacing w:before="0" w:after="0"/>
              <w:jc w:val="both"/>
              <w:rPr>
                <w:u w:val="single"/>
                <w:lang w:val="en-GB"/>
              </w:rPr>
            </w:pPr>
            <w:r>
              <w:rPr>
                <w:rFonts w:eastAsia="Calibri"/>
                <w:kern w:val="0"/>
                <w:sz w:val="22"/>
                <w:szCs w:val="22"/>
                <w:u w:val="single"/>
                <w:lang w:val="en-GB" w:eastAsia="en-US" w:bidi="ar-SA"/>
              </w:rPr>
              <w:t>Tunnels</w:t>
            </w:r>
          </w:p>
          <w:p>
            <w:pPr>
              <w:pStyle w:val="TableText"/>
              <w:widowControl w:val="false"/>
              <w:suppressAutoHyphens w:val="true"/>
              <w:spacing w:before="0" w:after="0"/>
              <w:jc w:val="both"/>
              <w:rPr>
                <w:lang w:val="en-GB"/>
              </w:rPr>
            </w:pPr>
            <w:r>
              <w:rPr>
                <w:rFonts w:eastAsia="Calibri"/>
                <w:kern w:val="0"/>
                <w:sz w:val="22"/>
                <w:szCs w:val="22"/>
                <w:lang w:val="en-GB" w:eastAsia="en-US" w:bidi="ar-SA"/>
              </w:rPr>
              <w:t xml:space="preserve">Ground movement/utility impact assessment studies for DEWA pipelines affected by the HSR tunnels in Dubai by Dr Sauer already submitted ad shared with DEWA. </w:t>
            </w:r>
          </w:p>
          <w:p>
            <w:pPr>
              <w:pStyle w:val="TableText"/>
              <w:widowControl w:val="false"/>
              <w:suppressAutoHyphens w:val="true"/>
              <w:spacing w:before="0" w:after="0"/>
              <w:jc w:val="both"/>
              <w:rPr>
                <w:rFonts w:eastAsia="Calibri" w:cs="Calibri"/>
              </w:rPr>
            </w:pPr>
            <w:r>
              <w:rPr>
                <w:rFonts w:eastAsia="Calibri" w:cs="Calibri"/>
                <w:kern w:val="0"/>
                <w:sz w:val="22"/>
                <w:szCs w:val="22"/>
                <w:lang w:val="en-US" w:eastAsia="en-US" w:bidi="ar-SA"/>
              </w:rPr>
            </w:r>
          </w:p>
          <w:p>
            <w:pPr>
              <w:pStyle w:val="TableText"/>
              <w:widowControl w:val="false"/>
              <w:suppressAutoHyphens w:val="true"/>
              <w:spacing w:before="0" w:after="0"/>
              <w:jc w:val="both"/>
              <w:rPr>
                <w:rFonts w:eastAsia="Calibri" w:cs="Calibri"/>
                <w:u w:val="single"/>
              </w:rPr>
            </w:pPr>
            <w:r>
              <w:rPr>
                <w:rFonts w:eastAsia="Calibri" w:cs="Calibri"/>
                <w:kern w:val="0"/>
                <w:sz w:val="22"/>
                <w:szCs w:val="22"/>
                <w:u w:val="single"/>
                <w:lang w:val="en-US" w:eastAsia="en-US" w:bidi="ar-SA"/>
              </w:rPr>
              <w:t>GIDD</w:t>
            </w:r>
          </w:p>
          <w:p>
            <w:pPr>
              <w:pStyle w:val="TableText"/>
              <w:widowControl w:val="false"/>
              <w:suppressAutoHyphens w:val="true"/>
              <w:spacing w:before="0" w:after="0"/>
              <w:jc w:val="both"/>
              <w:rPr>
                <w:rFonts w:eastAsia="Calibri" w:cs="Calibri"/>
              </w:rPr>
            </w:pPr>
            <w:r>
              <w:rPr>
                <w:rFonts w:eastAsia="Calibri" w:cs="Calibri"/>
                <w:kern w:val="0"/>
                <w:sz w:val="22"/>
                <w:szCs w:val="22"/>
                <w:lang w:val="en-US" w:eastAsia="en-US" w:bidi="ar-SA"/>
              </w:rPr>
              <w:t>Detailed design of TBM launching shafts ongoing (as per PE alignment). MTD submissions have been done. As per GIDD program, final DCP3 submissions are planned for the end of July. ER instructs that the detailed design for shaft at Ch 238 shall be revised as per alignment change shared by SEI on 22/05. SEI to inform about the GIDD Program impact.</w:t>
            </w:r>
          </w:p>
          <w:p>
            <w:pPr>
              <w:pStyle w:val="TableText"/>
              <w:widowControl w:val="false"/>
              <w:suppressAutoHyphens w:val="true"/>
              <w:spacing w:before="0" w:after="0"/>
              <w:jc w:val="both"/>
              <w:rPr>
                <w:rFonts w:eastAsia="Calibri" w:cs="Calibri"/>
              </w:rPr>
            </w:pPr>
            <w:r>
              <w:rPr>
                <w:rFonts w:eastAsia="Calibri" w:cs="Calibri"/>
                <w:kern w:val="0"/>
                <w:sz w:val="22"/>
                <w:szCs w:val="22"/>
                <w:lang w:val="en-US" w:eastAsia="en-US" w:bidi="ar-SA"/>
              </w:rPr>
            </w:r>
          </w:p>
          <w:p>
            <w:pPr>
              <w:pStyle w:val="TableText"/>
              <w:widowControl w:val="false"/>
              <w:suppressAutoHyphens w:val="true"/>
              <w:spacing w:before="0" w:after="0"/>
              <w:jc w:val="both"/>
              <w:rPr>
                <w:rFonts w:eastAsia="Calibri" w:cs="Calibri"/>
              </w:rPr>
            </w:pPr>
            <w:r>
              <w:rPr>
                <w:rFonts w:eastAsia="Calibri" w:cs="Calibri"/>
                <w:kern w:val="0"/>
                <w:sz w:val="22"/>
                <w:szCs w:val="22"/>
                <w:lang w:val="en-US" w:eastAsia="en-US" w:bidi="ar-SA"/>
              </w:rPr>
              <w:t>Single bore tunnel proposal already prepared by SEI for GIDD survey. A meeting is required to understand the final alignment to be considered.</w:t>
            </w:r>
          </w:p>
        </w:tc>
        <w:tc>
          <w:tcPr>
            <w:tcW w:w="850" w:type="dxa"/>
            <w:tcBorders/>
          </w:tcPr>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SEI</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tabs>
                <w:tab w:val="clear" w:pos="720"/>
                <w:tab w:val="center" w:pos="394" w:leader="none"/>
              </w:tabs>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tabs>
                <w:tab w:val="clear" w:pos="720"/>
                <w:tab w:val="center" w:pos="394" w:leader="none"/>
              </w:tabs>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tabs>
                <w:tab w:val="clear" w:pos="720"/>
                <w:tab w:val="center" w:pos="394" w:leader="none"/>
              </w:tabs>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tabs>
                <w:tab w:val="clear" w:pos="720"/>
                <w:tab w:val="center" w:pos="394" w:leader="none"/>
              </w:tabs>
              <w:suppressAutoHyphens w:val="true"/>
              <w:spacing w:before="0" w:after="0"/>
              <w:jc w:val="center"/>
              <w:rPr>
                <w:bCs/>
                <w:lang w:val="pt-BR"/>
              </w:rPr>
            </w:pPr>
            <w:r>
              <w:rPr>
                <w:rFonts w:eastAsia="Calibri"/>
                <w:bCs/>
                <w:kern w:val="0"/>
                <w:sz w:val="22"/>
                <w:szCs w:val="22"/>
                <w:lang w:val="pt-BR" w:eastAsia="en-US" w:bidi="ar-SA"/>
              </w:rPr>
              <w:t>ER/PMC/SEI</w:t>
            </w:r>
          </w:p>
          <w:p>
            <w:pPr>
              <w:pStyle w:val="TableText"/>
              <w:widowControl w:val="false"/>
              <w:tabs>
                <w:tab w:val="clear" w:pos="720"/>
                <w:tab w:val="center" w:pos="394" w:leader="none"/>
              </w:tabs>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tabs>
                <w:tab w:val="clear" w:pos="720"/>
                <w:tab w:val="center" w:pos="394" w:leader="none"/>
              </w:tabs>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tabs>
                <w:tab w:val="clear" w:pos="720"/>
                <w:tab w:val="center" w:pos="394" w:leader="none"/>
              </w:tabs>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tabs>
                <w:tab w:val="clear" w:pos="720"/>
                <w:tab w:val="center" w:pos="394" w:leader="none"/>
              </w:tabs>
              <w:suppressAutoHyphens w:val="true"/>
              <w:spacing w:before="0" w:after="0"/>
              <w:jc w:val="center"/>
              <w:rPr>
                <w:bCs/>
                <w:lang w:val="pt-BR"/>
              </w:rPr>
            </w:pPr>
            <w:r>
              <w:rPr>
                <w:rFonts w:eastAsia="Calibri"/>
                <w:color w:themeColor="text1" w:val="000000"/>
                <w:kern w:val="0"/>
                <w:sz w:val="22"/>
                <w:szCs w:val="22"/>
                <w:lang w:val="pt-BR" w:eastAsia="en-US" w:bidi="ar-SA"/>
              </w:rPr>
              <w:t>N</w:t>
            </w:r>
            <w:r>
              <w:rPr>
                <w:rFonts w:eastAsia="Calibri"/>
                <w:bCs/>
                <w:kern w:val="0"/>
                <w:sz w:val="22"/>
                <w:szCs w:val="22"/>
                <w:lang w:val="pt-BR" w:eastAsia="en-US" w:bidi="ar-SA"/>
              </w:rPr>
              <w:t>ote</w:t>
            </w:r>
          </w:p>
        </w:tc>
        <w:tc>
          <w:tcPr>
            <w:tcW w:w="1278" w:type="dxa"/>
            <w:tcBorders/>
          </w:tcPr>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04/06/25</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t>28/05/25</w:t>
            </w:r>
          </w:p>
          <w:p>
            <w:pPr>
              <w:pStyle w:val="TableText"/>
              <w:widowControl w:val="false"/>
              <w:suppressAutoHyphens w:val="true"/>
              <w:spacing w:before="0" w:after="0"/>
              <w:jc w:val="center"/>
              <w:rPr>
                <w:bCs/>
              </w:rPr>
            </w:pPr>
            <w:r>
              <w:rPr>
                <w:rFonts w:eastAsia="Calibri"/>
                <w:bCs/>
                <w:kern w:val="0"/>
                <w:sz w:val="22"/>
                <w:szCs w:val="22"/>
                <w:lang w:val="en-US" w:eastAsia="en-US" w:bidi="ar-SA"/>
              </w:rPr>
            </w:r>
          </w:p>
          <w:p>
            <w:pPr>
              <w:pStyle w:val="TableText"/>
              <w:widowControl w:val="false"/>
              <w:suppressAutoHyphens w:val="true"/>
              <w:spacing w:before="0" w:after="0"/>
              <w:jc w:val="start"/>
              <w:rPr>
                <w:bCs/>
              </w:rPr>
            </w:pPr>
            <w:r>
              <w:rPr>
                <w:rFonts w:eastAsia="Calibri"/>
                <w:bCs/>
                <w:kern w:val="0"/>
                <w:sz w:val="22"/>
                <w:szCs w:val="22"/>
                <w:lang w:val="en-US"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r>
          </w:p>
        </w:tc>
      </w:tr>
      <w:tr>
        <w:trPr>
          <w:trHeight w:val="2945" w:hRule="atLeast"/>
        </w:trPr>
        <w:tc>
          <w:tcPr>
            <w:tcW w:w="1400" w:type="dxa"/>
            <w:vMerge w:val="continue"/>
            <w:tcBorders/>
            <w:vAlign w:val="center"/>
          </w:tcPr>
          <w:p>
            <w:pPr>
              <w:pStyle w:val="TableLineNumbering"/>
              <w:widowControl w:val="false"/>
              <w:numPr>
                <w:ilvl w:val="0"/>
                <w:numId w:val="0"/>
              </w:numPr>
              <w:suppressAutoHyphens w:val="true"/>
              <w:spacing w:before="0" w:after="0"/>
              <w:ind w:hanging="360" w:start="360"/>
              <w:jc w:val="start"/>
              <w:rPr>
                <w:kern w:val="0"/>
                <w:lang w:val="en-US" w:eastAsia="en-US" w:bidi="ar-SA"/>
              </w:rPr>
            </w:pPr>
            <w:r>
              <w:rPr>
                <w:kern w:val="0"/>
                <w:lang w:val="en-US" w:eastAsia="en-US" w:bidi="ar-SA"/>
              </w:rPr>
            </w:r>
          </w:p>
        </w:tc>
        <w:tc>
          <w:tcPr>
            <w:tcW w:w="1871" w:type="dxa"/>
            <w:vMerge w:val="continue"/>
            <w:tcBorders/>
            <w:vAlign w:val="center"/>
          </w:tcPr>
          <w:p>
            <w:pPr>
              <w:pStyle w:val="TableText"/>
              <w:widowControl w:val="false"/>
              <w:suppressAutoHyphens w:val="true"/>
              <w:spacing w:before="0" w:after="0"/>
              <w:jc w:val="start"/>
              <w:rPr>
                <w:bCs/>
              </w:rPr>
            </w:pPr>
            <w:r>
              <w:rPr>
                <w:rFonts w:eastAsia="Calibri"/>
                <w:bCs/>
                <w:kern w:val="0"/>
                <w:sz w:val="22"/>
                <w:szCs w:val="22"/>
                <w:lang w:val="en-US" w:eastAsia="en-US" w:bidi="ar-SA"/>
              </w:rPr>
            </w:r>
          </w:p>
        </w:tc>
        <w:tc>
          <w:tcPr>
            <w:tcW w:w="5527" w:type="dxa"/>
            <w:tcBorders/>
          </w:tcPr>
          <w:p>
            <w:pPr>
              <w:pStyle w:val="TableText"/>
              <w:widowControl w:val="false"/>
              <w:suppressAutoHyphens w:val="true"/>
              <w:spacing w:before="0" w:after="0"/>
              <w:jc w:val="both"/>
              <w:rPr>
                <w:b/>
                <w:color w:themeColor="text1" w:val="000000"/>
                <w:lang w:val="en-GB"/>
              </w:rPr>
            </w:pPr>
            <w:r>
              <w:rPr>
                <w:rFonts w:eastAsia="Calibri"/>
                <w:b/>
                <w:color w:themeColor="text1" w:val="000000"/>
                <w:kern w:val="0"/>
                <w:sz w:val="22"/>
                <w:szCs w:val="22"/>
                <w:lang w:val="en-GB" w:eastAsia="en-US" w:bidi="ar-SA"/>
              </w:rPr>
              <w:t>EIA/EAD</w:t>
            </w:r>
          </w:p>
          <w:p>
            <w:pPr>
              <w:pStyle w:val="TableText"/>
              <w:widowControl/>
              <w:suppressAutoHyphens w:val="true"/>
              <w:spacing w:before="0" w:after="0"/>
              <w:jc w:val="both"/>
              <w:rPr>
                <w:color w:themeColor="text1" w:val="000000"/>
                <w:lang w:val="en-GB"/>
              </w:rPr>
            </w:pPr>
            <w:r>
              <w:rPr>
                <w:rFonts w:eastAsia="Calibri"/>
                <w:color w:themeColor="text1" w:val="000000"/>
                <w:kern w:val="0"/>
                <w:sz w:val="22"/>
                <w:szCs w:val="22"/>
                <w:lang w:val="en-GB" w:eastAsia="en-US" w:bidi="ar-SA"/>
              </w:rPr>
              <w:t>Constraint report submitted for both Abu Dhabi (including Reem) and Dubai (including Maktoum underground station) on 07/03.</w:t>
            </w:r>
          </w:p>
          <w:p>
            <w:pPr>
              <w:pStyle w:val="TableText"/>
              <w:widowControl/>
              <w:suppressAutoHyphens w:val="true"/>
              <w:spacing w:before="0" w:after="0"/>
              <w:jc w:val="both"/>
              <w:rPr>
                <w:color w:themeColor="text1" w:val="000000"/>
                <w:lang w:val="en-GB"/>
              </w:rPr>
            </w:pPr>
            <w:r>
              <w:rPr>
                <w:rFonts w:eastAsia="Calibri"/>
                <w:color w:themeColor="text1" w:val="000000"/>
                <w:kern w:val="0"/>
                <w:sz w:val="22"/>
                <w:szCs w:val="22"/>
                <w:lang w:val="en-GB" w:eastAsia="en-US" w:bidi="ar-SA"/>
              </w:rPr>
              <w:t>Meeting held by ER/PMC/SEI and the strategy to follow defined. SEI is proceeding with the works as per the agreement.</w:t>
            </w:r>
          </w:p>
          <w:p>
            <w:pPr>
              <w:pStyle w:val="TableText"/>
              <w:widowControl/>
              <w:suppressAutoHyphens w:val="true"/>
              <w:spacing w:before="0" w:after="0"/>
              <w:jc w:val="both"/>
              <w:rPr>
                <w:color w:themeColor="text1" w:val="000000"/>
                <w:lang w:val="en-GB"/>
              </w:rPr>
            </w:pPr>
            <w:r>
              <w:rPr>
                <w:rFonts w:eastAsia="Calibri"/>
                <w:color w:themeColor="text1" w:val="000000"/>
                <w:kern w:val="0"/>
                <w:sz w:val="22"/>
                <w:szCs w:val="22"/>
                <w:lang w:val="en-GB" w:eastAsia="en-US" w:bidi="ar-SA"/>
              </w:rPr>
              <w:t>Constraint report for Sharjah submitted and comments received. To be incorporated directly in EIA.</w:t>
            </w:r>
          </w:p>
          <w:p>
            <w:pPr>
              <w:pStyle w:val="TableText"/>
              <w:widowControl/>
              <w:suppressAutoHyphens w:val="true"/>
              <w:spacing w:before="0" w:after="0"/>
              <w:jc w:val="both"/>
              <w:rPr>
                <w:color w:themeColor="text1" w:val="000000"/>
                <w:lang w:val="en-GB"/>
              </w:rPr>
            </w:pPr>
            <w:r>
              <w:rPr>
                <w:rFonts w:eastAsia="Calibri"/>
                <w:color w:themeColor="text1" w:val="000000"/>
                <w:kern w:val="0"/>
                <w:sz w:val="22"/>
                <w:szCs w:val="22"/>
                <w:lang w:val="en-GB" w:eastAsia="en-US" w:bidi="ar-SA"/>
              </w:rPr>
              <w:t>TOR for Al Ain submitted.</w:t>
            </w:r>
          </w:p>
          <w:p>
            <w:pPr>
              <w:pStyle w:val="TableText"/>
              <w:widowControl/>
              <w:suppressAutoHyphens w:val="true"/>
              <w:spacing w:before="0" w:after="0"/>
              <w:jc w:val="both"/>
              <w:rPr>
                <w:color w:themeColor="text1" w:val="000000"/>
                <w:lang w:val="en-GB"/>
              </w:rPr>
            </w:pPr>
            <w:r>
              <w:rPr>
                <w:rFonts w:eastAsia="Calibri"/>
                <w:color w:themeColor="text1" w:val="000000"/>
                <w:kern w:val="0"/>
                <w:sz w:val="22"/>
                <w:szCs w:val="22"/>
                <w:lang w:val="en-GB" w:eastAsia="en-US" w:bidi="ar-SA"/>
              </w:rPr>
              <w:t>Any new change to be incorporated will impact and need to be discussed. Latest changes to be assessed and the way to progress to be discussed.</w:t>
            </w:r>
          </w:p>
          <w:p>
            <w:pPr>
              <w:pStyle w:val="TableText"/>
              <w:widowControl/>
              <w:suppressAutoHyphens w:val="true"/>
              <w:spacing w:before="0" w:after="0"/>
              <w:jc w:val="both"/>
              <w:rPr>
                <w:color w:themeColor="text1" w:val="000000"/>
                <w:lang w:val="en-GB"/>
              </w:rPr>
            </w:pPr>
            <w:r>
              <w:rPr>
                <w:rFonts w:eastAsia="Calibri"/>
                <w:color w:themeColor="text1" w:val="000000"/>
                <w:kern w:val="0"/>
                <w:sz w:val="22"/>
                <w:szCs w:val="22"/>
                <w:lang w:val="en-GB" w:eastAsia="en-US" w:bidi="ar-SA"/>
              </w:rPr>
              <w:t>Biweekly meeting requested by ER/PMC schedule for next Thursday and subsequent days.</w:t>
            </w:r>
          </w:p>
        </w:tc>
        <w:tc>
          <w:tcPr>
            <w:tcW w:w="850" w:type="dxa"/>
            <w:tcBorders/>
          </w:tcPr>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t>Note</w:t>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t>Note</w:t>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t>Note</w:t>
            </w:r>
          </w:p>
          <w:p>
            <w:pPr>
              <w:pStyle w:val="TableText"/>
              <w:widowControl w:val="false"/>
              <w:suppressAutoHyphens w:val="true"/>
              <w:spacing w:before="0" w:after="0"/>
              <w:jc w:val="center"/>
              <w:rPr>
                <w:bCs/>
                <w:sz w:val="20"/>
                <w:szCs w:val="20"/>
                <w:lang w:val="pt-BR"/>
              </w:rPr>
            </w:pPr>
            <w:r>
              <w:rPr>
                <w:rFonts w:eastAsia="Calibri"/>
                <w:bCs/>
                <w:kern w:val="0"/>
                <w:sz w:val="20"/>
                <w:szCs w:val="20"/>
                <w:lang w:val="pt-BR" w:eastAsia="en-US" w:bidi="ar-SA"/>
              </w:rPr>
              <w:t>ER/PMC/SEI</w:t>
            </w:r>
          </w:p>
          <w:p>
            <w:pPr>
              <w:pStyle w:val="TableText"/>
              <w:widowControl w:val="false"/>
              <w:suppressAutoHyphens w:val="true"/>
              <w:spacing w:before="0" w:after="0"/>
              <w:jc w:val="center"/>
              <w:rPr>
                <w:bCs/>
                <w:sz w:val="20"/>
                <w:szCs w:val="20"/>
                <w:lang w:val="pt-BR"/>
              </w:rPr>
            </w:pPr>
            <w:r>
              <w:rPr>
                <w:rFonts w:eastAsia="Calibri"/>
                <w:bCs/>
                <w:kern w:val="0"/>
                <w:sz w:val="20"/>
                <w:szCs w:val="20"/>
                <w:lang w:val="pt-BR" w:eastAsia="en-US" w:bidi="ar-SA"/>
              </w:rPr>
            </w:r>
          </w:p>
          <w:p>
            <w:pPr>
              <w:pStyle w:val="TableText"/>
              <w:widowControl w:val="false"/>
              <w:suppressAutoHyphens w:val="true"/>
              <w:spacing w:before="0" w:after="0"/>
              <w:jc w:val="center"/>
              <w:rPr>
                <w:bCs/>
                <w:sz w:val="20"/>
                <w:szCs w:val="20"/>
                <w:lang w:val="pt-BR"/>
              </w:rPr>
            </w:pPr>
            <w:r>
              <w:rPr>
                <w:rFonts w:eastAsia="Calibri"/>
                <w:bCs/>
                <w:kern w:val="0"/>
                <w:sz w:val="20"/>
                <w:szCs w:val="20"/>
                <w:lang w:val="pt-BR" w:eastAsia="en-US" w:bidi="ar-SA"/>
              </w:rPr>
            </w:r>
          </w:p>
          <w:p>
            <w:pPr>
              <w:pStyle w:val="TableText"/>
              <w:widowControl w:val="false"/>
              <w:suppressAutoHyphens w:val="true"/>
              <w:spacing w:before="0" w:after="0"/>
              <w:jc w:val="center"/>
              <w:rPr>
                <w:sz w:val="20"/>
                <w:szCs w:val="20"/>
                <w:lang w:val="pt-BR"/>
              </w:rPr>
            </w:pPr>
            <w:r>
              <w:rPr>
                <w:rFonts w:eastAsia="Calibri"/>
                <w:bCs/>
                <w:kern w:val="0"/>
                <w:sz w:val="20"/>
                <w:szCs w:val="20"/>
                <w:lang w:val="pt-BR" w:eastAsia="en-US" w:bidi="ar-SA"/>
              </w:rPr>
              <w:t>ER/PMC/SEI</w:t>
            </w:r>
          </w:p>
        </w:tc>
        <w:tc>
          <w:tcPr>
            <w:tcW w:w="1278" w:type="dxa"/>
            <w:tcBorders/>
          </w:tcPr>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t>TBC</w:t>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t>29/05/25</w:t>
            </w:r>
          </w:p>
        </w:tc>
      </w:tr>
      <w:tr>
        <w:trPr>
          <w:trHeight w:val="300" w:hRule="atLeast"/>
        </w:trPr>
        <w:tc>
          <w:tcPr>
            <w:tcW w:w="1400" w:type="dxa"/>
            <w:vMerge w:val="continue"/>
            <w:tcBorders/>
            <w:vAlign w:val="center"/>
          </w:tcPr>
          <w:p>
            <w:pPr>
              <w:pStyle w:val="TableLineNumbering"/>
              <w:widowControl w:val="false"/>
              <w:numPr>
                <w:ilvl w:val="0"/>
                <w:numId w:val="0"/>
              </w:numPr>
              <w:suppressAutoHyphens w:val="true"/>
              <w:spacing w:before="0" w:after="0"/>
              <w:ind w:hanging="360" w:start="360"/>
              <w:jc w:val="start"/>
              <w:rPr>
                <w:kern w:val="0"/>
                <w:lang w:val="en-US" w:eastAsia="en-US" w:bidi="ar-SA"/>
              </w:rPr>
            </w:pPr>
            <w:r>
              <w:rPr>
                <w:kern w:val="0"/>
                <w:lang w:val="en-US" w:eastAsia="en-US" w:bidi="ar-SA"/>
              </w:rPr>
            </w:r>
          </w:p>
        </w:tc>
        <w:tc>
          <w:tcPr>
            <w:tcW w:w="1871" w:type="dxa"/>
            <w:vMerge w:val="continue"/>
            <w:tcBorders/>
            <w:vAlign w:val="center"/>
          </w:tcPr>
          <w:p>
            <w:pPr>
              <w:pStyle w:val="TableText"/>
              <w:widowControl w:val="false"/>
              <w:suppressAutoHyphens w:val="true"/>
              <w:spacing w:before="0" w:after="0"/>
              <w:jc w:val="start"/>
              <w:rPr>
                <w:bCs/>
              </w:rPr>
            </w:pPr>
            <w:r>
              <w:rPr>
                <w:rFonts w:eastAsia="Calibri"/>
                <w:bCs/>
                <w:kern w:val="0"/>
                <w:sz w:val="22"/>
                <w:szCs w:val="22"/>
                <w:lang w:val="en-US" w:eastAsia="en-US" w:bidi="ar-SA"/>
              </w:rPr>
            </w:r>
          </w:p>
        </w:tc>
        <w:tc>
          <w:tcPr>
            <w:tcW w:w="5527" w:type="dxa"/>
            <w:tcBorders/>
          </w:tcPr>
          <w:p>
            <w:pPr>
              <w:pStyle w:val="TableText"/>
              <w:widowControl w:val="false"/>
              <w:suppressAutoHyphens w:val="true"/>
              <w:spacing w:before="0" w:after="0"/>
              <w:jc w:val="both"/>
              <w:rPr>
                <w:b/>
                <w:color w:themeColor="text1" w:val="000000"/>
                <w:lang w:val="en-GB"/>
              </w:rPr>
            </w:pPr>
            <w:r>
              <w:rPr>
                <w:rFonts w:eastAsia="Calibri"/>
                <w:b/>
                <w:color w:themeColor="text1" w:val="000000"/>
                <w:kern w:val="0"/>
                <w:sz w:val="22"/>
                <w:szCs w:val="22"/>
                <w:lang w:val="en-GB" w:eastAsia="en-US" w:bidi="ar-SA"/>
              </w:rPr>
              <w:t>Utilities Design</w:t>
            </w:r>
          </w:p>
          <w:p>
            <w:pPr>
              <w:pStyle w:val="TableText"/>
              <w:widowControl w:val="false"/>
              <w:suppressAutoHyphens w:val="true"/>
              <w:spacing w:before="0" w:after="0"/>
              <w:jc w:val="both"/>
              <w:rPr>
                <w:bCs/>
                <w:color w:themeColor="text1" w:val="000000"/>
                <w:u w:val="single"/>
                <w:lang w:val="en-GB"/>
              </w:rPr>
            </w:pPr>
            <w:r>
              <w:rPr>
                <w:rFonts w:eastAsia="Calibri"/>
                <w:bCs/>
                <w:color w:themeColor="text1" w:val="000000"/>
                <w:kern w:val="0"/>
                <w:sz w:val="22"/>
                <w:szCs w:val="22"/>
                <w:u w:val="single"/>
                <w:lang w:val="en-GB" w:eastAsia="en-US" w:bidi="ar-SA"/>
              </w:rPr>
              <w:t>Abu Dhabi</w:t>
            </w:r>
          </w:p>
          <w:p>
            <w:pPr>
              <w:pStyle w:val="TableText"/>
              <w:widowControl w:val="false"/>
              <w:suppressAutoHyphens w:val="true"/>
              <w:spacing w:before="0" w:after="0"/>
              <w:jc w:val="both"/>
              <w:rPr>
                <w:bCs/>
                <w:color w:themeColor="text1" w:val="000000"/>
                <w:lang w:val="en-GB"/>
              </w:rPr>
            </w:pPr>
            <w:r>
              <w:rPr>
                <w:rFonts w:eastAsia="Calibri"/>
                <w:bCs/>
                <w:color w:themeColor="text1" w:val="000000"/>
                <w:kern w:val="0"/>
                <w:sz w:val="22"/>
                <w:szCs w:val="22"/>
                <w:lang w:val="en-GB" w:eastAsia="en-US" w:bidi="ar-SA"/>
              </w:rPr>
              <w:t>Overall approval code 02.</w:t>
            </w:r>
          </w:p>
          <w:p>
            <w:pPr>
              <w:pStyle w:val="TableText"/>
              <w:widowControl w:val="false"/>
              <w:suppressAutoHyphens w:val="true"/>
              <w:spacing w:before="0" w:after="0"/>
              <w:jc w:val="both"/>
              <w:rPr>
                <w:bCs/>
                <w:color w:themeColor="text1" w:val="000000"/>
                <w:lang w:val="en-GB"/>
              </w:rPr>
            </w:pPr>
            <w:r>
              <w:rPr>
                <w:rFonts w:eastAsia="Calibri"/>
                <w:bCs/>
                <w:color w:themeColor="text1" w:val="000000"/>
                <w:kern w:val="0"/>
                <w:sz w:val="22"/>
                <w:szCs w:val="22"/>
                <w:lang w:val="en-GB" w:eastAsia="en-US" w:bidi="ar-SA"/>
              </w:rPr>
              <w:t xml:space="preserve">Utility relocation proposal around ADR Station has been prepared and updated drawings shared with ER on 21/04. Approval in principle required from Modon/Bunya to proceed. </w:t>
            </w:r>
          </w:p>
          <w:p>
            <w:pPr>
              <w:pStyle w:val="TableText"/>
              <w:widowControl w:val="false"/>
              <w:suppressAutoHyphens w:val="true"/>
              <w:spacing w:before="0" w:after="0"/>
              <w:jc w:val="both"/>
              <w:rPr>
                <w:bCs/>
                <w:color w:themeColor="text1" w:val="000000"/>
                <w:u w:val="single"/>
                <w:lang w:val="en-GB"/>
              </w:rPr>
            </w:pPr>
            <w:r>
              <w:rPr>
                <w:rFonts w:eastAsia="Calibri"/>
                <w:bCs/>
                <w:color w:themeColor="text1" w:val="000000"/>
                <w:kern w:val="0"/>
                <w:sz w:val="22"/>
                <w:szCs w:val="22"/>
                <w:u w:val="single"/>
                <w:lang w:val="en-GB" w:eastAsia="en-US" w:bidi="ar-SA"/>
              </w:rPr>
              <w:t>Dubai</w:t>
            </w:r>
          </w:p>
          <w:p>
            <w:pPr>
              <w:pStyle w:val="TableText"/>
              <w:widowControl w:val="false"/>
              <w:suppressAutoHyphens w:val="true"/>
              <w:spacing w:before="0" w:after="0"/>
              <w:jc w:val="both"/>
              <w:rPr>
                <w:color w:themeColor="text1" w:val="000000"/>
                <w:lang w:val="en-GB"/>
              </w:rPr>
            </w:pPr>
            <w:r>
              <w:rPr>
                <w:rFonts w:eastAsia="Calibri"/>
                <w:bCs/>
                <w:color w:themeColor="text1" w:val="000000"/>
                <w:kern w:val="0"/>
                <w:sz w:val="22"/>
                <w:szCs w:val="22"/>
                <w:lang w:val="en-GB" w:eastAsia="en-US" w:bidi="ar-SA"/>
              </w:rPr>
              <w:t>DEWA Clash Report rev AG submitted internally on 05/08/24 to ER/PMC.</w:t>
            </w:r>
          </w:p>
          <w:p>
            <w:pPr>
              <w:pStyle w:val="TableText"/>
              <w:widowControl w:val="false"/>
              <w:suppressAutoHyphens w:val="true"/>
              <w:spacing w:before="0" w:after="0"/>
              <w:jc w:val="both"/>
              <w:rPr>
                <w:bCs/>
                <w:color w:themeColor="text1" w:val="000000"/>
                <w:lang w:val="en-GB"/>
              </w:rPr>
            </w:pPr>
            <w:r>
              <w:rPr>
                <w:rFonts w:eastAsia="Calibri"/>
                <w:bCs/>
                <w:color w:themeColor="text1" w:val="000000"/>
                <w:kern w:val="0"/>
                <w:sz w:val="22"/>
                <w:szCs w:val="22"/>
                <w:lang w:val="en-GB" w:eastAsia="en-US" w:bidi="ar-SA"/>
              </w:rPr>
              <w:t xml:space="preserve">PE utility design for DEWA corridor section: Overall approval code 02. </w:t>
            </w:r>
          </w:p>
          <w:p>
            <w:pPr>
              <w:pStyle w:val="TableText"/>
              <w:widowControl w:val="false"/>
              <w:suppressAutoHyphens w:val="true"/>
              <w:spacing w:before="0" w:after="0"/>
              <w:jc w:val="both"/>
              <w:rPr>
                <w:bCs/>
                <w:color w:themeColor="text1" w:val="000000"/>
                <w:lang w:val="en-GB"/>
              </w:rPr>
            </w:pPr>
            <w:r>
              <w:rPr>
                <w:rFonts w:eastAsia="Calibri"/>
                <w:bCs/>
                <w:color w:themeColor="text1" w:val="000000"/>
                <w:kern w:val="0"/>
                <w:sz w:val="22"/>
                <w:szCs w:val="22"/>
                <w:lang w:val="en-GB" w:eastAsia="en-US" w:bidi="ar-SA"/>
              </w:rPr>
              <w:t>To be updated as per latest alignment changes.</w:t>
            </w:r>
          </w:p>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US" w:eastAsia="en-US" w:bidi="ar-SA"/>
              </w:rPr>
              <w:t xml:space="preserve">PE utility design for DUSUP corridor section: Overall approval code 02. </w:t>
            </w:r>
          </w:p>
          <w:p>
            <w:pPr>
              <w:pStyle w:val="TableText"/>
              <w:widowControl w:val="false"/>
              <w:suppressAutoHyphens w:val="true"/>
              <w:spacing w:before="0" w:after="0"/>
              <w:jc w:val="start"/>
              <w:rPr>
                <w:color w:themeColor="text1" w:val="000000"/>
              </w:rPr>
            </w:pPr>
            <w:r>
              <w:rPr>
                <w:rFonts w:eastAsia="Calibri"/>
                <w:color w:themeColor="text1" w:val="000000"/>
                <w:kern w:val="0"/>
                <w:sz w:val="22"/>
                <w:szCs w:val="22"/>
                <w:lang w:val="en-US" w:eastAsia="en-US" w:bidi="ar-SA"/>
              </w:rPr>
              <w:t>PE utility design for DUSUP corridor section+MKT St: to be updated as per Option 6B.</w:t>
            </w:r>
          </w:p>
        </w:tc>
        <w:tc>
          <w:tcPr>
            <w:tcW w:w="850" w:type="dxa"/>
            <w:tcBorders/>
          </w:tcPr>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SEI</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SEI</w:t>
            </w:r>
          </w:p>
        </w:tc>
        <w:tc>
          <w:tcPr>
            <w:tcW w:w="1278" w:type="dxa"/>
            <w:tcBorders/>
          </w:tcPr>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r>
          </w:p>
        </w:tc>
      </w:tr>
      <w:tr>
        <w:trPr>
          <w:trHeight w:val="300" w:hRule="atLeast"/>
        </w:trPr>
        <w:tc>
          <w:tcPr>
            <w:tcW w:w="1400" w:type="dxa"/>
            <w:vMerge w:val="continue"/>
            <w:tcBorders/>
            <w:vAlign w:val="center"/>
          </w:tcPr>
          <w:p>
            <w:pPr>
              <w:pStyle w:val="TableLineNumbering"/>
              <w:widowControl w:val="false"/>
              <w:numPr>
                <w:ilvl w:val="0"/>
                <w:numId w:val="0"/>
              </w:numPr>
              <w:suppressAutoHyphens w:val="true"/>
              <w:spacing w:before="0" w:after="0"/>
              <w:ind w:hanging="360" w:start="360"/>
              <w:jc w:val="start"/>
              <w:rPr>
                <w:lang w:val="pt-BR"/>
              </w:rPr>
            </w:pPr>
            <w:r>
              <w:rPr>
                <w:kern w:val="0"/>
                <w:lang w:val="pt-BR" w:eastAsia="en-US" w:bidi="ar-SA"/>
              </w:rPr>
            </w:r>
          </w:p>
        </w:tc>
        <w:tc>
          <w:tcPr>
            <w:tcW w:w="1871" w:type="dxa"/>
            <w:vMerge w:val="continue"/>
            <w:tcBorders/>
            <w:vAlign w:val="center"/>
          </w:tcPr>
          <w:p>
            <w:pPr>
              <w:pStyle w:val="TableText"/>
              <w:widowControl w:val="false"/>
              <w:suppressAutoHyphens w:val="true"/>
              <w:spacing w:before="0" w:after="0"/>
              <w:jc w:val="start"/>
              <w:rPr>
                <w:bCs/>
                <w:lang w:val="pt-BR"/>
              </w:rPr>
            </w:pPr>
            <w:r>
              <w:rPr>
                <w:rFonts w:eastAsia="Calibri"/>
                <w:bCs/>
                <w:kern w:val="0"/>
                <w:sz w:val="22"/>
                <w:szCs w:val="22"/>
                <w:lang w:val="pt-BR" w:eastAsia="en-US" w:bidi="ar-SA"/>
              </w:rPr>
            </w:r>
          </w:p>
        </w:tc>
        <w:tc>
          <w:tcPr>
            <w:tcW w:w="5527" w:type="dxa"/>
            <w:tcBorders/>
          </w:tcPr>
          <w:p>
            <w:pPr>
              <w:pStyle w:val="TableText"/>
              <w:widowControl w:val="false"/>
              <w:suppressAutoHyphens w:val="true"/>
              <w:spacing w:before="0" w:after="0"/>
              <w:jc w:val="both"/>
              <w:rPr>
                <w:b/>
                <w:bCs/>
                <w:color w:themeColor="text1" w:val="000000"/>
                <w:lang w:val="en-GB"/>
              </w:rPr>
            </w:pPr>
            <w:r>
              <w:rPr>
                <w:rFonts w:eastAsia="Calibri"/>
                <w:b/>
                <w:bCs/>
                <w:color w:themeColor="text1" w:val="000000"/>
                <w:kern w:val="0"/>
                <w:sz w:val="22"/>
                <w:szCs w:val="22"/>
                <w:lang w:val="en-GB" w:eastAsia="en-US" w:bidi="ar-SA"/>
              </w:rPr>
              <w:t>Geotechnical (borehole status – phase 1)</w:t>
            </w:r>
          </w:p>
          <w:p>
            <w:pPr>
              <w:pStyle w:val="TableText"/>
              <w:widowControl w:val="false"/>
              <w:suppressAutoHyphens w:val="true"/>
              <w:spacing w:before="0" w:after="0"/>
              <w:jc w:val="both"/>
              <w:rPr>
                <w:rFonts w:eastAsia="" w:eastAsiaTheme="minorEastAsia"/>
                <w:color w:themeColor="text1" w:val="000000"/>
                <w:lang w:val="en-GB"/>
              </w:rPr>
            </w:pPr>
            <w:r>
              <w:rPr>
                <w:rFonts w:eastAsia="" w:eastAsiaTheme="minorEastAsia"/>
                <w:color w:themeColor="text1" w:val="000000"/>
                <w:kern w:val="0"/>
                <w:sz w:val="22"/>
                <w:szCs w:val="22"/>
                <w:lang w:val="en-GB" w:eastAsia="en-US" w:bidi="ar-SA"/>
              </w:rPr>
              <w:t>Closed.</w:t>
            </w:r>
          </w:p>
          <w:p>
            <w:pPr>
              <w:pStyle w:val="TableText"/>
              <w:widowControl w:val="false"/>
              <w:suppressAutoHyphens w:val="true"/>
              <w:spacing w:before="0" w:after="0"/>
              <w:jc w:val="both"/>
              <w:rPr>
                <w:b/>
                <w:bCs/>
                <w:color w:themeColor="text1" w:val="000000"/>
                <w:lang w:val="en-GB"/>
              </w:rPr>
            </w:pPr>
            <w:r>
              <w:rPr>
                <w:rFonts w:eastAsia="Calibri"/>
                <w:b/>
                <w:bCs/>
                <w:color w:themeColor="text1" w:val="000000"/>
                <w:kern w:val="0"/>
                <w:sz w:val="22"/>
                <w:szCs w:val="22"/>
                <w:lang w:val="en-GB" w:eastAsia="en-US" w:bidi="ar-SA"/>
              </w:rPr>
              <w:t>Geotechnical (borehole status – phase 2)</w:t>
            </w:r>
          </w:p>
          <w:p>
            <w:pPr>
              <w:pStyle w:val="TableText"/>
              <w:widowControl w:val="false"/>
              <w:suppressAutoHyphens w:val="true"/>
              <w:spacing w:before="0" w:after="0"/>
              <w:jc w:val="both"/>
              <w:rPr>
                <w:b/>
                <w:color w:themeColor="text1" w:val="000000"/>
                <w:lang w:val="en-AE"/>
              </w:rPr>
            </w:pPr>
            <w:r>
              <w:rPr>
                <w:rFonts w:eastAsia="Calibri"/>
                <w:b/>
                <w:color w:themeColor="text1" w:val="000000"/>
                <w:kern w:val="0"/>
                <w:sz w:val="22"/>
                <w:szCs w:val="22"/>
                <w:lang w:val="en-AE" w:eastAsia="en-US" w:bidi="ar-SA"/>
              </w:rPr>
              <w:t xml:space="preserve">Abu Dhabi – Al Ain (Al Ain region): </w:t>
            </w:r>
          </w:p>
          <w:p>
            <w:pPr>
              <w:pStyle w:val="TableText"/>
              <w:widowControl w:val="false"/>
              <w:numPr>
                <w:ilvl w:val="0"/>
                <w:numId w:val="13"/>
              </w:numPr>
              <w:suppressAutoHyphens w:val="true"/>
              <w:spacing w:before="0" w:after="0"/>
              <w:jc w:val="both"/>
              <w:rPr>
                <w:color w:themeColor="text1" w:val="000000"/>
              </w:rPr>
            </w:pPr>
            <w:r>
              <w:rPr>
                <w:rFonts w:eastAsia="Calibri"/>
                <w:color w:themeColor="text1" w:val="000000"/>
                <w:kern w:val="0"/>
                <w:sz w:val="22"/>
                <w:szCs w:val="22"/>
                <w:lang w:val="en-US" w:eastAsia="en-US" w:bidi="ar-SA"/>
              </w:rPr>
              <w:t xml:space="preserve">Scope Completed (22 Boreholes). </w:t>
            </w:r>
          </w:p>
          <w:p>
            <w:pPr>
              <w:pStyle w:val="TableText"/>
              <w:widowControl w:val="false"/>
              <w:suppressAutoHyphens w:val="true"/>
              <w:spacing w:before="0" w:after="0"/>
              <w:jc w:val="both"/>
              <w:rPr>
                <w:b/>
                <w:bCs/>
                <w:color w:themeColor="text1" w:val="000000"/>
                <w:lang w:val="fr-FR"/>
              </w:rPr>
            </w:pPr>
            <w:r>
              <w:rPr>
                <w:rFonts w:eastAsia="Calibri"/>
                <w:b/>
                <w:bCs/>
                <w:color w:themeColor="text1" w:val="000000"/>
                <w:kern w:val="0"/>
                <w:sz w:val="22"/>
                <w:szCs w:val="22"/>
                <w:lang w:val="fr-FR" w:eastAsia="en-US" w:bidi="ar-SA"/>
              </w:rPr>
              <w:t>Abu Dhabi Al Ain – (Abu Dhabi Section) :</w:t>
            </w:r>
          </w:p>
          <w:p>
            <w:pPr>
              <w:pStyle w:val="TableText"/>
              <w:widowControl w:val="false"/>
              <w:numPr>
                <w:ilvl w:val="0"/>
                <w:numId w:val="13"/>
              </w:numPr>
              <w:suppressAutoHyphens w:val="true"/>
              <w:spacing w:before="0" w:after="0"/>
              <w:jc w:val="both"/>
              <w:rPr>
                <w:color w:themeColor="text1" w:val="000000"/>
                <w:lang w:val="en-GB"/>
              </w:rPr>
            </w:pPr>
            <w:r>
              <w:rPr>
                <w:rFonts w:eastAsia="Calibri"/>
                <w:color w:themeColor="text1" w:val="000000"/>
                <w:kern w:val="0"/>
                <w:sz w:val="22"/>
                <w:szCs w:val="22"/>
                <w:lang w:val="en-GB" w:eastAsia="en-US" w:bidi="ar-SA"/>
              </w:rPr>
              <w:t>4 Boreholes Executed out of 40</w:t>
            </w:r>
          </w:p>
          <w:p>
            <w:pPr>
              <w:pStyle w:val="TableText"/>
              <w:widowControl w:val="false"/>
              <w:numPr>
                <w:ilvl w:val="0"/>
                <w:numId w:val="13"/>
              </w:numPr>
              <w:suppressAutoHyphens w:val="true"/>
              <w:spacing w:before="0" w:after="0"/>
              <w:jc w:val="both"/>
              <w:rPr>
                <w:color w:themeColor="text1" w:val="000000"/>
                <w:lang w:val="en-GB"/>
              </w:rPr>
            </w:pPr>
            <w:r>
              <w:rPr>
                <w:rFonts w:eastAsia="Calibri"/>
                <w:color w:themeColor="text1" w:val="000000"/>
                <w:kern w:val="0"/>
                <w:sz w:val="22"/>
                <w:szCs w:val="22"/>
                <w:lang w:val="en-GB" w:eastAsia="en-US" w:bidi="ar-SA"/>
              </w:rPr>
              <w:t xml:space="preserve">All permits approved for 13 boreholes and Mobilisation in progress. </w:t>
            </w:r>
          </w:p>
          <w:p>
            <w:pPr>
              <w:pStyle w:val="TableText"/>
              <w:widowControl w:val="false"/>
              <w:numPr>
                <w:ilvl w:val="0"/>
                <w:numId w:val="13"/>
              </w:numPr>
              <w:suppressAutoHyphens w:val="true"/>
              <w:spacing w:before="0" w:after="0"/>
              <w:jc w:val="both"/>
              <w:rPr>
                <w:color w:themeColor="text1" w:val="000000"/>
                <w:lang w:val="en-GB"/>
              </w:rPr>
            </w:pPr>
            <w:r>
              <w:rPr>
                <w:rFonts w:eastAsia="Calibri"/>
                <w:color w:themeColor="text1" w:val="000000"/>
                <w:kern w:val="0"/>
                <w:sz w:val="22"/>
                <w:szCs w:val="22"/>
                <w:lang w:val="en-GB" w:eastAsia="en-US" w:bidi="ar-SA"/>
              </w:rPr>
              <w:t xml:space="preserve">TPD is pending approval for 23 Boreholes. </w:t>
            </w:r>
          </w:p>
          <w:p>
            <w:pPr>
              <w:pStyle w:val="TableText"/>
              <w:widowControl w:val="false"/>
              <w:suppressAutoHyphens w:val="true"/>
              <w:spacing w:before="0" w:after="0"/>
              <w:jc w:val="both"/>
              <w:rPr>
                <w:color w:themeColor="text1" w:val="000000"/>
              </w:rPr>
            </w:pPr>
            <w:r>
              <w:rPr>
                <w:rFonts w:eastAsia="Calibri"/>
                <w:color w:themeColor="text1" w:val="000000"/>
                <w:kern w:val="0"/>
                <w:sz w:val="22"/>
                <w:szCs w:val="22"/>
                <w:lang w:val="en-US" w:eastAsia="en-US" w:bidi="ar-SA"/>
              </w:rPr>
              <w:t>Version AH of GI proposal was submitted on 10 of March 2025. CRS with code 2 was received on 14 of March. The comment received refers to receiving Code 1 approval is subject to alignment approval. Note that the alignment is in the same place for more than 5 months and minor changes do not impact on the geotechnical work to be carried out. Anyway, SEI has started TPD permit process to mitigate delays.</w:t>
            </w:r>
          </w:p>
          <w:p>
            <w:pPr>
              <w:pStyle w:val="TableText"/>
              <w:widowControl w:val="false"/>
              <w:suppressAutoHyphens w:val="true"/>
              <w:spacing w:before="0" w:after="0"/>
              <w:jc w:val="both"/>
              <w:rPr>
                <w:color w:themeColor="text1" w:val="000000"/>
                <w:lang w:val="en-GB"/>
              </w:rPr>
            </w:pPr>
            <w:r>
              <w:rPr>
                <w:rFonts w:eastAsia="Calibri"/>
                <w:b/>
                <w:bCs/>
                <w:color w:themeColor="text1" w:val="000000"/>
                <w:kern w:val="0"/>
                <w:sz w:val="22"/>
                <w:szCs w:val="22"/>
                <w:lang w:val="en-GB" w:eastAsia="en-US" w:bidi="ar-SA"/>
              </w:rPr>
              <w:t xml:space="preserve">Dubai – </w:t>
            </w:r>
            <w:r>
              <w:rPr>
                <w:rFonts w:eastAsia="Calibri"/>
                <w:b/>
                <w:bCs/>
                <w:color w:themeColor="text1" w:val="000000"/>
                <w:kern w:val="0"/>
                <w:sz w:val="22"/>
                <w:szCs w:val="22"/>
                <w:u w:val="single"/>
                <w:lang w:val="en-GB" w:eastAsia="en-US" w:bidi="ar-SA"/>
              </w:rPr>
              <w:t>Sharjah Extension</w:t>
            </w:r>
            <w:r>
              <w:rPr>
                <w:rFonts w:eastAsia="Calibri"/>
                <w:b/>
                <w:bCs/>
                <w:color w:themeColor="text1" w:val="000000"/>
                <w:kern w:val="0"/>
                <w:sz w:val="22"/>
                <w:szCs w:val="22"/>
                <w:lang w:val="en-GB" w:eastAsia="en-US" w:bidi="ar-SA"/>
              </w:rPr>
              <w:t>:</w:t>
            </w:r>
            <w:r>
              <w:rPr>
                <w:rFonts w:eastAsia="Calibri"/>
                <w:color w:themeColor="text1" w:val="000000"/>
                <w:kern w:val="0"/>
                <w:sz w:val="22"/>
                <w:szCs w:val="22"/>
                <w:lang w:val="en-GB" w:eastAsia="en-US" w:bidi="ar-SA"/>
              </w:rPr>
              <w:t xml:space="preserve"> </w:t>
            </w:r>
          </w:p>
          <w:p>
            <w:pPr>
              <w:pStyle w:val="TableText"/>
              <w:widowControl w:val="false"/>
              <w:numPr>
                <w:ilvl w:val="0"/>
                <w:numId w:val="13"/>
              </w:numPr>
              <w:suppressAutoHyphens w:val="true"/>
              <w:spacing w:before="0" w:after="0"/>
              <w:jc w:val="both"/>
              <w:rPr>
                <w:color w:themeColor="text1" w:val="000000"/>
                <w:lang w:val="en-GB"/>
              </w:rPr>
            </w:pPr>
            <w:r>
              <w:rPr>
                <w:rFonts w:eastAsia="Calibri"/>
                <w:color w:themeColor="text1" w:val="000000"/>
                <w:kern w:val="0"/>
                <w:sz w:val="22"/>
                <w:szCs w:val="22"/>
                <w:lang w:val="en-GB" w:eastAsia="en-US" w:bidi="ar-SA"/>
              </w:rPr>
              <w:t>3 borehole siteworks have been finalised.</w:t>
            </w:r>
          </w:p>
          <w:p>
            <w:pPr>
              <w:pStyle w:val="TableText"/>
              <w:widowControl w:val="false"/>
              <w:numPr>
                <w:ilvl w:val="0"/>
                <w:numId w:val="13"/>
              </w:numPr>
              <w:suppressAutoHyphens w:val="true"/>
              <w:spacing w:before="0" w:after="0"/>
              <w:jc w:val="both"/>
              <w:rPr>
                <w:color w:themeColor="text1" w:val="000000"/>
                <w:lang w:val="en-GB"/>
              </w:rPr>
            </w:pPr>
            <w:r>
              <w:rPr>
                <w:rFonts w:eastAsia="Calibri"/>
                <w:color w:themeColor="text1" w:val="000000"/>
                <w:kern w:val="0"/>
                <w:sz w:val="22"/>
                <w:szCs w:val="22"/>
                <w:lang w:val="en-GB" w:eastAsia="en-US" w:bidi="ar-SA"/>
              </w:rPr>
              <w:t xml:space="preserve">5 boreholes NOCs are in progress </w:t>
            </w:r>
          </w:p>
          <w:p>
            <w:pPr>
              <w:pStyle w:val="Normal"/>
              <w:widowControl/>
              <w:suppressAutoHyphens w:val="true"/>
              <w:spacing w:before="0" w:after="0"/>
              <w:jc w:val="start"/>
              <w:rPr>
                <w:rFonts w:eastAsia="Calibri" w:cs="Calibri"/>
                <w:lang w:val="en-GB"/>
              </w:rPr>
            </w:pPr>
            <w:r>
              <w:rPr>
                <w:rFonts w:eastAsia="Calibri" w:cs="Calibri"/>
                <w:kern w:val="0"/>
                <w:lang w:val="en-GB" w:eastAsia="en-US" w:bidi="ar-SA"/>
              </w:rPr>
            </w:r>
          </w:p>
          <w:p>
            <w:pPr>
              <w:pStyle w:val="TableText"/>
              <w:widowControl w:val="false"/>
              <w:suppressAutoHyphens w:val="true"/>
              <w:spacing w:before="0" w:after="0"/>
              <w:jc w:val="start"/>
              <w:rPr>
                <w:b/>
                <w:color w:themeColor="text1" w:val="000000"/>
                <w:lang w:val="en-GB"/>
              </w:rPr>
            </w:pPr>
            <w:r>
              <w:rPr>
                <w:rFonts w:eastAsia="Calibri"/>
                <w:b/>
                <w:color w:themeColor="text1" w:val="000000"/>
                <w:kern w:val="0"/>
                <w:sz w:val="22"/>
                <w:szCs w:val="22"/>
                <w:lang w:val="en-GB" w:eastAsia="en-US" w:bidi="ar-SA"/>
              </w:rPr>
              <w:t xml:space="preserve">Dubai Tunnels GIDD along with Reem Tunnels GIDD progress to be discussed at dedicated weekly meeting every Wednesday. </w:t>
            </w:r>
          </w:p>
        </w:tc>
        <w:tc>
          <w:tcPr>
            <w:tcW w:w="850" w:type="dxa"/>
            <w:tcBorders/>
          </w:tcPr>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t>Note</w:t>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t>Note</w:t>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color w:themeColor="text1" w:val="000000"/>
                <w:kern w:val="0"/>
                <w:sz w:val="22"/>
                <w:szCs w:val="22"/>
                <w:lang w:val="en-GB" w:eastAsia="en-US" w:bidi="ar-SA"/>
              </w:rPr>
              <w:t>Note</w:t>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t>ER</w:t>
            </w:r>
          </w:p>
        </w:tc>
        <w:tc>
          <w:tcPr>
            <w:tcW w:w="1278" w:type="dxa"/>
            <w:tcBorders/>
          </w:tcPr>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t>ASAP</w:t>
            </w:r>
          </w:p>
        </w:tc>
      </w:tr>
      <w:tr>
        <w:trPr>
          <w:trHeight w:val="2189" w:hRule="atLeast"/>
        </w:trPr>
        <w:tc>
          <w:tcPr>
            <w:tcW w:w="1400" w:type="dxa"/>
            <w:tcBorders/>
            <w:vAlign w:val="center"/>
          </w:tcPr>
          <w:p>
            <w:pPr>
              <w:pStyle w:val="TableLineNumbering"/>
              <w:widowControl w:val="false"/>
              <w:numPr>
                <w:ilvl w:val="0"/>
                <w:numId w:val="0"/>
              </w:numPr>
              <w:suppressAutoHyphens w:val="true"/>
              <w:spacing w:before="0" w:after="0"/>
              <w:ind w:hanging="360" w:start="360"/>
              <w:jc w:val="start"/>
              <w:rPr>
                <w:kern w:val="0"/>
                <w:lang w:val="en-US" w:eastAsia="en-US" w:bidi="ar-SA"/>
              </w:rPr>
            </w:pPr>
            <w:r>
              <w:rPr>
                <w:kern w:val="0"/>
                <w:lang w:val="en-US" w:eastAsia="en-US" w:bidi="ar-SA"/>
              </w:rPr>
              <w:t>5.</w:t>
            </w:r>
          </w:p>
        </w:tc>
        <w:tc>
          <w:tcPr>
            <w:tcW w:w="1871" w:type="dxa"/>
            <w:tcBorders/>
            <w:vAlign w:val="center"/>
          </w:tcPr>
          <w:p>
            <w:pPr>
              <w:pStyle w:val="TableText"/>
              <w:widowControl w:val="false"/>
              <w:suppressAutoHyphens w:val="true"/>
              <w:spacing w:before="0" w:after="0"/>
              <w:jc w:val="start"/>
              <w:rPr>
                <w:bCs/>
              </w:rPr>
            </w:pPr>
            <w:r>
              <w:rPr>
                <w:rFonts w:eastAsia="Calibri"/>
                <w:caps/>
                <w:kern w:val="0"/>
                <w:sz w:val="22"/>
                <w:szCs w:val="22"/>
                <w:lang w:val="en-GB" w:eastAsia="en-US" w:bidi="ar-SA"/>
              </w:rPr>
              <w:t>STATIONS</w:t>
            </w:r>
          </w:p>
        </w:tc>
        <w:tc>
          <w:tcPr>
            <w:tcW w:w="5527" w:type="dxa"/>
            <w:tcBorders/>
          </w:tcPr>
          <w:p>
            <w:pPr>
              <w:pStyle w:val="Normal"/>
              <w:widowControl/>
              <w:suppressAutoHyphens w:val="false"/>
              <w:spacing w:before="0" w:after="0"/>
              <w:jc w:val="both"/>
              <w:rPr>
                <w:rFonts w:eastAsia="Calibri" w:cs="Dubai"/>
                <w:color w:themeColor="text1" w:val="000000"/>
                <w:sz w:val="22"/>
                <w:szCs w:val="22"/>
              </w:rPr>
            </w:pPr>
            <w:r>
              <w:rPr>
                <w:rFonts w:cs="Dubai"/>
                <w:b/>
                <w:kern w:val="0"/>
                <w:sz w:val="22"/>
                <w:szCs w:val="22"/>
                <w:lang w:val="en-US" w:eastAsia="en-US" w:bidi="ar-SA"/>
              </w:rPr>
              <w:t>Functional program and stations sizing</w:t>
            </w:r>
            <w:r>
              <w:rPr>
                <w:rFonts w:cs="Dubai"/>
                <w:kern w:val="0"/>
                <w:sz w:val="22"/>
                <w:szCs w:val="22"/>
                <w:lang w:val="en-US" w:eastAsia="en-US" w:bidi="ar-SA"/>
              </w:rPr>
              <w:t xml:space="preserve"> review progressing:</w:t>
            </w:r>
          </w:p>
          <w:tbl>
            <w:tblPr>
              <w:tblW w:w="4703" w:type="dxa"/>
              <w:jc w:val="start"/>
              <w:tblInd w:w="0" w:type="dxa"/>
              <w:tblLayout w:type="fixed"/>
              <w:tblCellMar>
                <w:top w:w="0" w:type="dxa"/>
                <w:start w:w="108" w:type="dxa"/>
                <w:bottom w:w="0" w:type="dxa"/>
                <w:end w:w="108" w:type="dxa"/>
              </w:tblCellMar>
              <w:tblLook w:firstRow="1" w:noVBand="1" w:lastRow="0" w:firstColumn="1" w:lastColumn="0" w:noHBand="0" w:val="04a0"/>
            </w:tblPr>
            <w:tblGrid>
              <w:gridCol w:w="1219"/>
              <w:gridCol w:w="1202"/>
              <w:gridCol w:w="2282"/>
            </w:tblGrid>
            <w:tr>
              <w:trPr>
                <w:trHeight w:val="300" w:hRule="atLeast"/>
              </w:trPr>
              <w:tc>
                <w:tcPr>
                  <w:tcW w:w="1219"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b/>
                      <w:color w:val="000000"/>
                      <w:sz w:val="22"/>
                      <w:szCs w:val="22"/>
                      <w:lang w:val="en-GB" w:eastAsia="en-GB"/>
                    </w:rPr>
                  </w:pPr>
                  <w:r>
                    <w:rPr>
                      <w:rFonts w:cs="Dubai"/>
                      <w:b/>
                      <w:color w:val="000000"/>
                      <w:sz w:val="22"/>
                      <w:szCs w:val="22"/>
                      <w:lang w:val="en-GB" w:eastAsia="en-GB"/>
                    </w:rPr>
                    <w:t>Station</w:t>
                  </w:r>
                </w:p>
              </w:tc>
              <w:tc>
                <w:tcPr>
                  <w:tcW w:w="120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b/>
                      <w:color w:val="000000"/>
                      <w:sz w:val="22"/>
                      <w:szCs w:val="22"/>
                      <w:lang w:val="en-GB" w:eastAsia="en-GB"/>
                    </w:rPr>
                  </w:pPr>
                  <w:r>
                    <w:rPr>
                      <w:rFonts w:cs="Dubai"/>
                      <w:b/>
                      <w:color w:val="000000"/>
                      <w:sz w:val="22"/>
                      <w:szCs w:val="22"/>
                      <w:lang w:val="en-GB" w:eastAsia="en-GB"/>
                    </w:rPr>
                    <w:t>Status</w:t>
                  </w:r>
                </w:p>
              </w:tc>
              <w:tc>
                <w:tcPr>
                  <w:tcW w:w="228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b/>
                      <w:color w:val="000000"/>
                      <w:sz w:val="22"/>
                      <w:szCs w:val="22"/>
                      <w:lang w:val="en-GB" w:eastAsia="en-GB"/>
                    </w:rPr>
                  </w:pPr>
                  <w:r>
                    <w:rPr>
                      <w:rFonts w:cs="Dubai"/>
                      <w:b/>
                      <w:color w:val="000000"/>
                      <w:sz w:val="22"/>
                      <w:szCs w:val="22"/>
                      <w:lang w:val="en-GB" w:eastAsia="en-GB"/>
                    </w:rPr>
                    <w:t>Date</w:t>
                  </w:r>
                </w:p>
              </w:tc>
            </w:tr>
            <w:tr>
              <w:trPr>
                <w:trHeight w:val="300" w:hRule="atLeast"/>
              </w:trPr>
              <w:tc>
                <w:tcPr>
                  <w:tcW w:w="1219"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 xml:space="preserve">ALL </w:t>
                  </w:r>
                </w:p>
                <w:p>
                  <w:pPr>
                    <w:pStyle w:val="Normal"/>
                    <w:suppressAutoHyphens w:val="false"/>
                    <w:rPr>
                      <w:rFonts w:cs="Dubai"/>
                      <w:color w:val="000000"/>
                      <w:sz w:val="22"/>
                      <w:szCs w:val="22"/>
                      <w:lang w:val="en-GB" w:eastAsia="en-GB"/>
                    </w:rPr>
                  </w:pPr>
                  <w:r>
                    <w:rPr>
                      <w:rFonts w:cs="Dubai"/>
                      <w:color w:val="000000"/>
                      <w:sz w:val="22"/>
                      <w:szCs w:val="22"/>
                      <w:lang w:val="en-GB" w:eastAsia="en-GB"/>
                    </w:rPr>
                    <w:t>(GENERAL REPORT)</w:t>
                  </w:r>
                </w:p>
                <w:p>
                  <w:pPr>
                    <w:pStyle w:val="Normal"/>
                    <w:suppressAutoHyphens w:val="false"/>
                    <w:rPr>
                      <w:rFonts w:cs="Dubai"/>
                      <w:color w:val="000000"/>
                      <w:sz w:val="22"/>
                      <w:szCs w:val="22"/>
                      <w:lang w:val="en-GB" w:eastAsia="en-GB"/>
                    </w:rPr>
                  </w:pPr>
                  <w:r>
                    <w:rPr>
                      <w:rFonts w:cs="Dubai"/>
                      <w:color w:val="000000"/>
                      <w:sz w:val="22"/>
                      <w:szCs w:val="22"/>
                      <w:lang w:val="en-GB" w:eastAsia="en-GB"/>
                    </w:rPr>
                  </w:r>
                </w:p>
                <w:p>
                  <w:pPr>
                    <w:pStyle w:val="Normal"/>
                    <w:suppressAutoHyphens w:val="false"/>
                    <w:rPr>
                      <w:rFonts w:cs="Dubai"/>
                      <w:color w:val="000000"/>
                      <w:sz w:val="22"/>
                      <w:szCs w:val="22"/>
                      <w:lang w:val="en-GB" w:eastAsia="en-GB"/>
                    </w:rPr>
                  </w:pPr>
                  <w:r>
                    <w:rPr>
                      <w:rFonts w:cs="Dubai"/>
                      <w:color w:val="000000"/>
                      <w:sz w:val="22"/>
                      <w:szCs w:val="22"/>
                      <w:lang w:val="en-GB" w:eastAsia="en-GB"/>
                    </w:rPr>
                  </w:r>
                </w:p>
              </w:tc>
              <w:tc>
                <w:tcPr>
                  <w:tcW w:w="120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Rev. AC</w:t>
                    <w:br/>
                    <w:t>CODE 2 (07/05)</w:t>
                  </w:r>
                </w:p>
              </w:tc>
              <w:tc>
                <w:tcPr>
                  <w:tcW w:w="228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To be resubmitted once all stations sizing reports are approved</w:t>
                  </w:r>
                </w:p>
              </w:tc>
            </w:tr>
            <w:tr>
              <w:trPr>
                <w:trHeight w:val="300" w:hRule="atLeast"/>
              </w:trPr>
              <w:tc>
                <w:tcPr>
                  <w:tcW w:w="1219"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ADT</w:t>
                  </w:r>
                </w:p>
              </w:tc>
              <w:tc>
                <w:tcPr>
                  <w:tcW w:w="120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fr-FR" w:eastAsia="en-GB"/>
                    </w:rPr>
                  </w:pPr>
                  <w:r>
                    <w:rPr>
                      <w:rFonts w:cs="Dubai"/>
                      <w:color w:val="000000"/>
                      <w:sz w:val="22"/>
                      <w:szCs w:val="22"/>
                      <w:lang w:val="fr-FR" w:eastAsia="en-GB"/>
                    </w:rPr>
                    <w:t>Rev. 00</w:t>
                  </w:r>
                </w:p>
                <w:p>
                  <w:pPr>
                    <w:pStyle w:val="Normal"/>
                    <w:suppressAutoHyphens w:val="false"/>
                    <w:rPr>
                      <w:rFonts w:cs="Dubai"/>
                      <w:color w:val="000000"/>
                      <w:sz w:val="22"/>
                      <w:szCs w:val="22"/>
                      <w:lang w:val="fr-FR" w:eastAsia="en-GB"/>
                    </w:rPr>
                  </w:pPr>
                  <w:r>
                    <w:rPr>
                      <w:rFonts w:cs="Dubai"/>
                      <w:color w:val="000000"/>
                      <w:sz w:val="22"/>
                      <w:szCs w:val="22"/>
                      <w:lang w:val="fr-FR" w:eastAsia="en-GB"/>
                    </w:rPr>
                  </w:r>
                </w:p>
              </w:tc>
              <w:tc>
                <w:tcPr>
                  <w:tcW w:w="228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fr-FR" w:eastAsia="en-GB"/>
                    </w:rPr>
                  </w:pPr>
                  <w:r>
                    <w:rPr>
                      <w:rFonts w:cs="Dubai"/>
                      <w:color w:val="000000"/>
                      <w:sz w:val="22"/>
                      <w:szCs w:val="22"/>
                      <w:lang w:val="fr-FR" w:eastAsia="en-GB"/>
                    </w:rPr>
                    <w:t>CODE 1 (17/03)</w:t>
                  </w:r>
                </w:p>
                <w:p>
                  <w:pPr>
                    <w:pStyle w:val="Normal"/>
                    <w:suppressAutoHyphens w:val="false"/>
                    <w:rPr>
                      <w:rFonts w:cs="Dubai"/>
                      <w:color w:val="000000"/>
                      <w:sz w:val="22"/>
                      <w:szCs w:val="22"/>
                      <w:lang w:val="en-GB" w:eastAsia="en-GB"/>
                    </w:rPr>
                  </w:pPr>
                  <w:r>
                    <w:rPr>
                      <w:rFonts w:cs="Dubai"/>
                      <w:color w:val="000000"/>
                      <w:sz w:val="22"/>
                      <w:szCs w:val="22"/>
                      <w:lang w:val="en-GB" w:eastAsia="en-GB"/>
                    </w:rPr>
                  </w:r>
                </w:p>
              </w:tc>
            </w:tr>
            <w:tr>
              <w:trPr>
                <w:trHeight w:val="300" w:hRule="atLeast"/>
              </w:trPr>
              <w:tc>
                <w:tcPr>
                  <w:tcW w:w="1219"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ADS (KHOR LAFFAN option - VIADUCT)</w:t>
                  </w:r>
                </w:p>
              </w:tc>
              <w:tc>
                <w:tcPr>
                  <w:tcW w:w="120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Rev. 00</w:t>
                  </w:r>
                </w:p>
                <w:p>
                  <w:pPr>
                    <w:pStyle w:val="Normal"/>
                    <w:suppressAutoHyphens w:val="false"/>
                    <w:rPr>
                      <w:rFonts w:cs="Dubai"/>
                      <w:color w:val="000000"/>
                      <w:sz w:val="22"/>
                      <w:szCs w:val="22"/>
                      <w:lang w:val="en-GB" w:eastAsia="en-GB"/>
                    </w:rPr>
                  </w:pPr>
                  <w:r>
                    <w:rPr>
                      <w:rFonts w:cs="Dubai"/>
                      <w:color w:val="000000"/>
                      <w:sz w:val="22"/>
                      <w:szCs w:val="22"/>
                      <w:lang w:val="en-GB" w:eastAsia="en-GB"/>
                    </w:rPr>
                  </w:r>
                </w:p>
              </w:tc>
              <w:tc>
                <w:tcPr>
                  <w:tcW w:w="228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CODE 1 (17/03)</w:t>
                  </w:r>
                </w:p>
              </w:tc>
            </w:tr>
            <w:tr>
              <w:trPr>
                <w:trHeight w:val="300" w:hRule="atLeast"/>
              </w:trPr>
              <w:tc>
                <w:tcPr>
                  <w:tcW w:w="1219"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YAS</w:t>
                  </w:r>
                </w:p>
              </w:tc>
              <w:tc>
                <w:tcPr>
                  <w:tcW w:w="120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fr-FR" w:eastAsia="en-GB"/>
                    </w:rPr>
                  </w:pPr>
                  <w:r>
                    <w:rPr>
                      <w:rFonts w:cs="Dubai"/>
                      <w:color w:val="000000"/>
                      <w:sz w:val="22"/>
                      <w:szCs w:val="22"/>
                      <w:lang w:val="fr-FR" w:eastAsia="en-GB"/>
                    </w:rPr>
                    <w:t>Rev. AD</w:t>
                    <w:br/>
                    <w:t>CODE 2 (14/5)</w:t>
                  </w:r>
                </w:p>
                <w:p>
                  <w:pPr>
                    <w:pStyle w:val="Normal"/>
                    <w:suppressAutoHyphens w:val="false"/>
                    <w:rPr>
                      <w:rFonts w:cs="Dubai"/>
                      <w:color w:val="000000"/>
                      <w:sz w:val="22"/>
                      <w:szCs w:val="22"/>
                      <w:lang w:val="fr-FR" w:eastAsia="en-GB"/>
                    </w:rPr>
                  </w:pPr>
                  <w:r>
                    <w:rPr>
                      <w:rFonts w:cs="Dubai"/>
                      <w:color w:val="000000"/>
                      <w:sz w:val="22"/>
                      <w:szCs w:val="22"/>
                      <w:lang w:val="fr-FR" w:eastAsia="en-GB"/>
                    </w:rPr>
                  </w:r>
                </w:p>
              </w:tc>
              <w:tc>
                <w:tcPr>
                  <w:tcW w:w="228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meeting for clarification required</w:t>
                  </w:r>
                </w:p>
                <w:p>
                  <w:pPr>
                    <w:pStyle w:val="Normal"/>
                    <w:suppressAutoHyphens w:val="false"/>
                    <w:rPr>
                      <w:rFonts w:cs="Dubai"/>
                      <w:color w:val="000000"/>
                      <w:sz w:val="22"/>
                      <w:szCs w:val="22"/>
                      <w:lang w:val="en-GB" w:eastAsia="en-GB"/>
                    </w:rPr>
                  </w:pPr>
                  <w:r>
                    <w:rPr>
                      <w:rFonts w:cs="Dubai"/>
                      <w:color w:val="000000"/>
                      <w:sz w:val="22"/>
                      <w:szCs w:val="22"/>
                      <w:lang w:val="en-GB" w:eastAsia="en-GB"/>
                    </w:rPr>
                  </w:r>
                </w:p>
              </w:tc>
            </w:tr>
            <w:tr>
              <w:trPr>
                <w:trHeight w:val="300" w:hRule="atLeast"/>
              </w:trPr>
              <w:tc>
                <w:tcPr>
                  <w:tcW w:w="1219"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AUH</w:t>
                  </w:r>
                </w:p>
              </w:tc>
              <w:tc>
                <w:tcPr>
                  <w:tcW w:w="120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fr-FR" w:eastAsia="en-GB"/>
                    </w:rPr>
                  </w:pPr>
                  <w:r>
                    <w:rPr>
                      <w:rFonts w:cs="Dubai"/>
                      <w:color w:val="000000"/>
                      <w:sz w:val="22"/>
                      <w:szCs w:val="22"/>
                      <w:lang w:val="fr-FR" w:eastAsia="en-GB"/>
                    </w:rPr>
                    <w:t>Rev. AC</w:t>
                    <w:br/>
                    <w:t xml:space="preserve">CODE 2 </w:t>
                  </w:r>
                </w:p>
                <w:p>
                  <w:pPr>
                    <w:pStyle w:val="Normal"/>
                    <w:suppressAutoHyphens w:val="false"/>
                    <w:rPr>
                      <w:rFonts w:cs="Dubai"/>
                      <w:color w:val="000000"/>
                      <w:sz w:val="22"/>
                      <w:szCs w:val="22"/>
                      <w:lang w:val="fr-FR" w:eastAsia="en-GB"/>
                    </w:rPr>
                  </w:pPr>
                  <w:r>
                    <w:rPr>
                      <w:rFonts w:cs="Dubai"/>
                      <w:color w:val="000000"/>
                      <w:sz w:val="22"/>
                      <w:szCs w:val="22"/>
                      <w:lang w:val="fr-FR" w:eastAsia="en-GB"/>
                    </w:rPr>
                  </w:r>
                </w:p>
              </w:tc>
              <w:tc>
                <w:tcPr>
                  <w:tcW w:w="228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AD version submitted 14/5</w:t>
                  </w:r>
                </w:p>
                <w:p>
                  <w:pPr>
                    <w:pStyle w:val="Normal"/>
                    <w:suppressAutoHyphens w:val="false"/>
                    <w:rPr>
                      <w:rFonts w:cs="Dubai"/>
                      <w:color w:val="000000"/>
                      <w:sz w:val="22"/>
                      <w:szCs w:val="22"/>
                      <w:lang w:val="en-GB" w:eastAsia="en-GB"/>
                    </w:rPr>
                  </w:pPr>
                  <w:r>
                    <w:rPr>
                      <w:rFonts w:cs="Dubai"/>
                      <w:color w:val="000000"/>
                      <w:sz w:val="22"/>
                      <w:szCs w:val="22"/>
                      <w:lang w:val="en-GB" w:eastAsia="en-GB"/>
                    </w:rPr>
                  </w:r>
                </w:p>
              </w:tc>
            </w:tr>
            <w:tr>
              <w:trPr>
                <w:trHeight w:val="300" w:hRule="atLeast"/>
              </w:trPr>
              <w:tc>
                <w:tcPr>
                  <w:tcW w:w="1219"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DJD</w:t>
                  </w:r>
                </w:p>
              </w:tc>
              <w:tc>
                <w:tcPr>
                  <w:tcW w:w="120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fr-FR" w:eastAsia="en-GB"/>
                    </w:rPr>
                  </w:pPr>
                  <w:r>
                    <w:rPr>
                      <w:rFonts w:cs="Dubai"/>
                      <w:color w:val="000000"/>
                      <w:sz w:val="22"/>
                      <w:szCs w:val="22"/>
                      <w:lang w:val="fr-FR" w:eastAsia="en-GB"/>
                    </w:rPr>
                    <w:t>Rev. AC</w:t>
                    <w:br/>
                    <w:t xml:space="preserve">CODE 2 </w:t>
                  </w:r>
                </w:p>
              </w:tc>
              <w:tc>
                <w:tcPr>
                  <w:tcW w:w="228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AD version submitted 16/5</w:t>
                  </w:r>
                </w:p>
                <w:p>
                  <w:pPr>
                    <w:pStyle w:val="Normal"/>
                    <w:suppressAutoHyphens w:val="false"/>
                    <w:rPr>
                      <w:rFonts w:cs="Dubai"/>
                      <w:color w:val="000000"/>
                      <w:sz w:val="22"/>
                      <w:szCs w:val="22"/>
                      <w:lang w:val="en-GB" w:eastAsia="en-GB"/>
                    </w:rPr>
                  </w:pPr>
                  <w:r>
                    <w:rPr>
                      <w:rFonts w:cs="Dubai"/>
                      <w:color w:val="000000"/>
                      <w:sz w:val="22"/>
                      <w:szCs w:val="22"/>
                      <w:lang w:val="en-GB" w:eastAsia="en-GB"/>
                    </w:rPr>
                  </w:r>
                </w:p>
              </w:tc>
            </w:tr>
            <w:tr>
              <w:trPr>
                <w:trHeight w:val="300" w:hRule="atLeast"/>
              </w:trPr>
              <w:tc>
                <w:tcPr>
                  <w:tcW w:w="4703" w:type="dxa"/>
                  <w:gridSpan w:val="3"/>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b/>
                      <w:bCs/>
                      <w:color w:val="000000"/>
                      <w:sz w:val="22"/>
                      <w:szCs w:val="22"/>
                      <w:u w:val="single"/>
                      <w:lang w:val="en-GB" w:eastAsia="en-GB"/>
                    </w:rPr>
                  </w:pPr>
                  <w:r>
                    <w:rPr>
                      <w:rFonts w:cs="Dubai"/>
                      <w:b/>
                      <w:bCs/>
                      <w:color w:val="000000"/>
                      <w:sz w:val="22"/>
                      <w:szCs w:val="22"/>
                      <w:u w:val="single"/>
                      <w:lang w:val="en-GB" w:eastAsia="en-GB"/>
                    </w:rPr>
                    <w:t>AL REEM OPTION stations</w:t>
                  </w:r>
                </w:p>
              </w:tc>
            </w:tr>
            <w:tr>
              <w:trPr>
                <w:trHeight w:val="300" w:hRule="atLeast"/>
              </w:trPr>
              <w:tc>
                <w:tcPr>
                  <w:tcW w:w="1219"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ADR AL REEM (CD)</w:t>
                  </w:r>
                </w:p>
              </w:tc>
              <w:tc>
                <w:tcPr>
                  <w:tcW w:w="120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themeColor="text1" w:val="000000"/>
                      <w:sz w:val="22"/>
                      <w:szCs w:val="22"/>
                      <w:lang w:val="en-GB" w:eastAsia="en-GB"/>
                    </w:rPr>
                  </w:pPr>
                  <w:r>
                    <w:rPr>
                      <w:rFonts w:cs="Dubai"/>
                      <w:color w:themeColor="text1" w:val="000000"/>
                      <w:sz w:val="22"/>
                      <w:szCs w:val="22"/>
                      <w:lang w:val="en-GB" w:eastAsia="en-GB"/>
                    </w:rPr>
                    <w:t xml:space="preserve">Rev. 00 </w:t>
                  </w:r>
                </w:p>
                <w:p>
                  <w:pPr>
                    <w:pStyle w:val="Normal"/>
                    <w:suppressAutoHyphens w:val="false"/>
                    <w:rPr>
                      <w:rFonts w:cs="Dubai"/>
                      <w:color w:val="000000"/>
                      <w:sz w:val="22"/>
                      <w:szCs w:val="22"/>
                      <w:lang w:val="en-GB" w:eastAsia="en-GB"/>
                    </w:rPr>
                  </w:pPr>
                  <w:r>
                    <w:rPr>
                      <w:rFonts w:cs="Dubai"/>
                      <w:color w:val="000000"/>
                      <w:sz w:val="22"/>
                      <w:szCs w:val="22"/>
                      <w:lang w:val="en-GB" w:eastAsia="en-GB"/>
                    </w:rPr>
                  </w:r>
                </w:p>
              </w:tc>
              <w:tc>
                <w:tcPr>
                  <w:tcW w:w="228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themeColor="text1" w:val="000000"/>
                      <w:sz w:val="22"/>
                      <w:szCs w:val="22"/>
                      <w:lang w:val="en-GB" w:eastAsia="en-GB"/>
                    </w:rPr>
                    <w:t>CODE 5 (08/03)</w:t>
                  </w:r>
                </w:p>
              </w:tc>
            </w:tr>
            <w:tr>
              <w:trPr>
                <w:trHeight w:val="300" w:hRule="atLeast"/>
              </w:trPr>
              <w:tc>
                <w:tcPr>
                  <w:tcW w:w="1219"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ADS – AL REEM</w:t>
                  </w:r>
                </w:p>
              </w:tc>
              <w:tc>
                <w:tcPr>
                  <w:tcW w:w="120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themeColor="text1" w:val="000000"/>
                      <w:sz w:val="22"/>
                      <w:szCs w:val="22"/>
                      <w:lang w:val="en-GB" w:eastAsia="en-GB"/>
                    </w:rPr>
                  </w:pPr>
                  <w:r>
                    <w:rPr>
                      <w:rFonts w:cs="Dubai"/>
                      <w:color w:themeColor="text1" w:val="000000"/>
                      <w:sz w:val="22"/>
                      <w:szCs w:val="22"/>
                      <w:lang w:val="en-GB" w:eastAsia="en-GB"/>
                    </w:rPr>
                    <w:t>Rev. 00</w:t>
                  </w:r>
                </w:p>
                <w:p>
                  <w:pPr>
                    <w:pStyle w:val="Normal"/>
                    <w:suppressAutoHyphens w:val="false"/>
                    <w:rPr>
                      <w:rFonts w:cs="Dubai"/>
                      <w:color w:val="000000"/>
                      <w:sz w:val="22"/>
                      <w:szCs w:val="22"/>
                      <w:lang w:val="en-GB" w:eastAsia="en-GB"/>
                    </w:rPr>
                  </w:pPr>
                  <w:r>
                    <w:rPr>
                      <w:rFonts w:cs="Dubai"/>
                      <w:color w:val="000000"/>
                      <w:sz w:val="22"/>
                      <w:szCs w:val="22"/>
                      <w:lang w:val="en-GB" w:eastAsia="en-GB"/>
                    </w:rPr>
                  </w:r>
                </w:p>
              </w:tc>
              <w:tc>
                <w:tcPr>
                  <w:tcW w:w="228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themeColor="text1" w:val="000000"/>
                      <w:sz w:val="22"/>
                      <w:szCs w:val="22"/>
                      <w:lang w:val="en-GB" w:eastAsia="en-GB"/>
                    </w:rPr>
                    <w:t>CODE 5 (17/03)</w:t>
                  </w:r>
                </w:p>
              </w:tc>
            </w:tr>
          </w:tbl>
          <w:p>
            <w:pPr>
              <w:pStyle w:val="Normal"/>
              <w:widowControl/>
              <w:suppressAutoHyphens w:val="true"/>
              <w:spacing w:before="0" w:after="0"/>
              <w:jc w:val="both"/>
              <w:rPr>
                <w:rFonts w:eastAsia="Calibri" w:cs="Dubai"/>
                <w:color w:themeColor="text1" w:val="000000"/>
                <w:sz w:val="22"/>
                <w:szCs w:val="22"/>
              </w:rPr>
            </w:pPr>
            <w:r>
              <w:rPr>
                <w:rFonts w:eastAsia="Calibri" w:cs="Dubai"/>
                <w:color w:themeColor="text1" w:val="000000"/>
                <w:kern w:val="0"/>
                <w:sz w:val="22"/>
                <w:szCs w:val="22"/>
                <w:lang w:val="en-US" w:eastAsia="en-US" w:bidi="ar-SA"/>
              </w:rPr>
            </w:r>
          </w:p>
        </w:tc>
        <w:tc>
          <w:tcPr>
            <w:tcW w:w="850" w:type="dxa"/>
            <w:tcBorders/>
          </w:tcPr>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Note</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bCs/>
                <w:lang w:val="pt-BR"/>
              </w:rPr>
            </w:pPr>
            <w:r>
              <w:rPr>
                <w:rFonts w:eastAsia="Calibri"/>
                <w:bCs/>
                <w:kern w:val="0"/>
                <w:sz w:val="22"/>
                <w:szCs w:val="22"/>
                <w:lang w:val="pt-BR" w:eastAsia="en-US" w:bidi="ar-SA"/>
              </w:rPr>
            </w:r>
          </w:p>
        </w:tc>
        <w:tc>
          <w:tcPr>
            <w:tcW w:w="1278" w:type="dxa"/>
            <w:tcBorders/>
          </w:tcPr>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r>
          </w:p>
        </w:tc>
      </w:tr>
      <w:tr>
        <w:trPr>
          <w:trHeight w:val="300" w:hRule="atLeast"/>
        </w:trPr>
        <w:tc>
          <w:tcPr>
            <w:tcW w:w="1400" w:type="dxa"/>
            <w:tcBorders/>
            <w:vAlign w:val="center"/>
          </w:tcPr>
          <w:p>
            <w:pPr>
              <w:pStyle w:val="TableLineNumbering"/>
              <w:widowControl w:val="false"/>
              <w:numPr>
                <w:ilvl w:val="0"/>
                <w:numId w:val="0"/>
              </w:numPr>
              <w:suppressAutoHyphens w:val="true"/>
              <w:spacing w:before="0" w:after="0"/>
              <w:ind w:hanging="360" w:start="360"/>
              <w:jc w:val="start"/>
              <w:rPr>
                <w:kern w:val="0"/>
                <w:lang w:val="en-US" w:eastAsia="en-US" w:bidi="ar-SA"/>
              </w:rPr>
            </w:pPr>
            <w:r>
              <w:rPr>
                <w:kern w:val="0"/>
                <w:lang w:val="en-US" w:eastAsia="en-US" w:bidi="ar-SA"/>
              </w:rPr>
            </w:r>
          </w:p>
        </w:tc>
        <w:tc>
          <w:tcPr>
            <w:tcW w:w="1871" w:type="dxa"/>
            <w:tcBorders/>
            <w:vAlign w:val="center"/>
          </w:tcPr>
          <w:p>
            <w:pPr>
              <w:pStyle w:val="TableText"/>
              <w:widowControl w:val="false"/>
              <w:suppressAutoHyphens w:val="true"/>
              <w:spacing w:before="0" w:after="0"/>
              <w:jc w:val="start"/>
              <w:rPr>
                <w:bCs/>
              </w:rPr>
            </w:pPr>
            <w:r>
              <w:rPr>
                <w:rFonts w:eastAsia="Calibri"/>
                <w:bCs/>
                <w:kern w:val="0"/>
                <w:sz w:val="22"/>
                <w:szCs w:val="22"/>
                <w:lang w:val="en-US" w:eastAsia="en-US" w:bidi="ar-SA"/>
              </w:rPr>
            </w:r>
          </w:p>
        </w:tc>
        <w:tc>
          <w:tcPr>
            <w:tcW w:w="5527" w:type="dxa"/>
            <w:tcBorders/>
          </w:tcPr>
          <w:p>
            <w:pPr>
              <w:pStyle w:val="Normal"/>
              <w:widowControl w:val="false"/>
              <w:suppressAutoHyphens w:val="true"/>
              <w:spacing w:before="0" w:after="0"/>
              <w:jc w:val="both"/>
              <w:rPr>
                <w:rFonts w:cs="Dubai"/>
                <w:sz w:val="22"/>
                <w:szCs w:val="22"/>
                <w:u w:val="single"/>
              </w:rPr>
            </w:pPr>
            <w:r>
              <w:rPr>
                <w:rFonts w:cs="Dubai"/>
                <w:kern w:val="0"/>
                <w:sz w:val="22"/>
                <w:szCs w:val="22"/>
                <w:u w:val="single"/>
                <w:lang w:val="en-US" w:eastAsia="en-US" w:bidi="ar-SA"/>
              </w:rPr>
              <w:t>Station design status:</w:t>
            </w:r>
          </w:p>
          <w:tbl>
            <w:tblPr>
              <w:tblW w:w="4747" w:type="dxa"/>
              <w:jc w:val="start"/>
              <w:tblInd w:w="0" w:type="dxa"/>
              <w:tblLayout w:type="fixed"/>
              <w:tblCellMar>
                <w:top w:w="0" w:type="dxa"/>
                <w:start w:w="108" w:type="dxa"/>
                <w:bottom w:w="0" w:type="dxa"/>
                <w:end w:w="108" w:type="dxa"/>
              </w:tblCellMar>
              <w:tblLook w:firstRow="1" w:noVBand="1" w:lastRow="0" w:firstColumn="1" w:lastColumn="0" w:noHBand="0" w:val="04a0"/>
            </w:tblPr>
            <w:tblGrid>
              <w:gridCol w:w="1322"/>
              <w:gridCol w:w="2105"/>
              <w:gridCol w:w="1320"/>
            </w:tblGrid>
            <w:tr>
              <w:trPr>
                <w:trHeight w:val="564" w:hRule="atLeast"/>
              </w:trPr>
              <w:tc>
                <w:tcPr>
                  <w:tcW w:w="132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b/>
                      <w:color w:val="000000"/>
                      <w:sz w:val="22"/>
                      <w:szCs w:val="22"/>
                      <w:lang w:val="en-GB" w:eastAsia="en-GB"/>
                    </w:rPr>
                  </w:pPr>
                  <w:r>
                    <w:rPr>
                      <w:rFonts w:cs="Dubai"/>
                      <w:b/>
                      <w:color w:val="000000"/>
                      <w:sz w:val="22"/>
                      <w:szCs w:val="22"/>
                      <w:lang w:val="en-GB" w:eastAsia="en-GB"/>
                    </w:rPr>
                    <w:t>Station</w:t>
                  </w:r>
                </w:p>
              </w:tc>
              <w:tc>
                <w:tcPr>
                  <w:tcW w:w="2105" w:type="dxa"/>
                  <w:tcBorders>
                    <w:top w:val="single" w:sz="4" w:space="0" w:color="000000"/>
                    <w:bottom w:val="single" w:sz="4" w:space="0" w:color="000000"/>
                    <w:end w:val="single" w:sz="4" w:space="0" w:color="000000"/>
                  </w:tcBorders>
                  <w:shd w:color="auto" w:fill="auto" w:val="clear"/>
                </w:tcPr>
                <w:p>
                  <w:pPr>
                    <w:pStyle w:val="Normal"/>
                    <w:suppressAutoHyphens w:val="false"/>
                    <w:rPr>
                      <w:rFonts w:cs="Dubai"/>
                      <w:b/>
                      <w:color w:val="000000"/>
                      <w:sz w:val="22"/>
                      <w:szCs w:val="22"/>
                      <w:lang w:val="en-GB" w:eastAsia="en-GB"/>
                    </w:rPr>
                  </w:pPr>
                  <w:r>
                    <w:rPr>
                      <w:rFonts w:cs="Dubai"/>
                      <w:b/>
                      <w:color w:val="000000"/>
                      <w:sz w:val="22"/>
                      <w:szCs w:val="22"/>
                      <w:lang w:val="en-GB" w:eastAsia="en-GB"/>
                    </w:rPr>
                    <w:t>Status</w:t>
                  </w:r>
                </w:p>
              </w:tc>
              <w:tc>
                <w:tcPr>
                  <w:tcW w:w="1320" w:type="dxa"/>
                  <w:tcBorders>
                    <w:top w:val="single" w:sz="4" w:space="0" w:color="000000"/>
                    <w:bottom w:val="single" w:sz="4" w:space="0" w:color="000000"/>
                    <w:end w:val="single" w:sz="4" w:space="0" w:color="000000"/>
                  </w:tcBorders>
                  <w:shd w:color="auto" w:fill="auto" w:val="clear"/>
                </w:tcPr>
                <w:p>
                  <w:pPr>
                    <w:pStyle w:val="Normal"/>
                    <w:suppressAutoHyphens w:val="false"/>
                    <w:rPr>
                      <w:rFonts w:cs="Dubai"/>
                      <w:b/>
                      <w:color w:val="000000"/>
                      <w:sz w:val="22"/>
                      <w:szCs w:val="22"/>
                      <w:lang w:val="en-GB" w:eastAsia="en-GB"/>
                    </w:rPr>
                  </w:pPr>
                  <w:r>
                    <w:rPr>
                      <w:rFonts w:cs="Dubai"/>
                      <w:b/>
                      <w:color w:val="000000"/>
                      <w:sz w:val="22"/>
                      <w:szCs w:val="22"/>
                      <w:lang w:val="en-GB" w:eastAsia="en-GB"/>
                    </w:rPr>
                    <w:t>Date</w:t>
                  </w:r>
                </w:p>
              </w:tc>
            </w:tr>
            <w:tr>
              <w:trPr>
                <w:trHeight w:val="445" w:hRule="atLeast"/>
              </w:trPr>
              <w:tc>
                <w:tcPr>
                  <w:tcW w:w="4747" w:type="dxa"/>
                  <w:gridSpan w:val="3"/>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b/>
                      <w:bCs/>
                      <w:color w:val="000000"/>
                      <w:sz w:val="22"/>
                      <w:szCs w:val="22"/>
                      <w:lang w:val="en-GB" w:eastAsia="en-GB"/>
                    </w:rPr>
                  </w:pPr>
                  <w:r>
                    <w:rPr>
                      <w:rFonts w:cs="Dubai"/>
                      <w:b/>
                      <w:bCs/>
                      <w:color w:val="000000"/>
                      <w:sz w:val="22"/>
                      <w:szCs w:val="22"/>
                      <w:lang w:val="en-GB" w:eastAsia="en-GB"/>
                    </w:rPr>
                    <w:t>ADT (OP.1)</w:t>
                  </w:r>
                </w:p>
              </w:tc>
            </w:tr>
            <w:tr>
              <w:trPr>
                <w:trHeight w:val="816" w:hRule="atLeast"/>
              </w:trPr>
              <w:tc>
                <w:tcPr>
                  <w:tcW w:w="1322" w:type="dxa"/>
                  <w:tcBorders>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AT + ROADS drawings</w:t>
                  </w:r>
                </w:p>
              </w:tc>
              <w:tc>
                <w:tcPr>
                  <w:tcW w:w="2105" w:type="dxa"/>
                  <w:tcBorders>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Rev AB- CODE 2 ** (29/10)</w:t>
                  </w:r>
                </w:p>
                <w:p>
                  <w:pPr>
                    <w:pStyle w:val="Normal"/>
                    <w:suppressAutoHyphens w:val="false"/>
                    <w:rPr>
                      <w:rFonts w:cs="Dubai"/>
                      <w:color w:val="000000"/>
                      <w:sz w:val="22"/>
                      <w:szCs w:val="22"/>
                      <w:lang w:val="en-GB" w:eastAsia="en-GB"/>
                    </w:rPr>
                  </w:pPr>
                  <w:r>
                    <w:rPr>
                      <w:rFonts w:cs="Dubai"/>
                      <w:color w:val="000000"/>
                      <w:sz w:val="22"/>
                      <w:szCs w:val="22"/>
                      <w:lang w:val="en-GB" w:eastAsia="en-GB"/>
                    </w:rPr>
                    <w:t>Rev – AE -AMENDMENT of lobby + MEP area sifted – SUBMITTED AS ADDITIONAL 22/01 – CODE 2 **</w:t>
                  </w:r>
                </w:p>
                <w:p>
                  <w:pPr>
                    <w:pStyle w:val="Normal"/>
                    <w:suppressAutoHyphens w:val="false"/>
                    <w:rPr>
                      <w:rFonts w:cs="Dubai"/>
                      <w:color w:val="000000"/>
                      <w:sz w:val="22"/>
                      <w:szCs w:val="22"/>
                      <w:lang w:val="en-GB" w:eastAsia="en-GB"/>
                    </w:rPr>
                  </w:pPr>
                  <w:r>
                    <w:rPr>
                      <w:rFonts w:cs="Dubai"/>
                      <w:color w:val="000000"/>
                      <w:sz w:val="22"/>
                      <w:szCs w:val="22"/>
                      <w:lang w:val="en-GB" w:eastAsia="en-GB"/>
                    </w:rPr>
                  </w:r>
                </w:p>
              </w:tc>
              <w:tc>
                <w:tcPr>
                  <w:tcW w:w="1320" w:type="dxa"/>
                  <w:tcBorders>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AF version submitted 23/05</w:t>
                  </w:r>
                </w:p>
              </w:tc>
            </w:tr>
            <w:tr>
              <w:trPr>
                <w:trHeight w:val="558" w:hRule="atLeast"/>
              </w:trPr>
              <w:tc>
                <w:tcPr>
                  <w:tcW w:w="1322" w:type="dxa"/>
                  <w:tcBorders>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AT report</w:t>
                  </w:r>
                </w:p>
              </w:tc>
              <w:tc>
                <w:tcPr>
                  <w:tcW w:w="2105" w:type="dxa"/>
                  <w:tcBorders>
                    <w:bottom w:val="single" w:sz="4" w:space="0" w:color="000000"/>
                    <w:end w:val="single" w:sz="4" w:space="0" w:color="000000"/>
                  </w:tcBorders>
                  <w:shd w:color="auto" w:fill="auto" w:val="clear"/>
                </w:tcPr>
                <w:p>
                  <w:pPr>
                    <w:pStyle w:val="Normal"/>
                    <w:suppressAutoHyphens w:val="false"/>
                    <w:rPr>
                      <w:rFonts w:cs="Dubai"/>
                      <w:color w:val="000000"/>
                      <w:sz w:val="22"/>
                      <w:szCs w:val="22"/>
                      <w:lang w:val="fr-FR" w:eastAsia="en-GB"/>
                    </w:rPr>
                  </w:pPr>
                  <w:r>
                    <w:rPr>
                      <w:rFonts w:cs="Dubai"/>
                      <w:color w:val="000000"/>
                      <w:sz w:val="22"/>
                      <w:szCs w:val="22"/>
                      <w:lang w:val="fr-FR" w:eastAsia="en-GB"/>
                    </w:rPr>
                    <w:t>Rev AC – CODE 2 ** (16/12)</w:t>
                  </w:r>
                </w:p>
              </w:tc>
              <w:tc>
                <w:tcPr>
                  <w:tcW w:w="1320" w:type="dxa"/>
                  <w:tcBorders>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AD version submitted 26/05</w:t>
                  </w:r>
                </w:p>
              </w:tc>
            </w:tr>
            <w:tr>
              <w:trPr>
                <w:trHeight w:val="193" w:hRule="atLeast"/>
              </w:trPr>
              <w:tc>
                <w:tcPr>
                  <w:tcW w:w="4747" w:type="dxa"/>
                  <w:gridSpan w:val="3"/>
                  <w:tcBorders>
                    <w:start w:val="single" w:sz="4" w:space="0" w:color="000000"/>
                    <w:bottom w:val="single" w:sz="4" w:space="0" w:color="000000"/>
                    <w:end w:val="single" w:sz="4" w:space="0" w:color="000000"/>
                  </w:tcBorders>
                  <w:shd w:color="auto" w:fill="auto" w:val="clear"/>
                </w:tcPr>
                <w:p>
                  <w:pPr>
                    <w:pStyle w:val="Normal"/>
                    <w:suppressAutoHyphens w:val="false"/>
                    <w:rPr>
                      <w:rFonts w:cs="Dubai"/>
                      <w:b/>
                      <w:bCs/>
                      <w:color w:val="000000"/>
                      <w:sz w:val="22"/>
                      <w:szCs w:val="22"/>
                      <w:lang w:val="en-GB" w:eastAsia="en-GB"/>
                    </w:rPr>
                  </w:pPr>
                  <w:r>
                    <w:rPr>
                      <w:rFonts w:cs="Dubai"/>
                      <w:b/>
                      <w:bCs/>
                      <w:color w:val="000000"/>
                      <w:sz w:val="22"/>
                      <w:szCs w:val="22"/>
                      <w:lang w:val="en-GB" w:eastAsia="en-GB"/>
                    </w:rPr>
                    <w:t>ADS (OP.1)</w:t>
                  </w:r>
                </w:p>
              </w:tc>
            </w:tr>
            <w:tr>
              <w:trPr>
                <w:trHeight w:val="1129" w:hRule="atLeast"/>
              </w:trPr>
              <w:tc>
                <w:tcPr>
                  <w:tcW w:w="1322" w:type="dxa"/>
                  <w:tcBorders>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 xml:space="preserve">AT + ROADS drawings </w:t>
                  </w:r>
                </w:p>
              </w:tc>
              <w:tc>
                <w:tcPr>
                  <w:tcW w:w="2105" w:type="dxa"/>
                  <w:tcBorders>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themeColor="text1" w:val="000000"/>
                      <w:sz w:val="22"/>
                      <w:szCs w:val="22"/>
                      <w:lang w:val="en-GB" w:eastAsia="en-GB"/>
                    </w:rPr>
                    <w:t>Rev AD – CODE 2 (14/05)</w:t>
                  </w:r>
                </w:p>
              </w:tc>
              <w:tc>
                <w:tcPr>
                  <w:tcW w:w="1320" w:type="dxa"/>
                  <w:tcBorders>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Minor issues to be resolved</w:t>
                  </w:r>
                </w:p>
              </w:tc>
            </w:tr>
            <w:tr>
              <w:trPr>
                <w:trHeight w:val="1129" w:hRule="atLeast"/>
              </w:trPr>
              <w:tc>
                <w:tcPr>
                  <w:tcW w:w="1322" w:type="dxa"/>
                  <w:tcBorders>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AT report</w:t>
                  </w:r>
                </w:p>
              </w:tc>
              <w:tc>
                <w:tcPr>
                  <w:tcW w:w="2105" w:type="dxa"/>
                  <w:tcBorders>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Ver. AA - CODE 2</w:t>
                  </w:r>
                </w:p>
                <w:p>
                  <w:pPr>
                    <w:pStyle w:val="Normal"/>
                    <w:suppressAutoHyphens w:val="false"/>
                    <w:rPr>
                      <w:rFonts w:cs="Dubai"/>
                      <w:color w:val="000000"/>
                      <w:sz w:val="22"/>
                      <w:szCs w:val="22"/>
                      <w:lang w:val="en-GB" w:eastAsia="en-GB"/>
                    </w:rPr>
                  </w:pPr>
                  <w:r>
                    <w:rPr>
                      <w:rFonts w:cs="Dubai"/>
                      <w:color w:val="000000"/>
                      <w:sz w:val="22"/>
                      <w:szCs w:val="22"/>
                      <w:lang w:val="en-GB" w:eastAsia="en-GB"/>
                    </w:rPr>
                  </w:r>
                </w:p>
              </w:tc>
              <w:tc>
                <w:tcPr>
                  <w:tcW w:w="1320" w:type="dxa"/>
                  <w:tcBorders>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AB version submitted     12/05</w:t>
                  </w:r>
                </w:p>
                <w:p>
                  <w:pPr>
                    <w:pStyle w:val="Normal"/>
                    <w:suppressAutoHyphens w:val="false"/>
                    <w:rPr>
                      <w:rFonts w:cs="Dubai"/>
                      <w:color w:val="000000"/>
                      <w:sz w:val="22"/>
                      <w:szCs w:val="22"/>
                      <w:lang w:val="en-GB" w:eastAsia="en-GB"/>
                    </w:rPr>
                  </w:pPr>
                  <w:r>
                    <w:rPr>
                      <w:rFonts w:cs="Dubai"/>
                      <w:color w:val="000000"/>
                      <w:sz w:val="22"/>
                      <w:szCs w:val="22"/>
                      <w:lang w:val="en-GB" w:eastAsia="en-GB"/>
                    </w:rPr>
                  </w:r>
                </w:p>
              </w:tc>
            </w:tr>
            <w:tr>
              <w:trPr>
                <w:trHeight w:val="327" w:hRule="atLeast"/>
              </w:trPr>
              <w:tc>
                <w:tcPr>
                  <w:tcW w:w="4747" w:type="dxa"/>
                  <w:gridSpan w:val="3"/>
                  <w:tcBorders>
                    <w:start w:val="single" w:sz="4" w:space="0" w:color="000000"/>
                    <w:bottom w:val="single" w:sz="4" w:space="0" w:color="000000"/>
                    <w:end w:val="single" w:sz="4" w:space="0" w:color="000000"/>
                  </w:tcBorders>
                  <w:shd w:color="auto" w:fill="auto" w:val="clear"/>
                </w:tcPr>
                <w:p>
                  <w:pPr>
                    <w:pStyle w:val="Normal"/>
                    <w:suppressAutoHyphens w:val="false"/>
                    <w:rPr>
                      <w:rFonts w:cs="Dubai"/>
                      <w:b/>
                      <w:bCs/>
                      <w:color w:val="000000"/>
                      <w:sz w:val="22"/>
                      <w:szCs w:val="22"/>
                      <w:lang w:val="en-GB" w:eastAsia="en-GB"/>
                    </w:rPr>
                  </w:pPr>
                  <w:r>
                    <w:rPr>
                      <w:rFonts w:cs="Dubai"/>
                      <w:b/>
                      <w:bCs/>
                      <w:color w:val="000000"/>
                      <w:sz w:val="22"/>
                      <w:szCs w:val="22"/>
                      <w:lang w:val="en-GB" w:eastAsia="en-GB"/>
                    </w:rPr>
                    <w:t>YAS</w:t>
                  </w:r>
                </w:p>
              </w:tc>
            </w:tr>
            <w:tr>
              <w:trPr>
                <w:trHeight w:val="1129" w:hRule="atLeast"/>
              </w:trPr>
              <w:tc>
                <w:tcPr>
                  <w:tcW w:w="1322" w:type="dxa"/>
                  <w:tcBorders>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AT + ROADS drawings</w:t>
                  </w:r>
                </w:p>
              </w:tc>
              <w:tc>
                <w:tcPr>
                  <w:tcW w:w="2105" w:type="dxa"/>
                  <w:tcBorders>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Rev. AE –review 06/05 (CODE 2)</w:t>
                  </w:r>
                </w:p>
                <w:p>
                  <w:pPr>
                    <w:pStyle w:val="Normal"/>
                    <w:suppressAutoHyphens w:val="false"/>
                    <w:rPr>
                      <w:rFonts w:cs="Dubai"/>
                      <w:color w:val="000000"/>
                      <w:sz w:val="22"/>
                      <w:szCs w:val="22"/>
                      <w:lang w:val="en-GB" w:eastAsia="en-GB"/>
                    </w:rPr>
                  </w:pPr>
                  <w:r>
                    <w:rPr>
                      <w:rFonts w:cs="Dubai"/>
                      <w:color w:val="000000"/>
                      <w:sz w:val="22"/>
                      <w:szCs w:val="22"/>
                      <w:lang w:val="en-GB" w:eastAsia="en-GB"/>
                    </w:rPr>
                  </w:r>
                </w:p>
              </w:tc>
              <w:tc>
                <w:tcPr>
                  <w:tcW w:w="1320" w:type="dxa"/>
                  <w:tcBorders>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 xml:space="preserve">*Main pending issue </w:t>
                  </w:r>
                </w:p>
                <w:p>
                  <w:pPr>
                    <w:pStyle w:val="Normal"/>
                    <w:suppressAutoHyphens w:val="false"/>
                    <w:rPr>
                      <w:rFonts w:cs="Dubai"/>
                      <w:color w:val="000000"/>
                      <w:sz w:val="22"/>
                      <w:szCs w:val="22"/>
                      <w:lang w:val="en-GB" w:eastAsia="en-GB"/>
                    </w:rPr>
                  </w:pPr>
                  <w:r>
                    <w:rPr>
                      <w:rFonts w:cs="Dubai"/>
                      <w:color w:val="000000"/>
                      <w:sz w:val="22"/>
                      <w:szCs w:val="22"/>
                      <w:lang w:val="en-GB" w:eastAsia="en-GB"/>
                    </w:rPr>
                    <w:t xml:space="preserve">is about station platforms </w:t>
                  </w:r>
                </w:p>
                <w:p>
                  <w:pPr>
                    <w:pStyle w:val="Normal"/>
                    <w:suppressAutoHyphens w:val="false"/>
                    <w:rPr>
                      <w:rFonts w:cs="Dubai"/>
                      <w:color w:val="000000"/>
                      <w:sz w:val="22"/>
                      <w:szCs w:val="22"/>
                      <w:lang w:val="en-GB" w:eastAsia="en-GB"/>
                    </w:rPr>
                  </w:pPr>
                  <w:r>
                    <w:rPr>
                      <w:rFonts w:cs="Dubai"/>
                      <w:color w:val="000000"/>
                      <w:sz w:val="22"/>
                      <w:szCs w:val="22"/>
                      <w:lang w:val="en-GB" w:eastAsia="en-GB"/>
                    </w:rPr>
                    <w:t>evacuation</w:t>
                  </w:r>
                </w:p>
              </w:tc>
            </w:tr>
            <w:tr>
              <w:trPr>
                <w:trHeight w:val="419" w:hRule="atLeast"/>
              </w:trPr>
              <w:tc>
                <w:tcPr>
                  <w:tcW w:w="1322" w:type="dxa"/>
                  <w:tcBorders>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AT report</w:t>
                  </w:r>
                </w:p>
              </w:tc>
              <w:tc>
                <w:tcPr>
                  <w:tcW w:w="2105" w:type="dxa"/>
                  <w:tcBorders>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Rev. AB - CODE 2</w:t>
                  </w:r>
                </w:p>
              </w:tc>
              <w:tc>
                <w:tcPr>
                  <w:tcW w:w="1320" w:type="dxa"/>
                  <w:tcBorders>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AB version submitted    12/05</w:t>
                  </w:r>
                </w:p>
              </w:tc>
            </w:tr>
            <w:tr>
              <w:trPr>
                <w:trHeight w:val="277" w:hRule="atLeast"/>
              </w:trPr>
              <w:tc>
                <w:tcPr>
                  <w:tcW w:w="4747" w:type="dxa"/>
                  <w:gridSpan w:val="3"/>
                  <w:tcBorders>
                    <w:start w:val="single" w:sz="4" w:space="0" w:color="000000"/>
                    <w:bottom w:val="single" w:sz="4" w:space="0" w:color="000000"/>
                    <w:end w:val="single" w:sz="4" w:space="0" w:color="000000"/>
                  </w:tcBorders>
                  <w:shd w:color="auto" w:fill="auto" w:val="clear"/>
                </w:tcPr>
                <w:p>
                  <w:pPr>
                    <w:pStyle w:val="Normal"/>
                    <w:suppressAutoHyphens w:val="false"/>
                    <w:rPr>
                      <w:rFonts w:cs="Dubai"/>
                      <w:b/>
                      <w:bCs/>
                      <w:color w:val="000000"/>
                      <w:sz w:val="22"/>
                      <w:szCs w:val="22"/>
                      <w:lang w:val="en-GB" w:eastAsia="en-GB"/>
                    </w:rPr>
                  </w:pPr>
                  <w:r>
                    <w:rPr>
                      <w:rFonts w:cs="Dubai"/>
                      <w:b/>
                      <w:bCs/>
                      <w:color w:val="000000"/>
                      <w:sz w:val="22"/>
                      <w:szCs w:val="22"/>
                      <w:lang w:val="en-GB" w:eastAsia="en-GB"/>
                    </w:rPr>
                    <w:t>AUH</w:t>
                  </w:r>
                </w:p>
              </w:tc>
            </w:tr>
            <w:tr>
              <w:trPr>
                <w:trHeight w:val="880" w:hRule="atLeast"/>
              </w:trPr>
              <w:tc>
                <w:tcPr>
                  <w:tcW w:w="1322" w:type="dxa"/>
                  <w:tcBorders>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 xml:space="preserve">AT + ROADSdrawings </w:t>
                  </w:r>
                </w:p>
              </w:tc>
              <w:tc>
                <w:tcPr>
                  <w:tcW w:w="2105" w:type="dxa"/>
                  <w:tcBorders>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themeColor="text1" w:val="000000"/>
                      <w:sz w:val="22"/>
                      <w:szCs w:val="22"/>
                      <w:lang w:val="en-GB" w:eastAsia="en-GB"/>
                    </w:rPr>
                    <w:t xml:space="preserve">Rev. AD - CODE 2 ** (26/05) </w:t>
                  </w:r>
                </w:p>
                <w:p>
                  <w:pPr>
                    <w:pStyle w:val="Normal"/>
                    <w:suppressAutoHyphens w:val="false"/>
                    <w:rPr>
                      <w:rFonts w:cs="Dubai"/>
                      <w:color w:val="000000"/>
                      <w:sz w:val="22"/>
                      <w:szCs w:val="22"/>
                      <w:lang w:val="en-GB" w:eastAsia="en-GB"/>
                    </w:rPr>
                  </w:pPr>
                  <w:r>
                    <w:rPr>
                      <w:rFonts w:cs="Dubai"/>
                      <w:color w:val="000000"/>
                      <w:sz w:val="22"/>
                      <w:szCs w:val="22"/>
                      <w:lang w:val="en-GB" w:eastAsia="en-GB"/>
                    </w:rPr>
                  </w:r>
                </w:p>
              </w:tc>
              <w:tc>
                <w:tcPr>
                  <w:tcW w:w="1320" w:type="dxa"/>
                  <w:tcBorders>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meeting for clarification required</w:t>
                  </w:r>
                </w:p>
              </w:tc>
            </w:tr>
            <w:tr>
              <w:trPr>
                <w:trHeight w:val="470" w:hRule="atLeast"/>
              </w:trPr>
              <w:tc>
                <w:tcPr>
                  <w:tcW w:w="1322" w:type="dxa"/>
                  <w:tcBorders>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AT report</w:t>
                  </w:r>
                </w:p>
              </w:tc>
              <w:tc>
                <w:tcPr>
                  <w:tcW w:w="2105" w:type="dxa"/>
                  <w:tcBorders>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Rev. AB - CODE 2 **</w:t>
                  </w:r>
                </w:p>
                <w:p>
                  <w:pPr>
                    <w:pStyle w:val="Normal"/>
                    <w:suppressAutoHyphens w:val="false"/>
                    <w:rPr>
                      <w:rFonts w:cs="Dubai"/>
                      <w:color w:val="000000"/>
                      <w:sz w:val="22"/>
                      <w:szCs w:val="22"/>
                      <w:lang w:val="en-GB" w:eastAsia="en-GB"/>
                    </w:rPr>
                  </w:pPr>
                  <w:r>
                    <w:rPr>
                      <w:rFonts w:cs="Dubai"/>
                      <w:color w:val="000000"/>
                      <w:sz w:val="22"/>
                      <w:szCs w:val="22"/>
                      <w:lang w:val="en-GB" w:eastAsia="en-GB"/>
                    </w:rPr>
                    <w:t>Rev AC (only ROADS update) submitted 29/11/24</w:t>
                  </w:r>
                </w:p>
              </w:tc>
              <w:tc>
                <w:tcPr>
                  <w:tcW w:w="1320" w:type="dxa"/>
                  <w:tcBorders>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AD version submitted 26/05</w:t>
                  </w:r>
                </w:p>
              </w:tc>
            </w:tr>
            <w:tr>
              <w:trPr>
                <w:trHeight w:val="335" w:hRule="atLeast"/>
              </w:trPr>
              <w:tc>
                <w:tcPr>
                  <w:tcW w:w="4747" w:type="dxa"/>
                  <w:gridSpan w:val="3"/>
                  <w:tcBorders>
                    <w:start w:val="single" w:sz="4" w:space="0" w:color="000000"/>
                    <w:bottom w:val="single" w:sz="4" w:space="0" w:color="000000"/>
                    <w:end w:val="single" w:sz="4" w:space="0" w:color="000000"/>
                  </w:tcBorders>
                  <w:shd w:color="auto" w:fill="auto" w:val="clear"/>
                </w:tcPr>
                <w:p>
                  <w:pPr>
                    <w:pStyle w:val="Normal"/>
                    <w:suppressAutoHyphens w:val="false"/>
                    <w:rPr>
                      <w:rFonts w:cs="Dubai"/>
                      <w:b/>
                      <w:bCs/>
                      <w:color w:val="000000"/>
                      <w:sz w:val="22"/>
                      <w:szCs w:val="22"/>
                      <w:lang w:val="en-GB" w:eastAsia="en-GB"/>
                    </w:rPr>
                  </w:pPr>
                  <w:r>
                    <w:rPr>
                      <w:rFonts w:cs="Dubai"/>
                      <w:b/>
                      <w:bCs/>
                      <w:color w:val="000000"/>
                      <w:sz w:val="22"/>
                      <w:szCs w:val="22"/>
                      <w:lang w:val="en-GB" w:eastAsia="en-GB"/>
                    </w:rPr>
                    <w:t xml:space="preserve">DJD – without BOCC + STATION BOX AMENDEMENT </w:t>
                  </w:r>
                </w:p>
                <w:p>
                  <w:pPr>
                    <w:pStyle w:val="Normal"/>
                    <w:suppressAutoHyphens w:val="false"/>
                    <w:rPr>
                      <w:rFonts w:cs="Dubai"/>
                      <w:b/>
                      <w:bCs/>
                      <w:color w:val="000000"/>
                      <w:sz w:val="22"/>
                      <w:szCs w:val="22"/>
                      <w:lang w:val="en-GB" w:eastAsia="en-GB"/>
                    </w:rPr>
                  </w:pPr>
                  <w:r>
                    <w:rPr>
                      <w:rFonts w:cs="Dubai"/>
                      <w:b/>
                      <w:bCs/>
                      <w:color w:val="000000"/>
                      <w:sz w:val="22"/>
                      <w:szCs w:val="22"/>
                      <w:lang w:val="en-GB" w:eastAsia="en-GB"/>
                    </w:rPr>
                    <w:t>due to track cancellation to be shown in Addendum</w:t>
                  </w:r>
                </w:p>
              </w:tc>
            </w:tr>
            <w:tr>
              <w:trPr>
                <w:trHeight w:val="593" w:hRule="atLeast"/>
              </w:trPr>
              <w:tc>
                <w:tcPr>
                  <w:tcW w:w="1322" w:type="dxa"/>
                  <w:tcBorders>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 xml:space="preserve">AT + ROADS drawings </w:t>
                  </w:r>
                </w:p>
              </w:tc>
              <w:tc>
                <w:tcPr>
                  <w:tcW w:w="2105" w:type="dxa"/>
                  <w:tcBorders>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Rev. AF - SUBMITTED 03/02 according to critical comments workshops – CODE 2 **</w:t>
                  </w:r>
                </w:p>
              </w:tc>
              <w:tc>
                <w:tcPr>
                  <w:tcW w:w="1320" w:type="dxa"/>
                  <w:tcBorders>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 xml:space="preserve">AG version submitted </w:t>
                  </w:r>
                </w:p>
                <w:p>
                  <w:pPr>
                    <w:pStyle w:val="Normal"/>
                    <w:suppressAutoHyphens w:val="false"/>
                    <w:rPr>
                      <w:rFonts w:cs="Dubai"/>
                      <w:color w:val="000000"/>
                      <w:sz w:val="22"/>
                      <w:szCs w:val="22"/>
                      <w:lang w:val="en-GB" w:eastAsia="en-GB"/>
                    </w:rPr>
                  </w:pPr>
                  <w:r>
                    <w:rPr>
                      <w:rFonts w:cs="Dubai"/>
                      <w:color w:val="000000"/>
                      <w:sz w:val="22"/>
                      <w:szCs w:val="22"/>
                      <w:lang w:val="en-GB" w:eastAsia="en-GB"/>
                    </w:rPr>
                    <w:t>12/05</w:t>
                  </w:r>
                </w:p>
              </w:tc>
            </w:tr>
            <w:tr>
              <w:trPr>
                <w:trHeight w:val="593" w:hRule="atLeast"/>
              </w:trPr>
              <w:tc>
                <w:tcPr>
                  <w:tcW w:w="1322" w:type="dxa"/>
                  <w:tcBorders>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AT report</w:t>
                  </w:r>
                </w:p>
              </w:tc>
              <w:tc>
                <w:tcPr>
                  <w:tcW w:w="2105" w:type="dxa"/>
                  <w:tcBorders>
                    <w:bottom w:val="single" w:sz="4" w:space="0" w:color="000000"/>
                    <w:end w:val="single" w:sz="4" w:space="0" w:color="000000"/>
                  </w:tcBorders>
                  <w:shd w:color="auto" w:fill="auto" w:val="clear"/>
                </w:tcPr>
                <w:p>
                  <w:pPr>
                    <w:pStyle w:val="Normal"/>
                    <w:suppressAutoHyphens w:val="false"/>
                    <w:rPr>
                      <w:rFonts w:cs="Dubai"/>
                      <w:color w:val="000000"/>
                      <w:sz w:val="22"/>
                      <w:szCs w:val="22"/>
                      <w:lang w:val="fr-FR" w:eastAsia="en-GB"/>
                    </w:rPr>
                  </w:pPr>
                  <w:r>
                    <w:rPr>
                      <w:rFonts w:cs="Dubai"/>
                      <w:color w:val="000000"/>
                      <w:sz w:val="22"/>
                      <w:szCs w:val="22"/>
                      <w:lang w:val="fr-FR" w:eastAsia="en-GB"/>
                    </w:rPr>
                    <w:t>Rev. (AB) - CODE 2 ** (31/10)</w:t>
                  </w:r>
                </w:p>
                <w:p>
                  <w:pPr>
                    <w:pStyle w:val="Normal"/>
                    <w:suppressAutoHyphens w:val="false"/>
                    <w:rPr>
                      <w:rFonts w:cs="Dubai"/>
                      <w:color w:val="000000"/>
                      <w:sz w:val="22"/>
                      <w:szCs w:val="22"/>
                      <w:lang w:val="fr-FR" w:eastAsia="en-GB"/>
                    </w:rPr>
                  </w:pPr>
                  <w:r>
                    <w:rPr>
                      <w:rFonts w:cs="Dubai"/>
                      <w:color w:val="000000"/>
                      <w:sz w:val="22"/>
                      <w:szCs w:val="22"/>
                      <w:lang w:val="fr-FR" w:eastAsia="en-GB"/>
                    </w:rPr>
                    <w:t xml:space="preserve">Rev AC – CODE 2 ** </w:t>
                  </w:r>
                </w:p>
              </w:tc>
              <w:tc>
                <w:tcPr>
                  <w:tcW w:w="1320" w:type="dxa"/>
                  <w:tcBorders>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fr-FR" w:eastAsia="en-GB"/>
                    </w:rPr>
                    <w:t>16/12/24</w:t>
                  </w:r>
                </w:p>
              </w:tc>
            </w:tr>
            <w:tr>
              <w:trPr>
                <w:trHeight w:val="323" w:hRule="atLeast"/>
              </w:trPr>
              <w:tc>
                <w:tcPr>
                  <w:tcW w:w="4747" w:type="dxa"/>
                  <w:gridSpan w:val="3"/>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b/>
                      <w:bCs/>
                      <w:color w:val="000000"/>
                      <w:sz w:val="22"/>
                      <w:szCs w:val="22"/>
                      <w:u w:val="single"/>
                      <w:lang w:val="en-GB" w:eastAsia="en-GB"/>
                    </w:rPr>
                    <w:t>AL REEM OPTION stations</w:t>
                  </w:r>
                </w:p>
              </w:tc>
            </w:tr>
            <w:tr>
              <w:trPr>
                <w:trHeight w:val="593" w:hRule="atLeast"/>
              </w:trPr>
              <w:tc>
                <w:tcPr>
                  <w:tcW w:w="132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 xml:space="preserve">ADR AT </w:t>
                  </w:r>
                </w:p>
              </w:tc>
              <w:tc>
                <w:tcPr>
                  <w:tcW w:w="2105" w:type="dxa"/>
                  <w:tcBorders>
                    <w:top w:val="single" w:sz="4" w:space="0" w:color="000000"/>
                    <w:start w:val="single" w:sz="4" w:space="0" w:color="000000"/>
                    <w:bottom w:val="single" w:sz="4" w:space="0" w:color="000000"/>
                    <w:end w:val="single" w:sz="4" w:space="0" w:color="000000"/>
                  </w:tcBorders>
                  <w:shd w:color="auto" w:fill="auto" w:val="clear"/>
                </w:tcPr>
                <w:p>
                  <w:pPr>
                    <w:pStyle w:val="Normal"/>
                    <w:rPr>
                      <w:rFonts w:cs="Dubai"/>
                      <w:color w:themeColor="text1" w:val="000000"/>
                      <w:sz w:val="22"/>
                      <w:szCs w:val="22"/>
                      <w:lang w:val="en-GB" w:eastAsia="en-GB"/>
                    </w:rPr>
                  </w:pPr>
                  <w:r>
                    <w:rPr>
                      <w:rFonts w:cs="Dubai"/>
                      <w:color w:themeColor="text1" w:val="000000"/>
                      <w:sz w:val="22"/>
                      <w:szCs w:val="22"/>
                      <w:lang w:val="en-GB" w:eastAsia="en-GB"/>
                    </w:rPr>
                    <w:t xml:space="preserve">Ver. AA (PE) </w:t>
                  </w:r>
                </w:p>
                <w:p>
                  <w:pPr>
                    <w:pStyle w:val="ListParagraph"/>
                    <w:numPr>
                      <w:ilvl w:val="0"/>
                      <w:numId w:val="8"/>
                    </w:numPr>
                    <w:rPr>
                      <w:rFonts w:ascii="Dubai" w:hAnsi="Dubai" w:cs="Dubai"/>
                      <w:color w:themeColor="text1" w:val="000000"/>
                      <w:sz w:val="22"/>
                      <w:szCs w:val="22"/>
                      <w:lang w:eastAsia="en-GB"/>
                    </w:rPr>
                  </w:pPr>
                  <w:r>
                    <w:rPr>
                      <w:rFonts w:cs="Dubai" w:ascii="Dubai" w:hAnsi="Dubai"/>
                      <w:color w:themeColor="text1" w:val="000000"/>
                      <w:sz w:val="22"/>
                      <w:szCs w:val="22"/>
                      <w:lang w:eastAsia="en-GB"/>
                    </w:rPr>
                    <w:t>AT drawings</w:t>
                  </w:r>
                </w:p>
                <w:p>
                  <w:pPr>
                    <w:pStyle w:val="ListParagraph"/>
                    <w:rPr>
                      <w:rFonts w:ascii="Dubai" w:hAnsi="Dubai" w:cs="Dubai"/>
                      <w:color w:themeColor="text1" w:val="000000"/>
                      <w:sz w:val="22"/>
                      <w:szCs w:val="22"/>
                      <w:lang w:eastAsia="en-GB"/>
                    </w:rPr>
                  </w:pPr>
                  <w:r>
                    <w:rPr>
                      <w:rFonts w:cs="Dubai" w:ascii="Dubai" w:hAnsi="Dubai"/>
                      <w:color w:themeColor="text1" w:val="000000"/>
                      <w:sz w:val="22"/>
                      <w:szCs w:val="22"/>
                      <w:lang w:eastAsia="en-GB"/>
                    </w:rPr>
                  </w:r>
                </w:p>
                <w:p>
                  <w:pPr>
                    <w:pStyle w:val="ListParagraph"/>
                    <w:numPr>
                      <w:ilvl w:val="0"/>
                      <w:numId w:val="8"/>
                    </w:numPr>
                    <w:rPr>
                      <w:rFonts w:ascii="Dubai" w:hAnsi="Dubai" w:cs="Dubai"/>
                      <w:color w:themeColor="text1" w:val="000000"/>
                      <w:sz w:val="22"/>
                      <w:szCs w:val="22"/>
                      <w:lang w:eastAsia="en-GB"/>
                    </w:rPr>
                  </w:pPr>
                  <w:r>
                    <w:rPr>
                      <w:rFonts w:cs="Dubai" w:ascii="Dubai" w:hAnsi="Dubai"/>
                      <w:color w:themeColor="text1" w:val="000000"/>
                      <w:sz w:val="22"/>
                      <w:szCs w:val="22"/>
                      <w:lang w:eastAsia="en-GB"/>
                    </w:rPr>
                    <w:t>Sizing report</w:t>
                  </w:r>
                </w:p>
                <w:p>
                  <w:pPr>
                    <w:pStyle w:val="ListParagraph"/>
                    <w:rPr>
                      <w:rFonts w:ascii="Dubai" w:hAnsi="Dubai" w:cs="Dubai"/>
                      <w:color w:themeColor="text1" w:val="000000"/>
                      <w:sz w:val="22"/>
                      <w:szCs w:val="22"/>
                      <w:lang w:eastAsia="en-GB"/>
                    </w:rPr>
                  </w:pPr>
                  <w:r>
                    <w:rPr>
                      <w:rFonts w:cs="Dubai" w:ascii="Dubai" w:hAnsi="Dubai"/>
                      <w:color w:themeColor="text1" w:val="000000"/>
                      <w:sz w:val="22"/>
                      <w:szCs w:val="22"/>
                      <w:lang w:eastAsia="en-GB"/>
                    </w:rPr>
                  </w:r>
                </w:p>
                <w:p>
                  <w:pPr>
                    <w:pStyle w:val="ListParagraph"/>
                    <w:numPr>
                      <w:ilvl w:val="0"/>
                      <w:numId w:val="8"/>
                    </w:numPr>
                    <w:spacing w:before="120" w:after="120"/>
                    <w:contextualSpacing/>
                    <w:rPr>
                      <w:rFonts w:ascii="Dubai" w:hAnsi="Dubai" w:cs="Dubai"/>
                      <w:color w:themeColor="text1" w:val="000000"/>
                      <w:sz w:val="22"/>
                      <w:szCs w:val="22"/>
                      <w:lang w:eastAsia="en-GB"/>
                    </w:rPr>
                  </w:pPr>
                  <w:r>
                    <w:rPr>
                      <w:rFonts w:cs="Dubai" w:ascii="Dubai" w:hAnsi="Dubai"/>
                      <w:color w:themeColor="text1" w:val="000000"/>
                      <w:sz w:val="22"/>
                      <w:szCs w:val="22"/>
                      <w:lang w:eastAsia="en-GB"/>
                    </w:rPr>
                    <w:t>AT report</w:t>
                  </w:r>
                </w:p>
              </w:tc>
              <w:tc>
                <w:tcPr>
                  <w:tcW w:w="1320" w:type="dxa"/>
                  <w:tcBorders>
                    <w:top w:val="single" w:sz="4" w:space="0" w:color="000000"/>
                    <w:start w:val="single" w:sz="4" w:space="0" w:color="000000"/>
                    <w:bottom w:val="single" w:sz="4" w:space="0" w:color="000000"/>
                    <w:end w:val="single" w:sz="4" w:space="0" w:color="000000"/>
                  </w:tcBorders>
                  <w:shd w:color="auto" w:fill="auto" w:val="clear"/>
                </w:tcPr>
                <w:p>
                  <w:pPr>
                    <w:pStyle w:val="ListParagraph"/>
                    <w:spacing w:before="120" w:after="120"/>
                    <w:contextualSpacing/>
                    <w:rPr>
                      <w:rFonts w:cs="Dubai"/>
                      <w:color w:val="000000"/>
                      <w:sz w:val="22"/>
                      <w:szCs w:val="22"/>
                      <w:lang w:val="pt-BR" w:eastAsia="en-GB"/>
                    </w:rPr>
                  </w:pPr>
                  <w:r>
                    <w:rPr>
                      <w:rFonts w:cs="Dubai"/>
                      <w:color w:val="000000"/>
                      <w:sz w:val="22"/>
                      <w:szCs w:val="22"/>
                      <w:lang w:val="pt-BR" w:eastAsia="en-GB"/>
                    </w:rPr>
                  </w:r>
                </w:p>
                <w:p>
                  <w:pPr>
                    <w:pStyle w:val="Normal"/>
                    <w:rPr>
                      <w:rFonts w:cs="Dubai"/>
                      <w:color w:themeColor="text1" w:val="000000"/>
                      <w:sz w:val="22"/>
                      <w:szCs w:val="22"/>
                      <w:lang w:eastAsia="en-GB"/>
                    </w:rPr>
                  </w:pPr>
                  <w:r>
                    <w:rPr>
                      <w:rFonts w:cs="Dubai"/>
                      <w:color w:val="000000"/>
                      <w:sz w:val="22"/>
                      <w:szCs w:val="22"/>
                      <w:lang w:val="pt-BR" w:eastAsia="en-GB"/>
                    </w:rPr>
                    <w:t>CODE 2 (07/04)</w:t>
                  </w:r>
                </w:p>
                <w:p>
                  <w:pPr>
                    <w:pStyle w:val="Normal"/>
                    <w:rPr>
                      <w:rFonts w:cs="Dubai"/>
                      <w:color w:themeColor="text1" w:val="000000"/>
                      <w:sz w:val="22"/>
                      <w:szCs w:val="22"/>
                      <w:lang w:eastAsia="en-GB"/>
                    </w:rPr>
                  </w:pPr>
                  <w:r>
                    <w:rPr>
                      <w:rFonts w:cs="Dubai"/>
                      <w:color w:themeColor="text1" w:val="000000"/>
                      <w:sz w:val="22"/>
                      <w:szCs w:val="22"/>
                      <w:lang w:eastAsia="en-GB"/>
                    </w:rPr>
                    <w:t>CODE 2 (04/04)</w:t>
                  </w:r>
                </w:p>
                <w:p>
                  <w:pPr>
                    <w:pStyle w:val="Normal"/>
                    <w:rPr>
                      <w:rFonts w:cs="Dubai"/>
                      <w:color w:val="000000"/>
                      <w:sz w:val="22"/>
                      <w:szCs w:val="22"/>
                      <w:lang w:eastAsia="en-GB"/>
                    </w:rPr>
                  </w:pPr>
                  <w:r>
                    <w:rPr>
                      <w:rFonts w:cs="Dubai"/>
                      <w:color w:themeColor="text1" w:val="000000"/>
                      <w:sz w:val="22"/>
                      <w:szCs w:val="22"/>
                      <w:lang w:eastAsia="en-GB"/>
                    </w:rPr>
                    <w:t>CODE 2 (07/04)</w:t>
                  </w:r>
                </w:p>
              </w:tc>
            </w:tr>
            <w:tr>
              <w:trPr>
                <w:trHeight w:val="593" w:hRule="atLeast"/>
              </w:trPr>
              <w:tc>
                <w:tcPr>
                  <w:tcW w:w="132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 xml:space="preserve">ADS AT </w:t>
                  </w:r>
                </w:p>
              </w:tc>
              <w:tc>
                <w:tcPr>
                  <w:tcW w:w="2105" w:type="dxa"/>
                  <w:tcBorders>
                    <w:top w:val="single" w:sz="4" w:space="0" w:color="000000"/>
                    <w:bottom w:val="single" w:sz="4" w:space="0" w:color="000000"/>
                    <w:end w:val="single" w:sz="4" w:space="0" w:color="000000"/>
                  </w:tcBorders>
                  <w:shd w:color="auto" w:fill="auto" w:val="clear"/>
                </w:tcPr>
                <w:p>
                  <w:pPr>
                    <w:pStyle w:val="Normal"/>
                    <w:suppressAutoHyphens w:val="false"/>
                    <w:rPr>
                      <w:rFonts w:cs="Dubai"/>
                      <w:color w:themeColor="text1" w:val="000000"/>
                      <w:sz w:val="22"/>
                      <w:szCs w:val="22"/>
                      <w:lang w:val="en-GB" w:eastAsia="en-GB"/>
                    </w:rPr>
                  </w:pPr>
                  <w:r>
                    <w:rPr>
                      <w:rFonts w:cs="Dubai"/>
                      <w:color w:themeColor="text1" w:val="000000"/>
                      <w:sz w:val="22"/>
                      <w:szCs w:val="22"/>
                      <w:lang w:val="en-GB" w:eastAsia="en-GB"/>
                    </w:rPr>
                    <w:t xml:space="preserve">Ver. AA (PE) </w:t>
                  </w:r>
                </w:p>
                <w:p>
                  <w:pPr>
                    <w:pStyle w:val="ListParagraph"/>
                    <w:numPr>
                      <w:ilvl w:val="0"/>
                      <w:numId w:val="8"/>
                    </w:numPr>
                    <w:rPr>
                      <w:rFonts w:ascii="Dubai" w:hAnsi="Dubai" w:cs="Dubai"/>
                      <w:color w:themeColor="text1" w:val="000000"/>
                      <w:sz w:val="22"/>
                      <w:szCs w:val="22"/>
                      <w:lang w:eastAsia="en-GB"/>
                    </w:rPr>
                  </w:pPr>
                  <w:r>
                    <w:rPr>
                      <w:rFonts w:cs="Dubai" w:ascii="Dubai" w:hAnsi="Dubai"/>
                      <w:color w:themeColor="text1" w:val="000000"/>
                      <w:sz w:val="22"/>
                      <w:szCs w:val="22"/>
                      <w:lang w:eastAsia="en-GB"/>
                    </w:rPr>
                    <w:t>AT drawings</w:t>
                  </w:r>
                </w:p>
                <w:p>
                  <w:pPr>
                    <w:pStyle w:val="ListParagraph"/>
                    <w:rPr>
                      <w:rFonts w:ascii="Dubai" w:hAnsi="Dubai" w:cs="Dubai"/>
                      <w:color w:themeColor="text1" w:val="000000"/>
                      <w:sz w:val="22"/>
                      <w:szCs w:val="22"/>
                      <w:lang w:eastAsia="en-GB"/>
                    </w:rPr>
                  </w:pPr>
                  <w:r>
                    <w:rPr>
                      <w:rFonts w:cs="Dubai" w:ascii="Dubai" w:hAnsi="Dubai"/>
                      <w:color w:themeColor="text1" w:val="000000"/>
                      <w:sz w:val="22"/>
                      <w:szCs w:val="22"/>
                      <w:lang w:eastAsia="en-GB"/>
                    </w:rPr>
                  </w:r>
                </w:p>
                <w:p>
                  <w:pPr>
                    <w:pStyle w:val="ListParagraph"/>
                    <w:numPr>
                      <w:ilvl w:val="0"/>
                      <w:numId w:val="8"/>
                    </w:numPr>
                    <w:rPr>
                      <w:rFonts w:ascii="Dubai" w:hAnsi="Dubai" w:cs="Dubai"/>
                      <w:color w:themeColor="text1" w:val="000000"/>
                      <w:sz w:val="22"/>
                      <w:szCs w:val="22"/>
                      <w:lang w:eastAsia="en-GB"/>
                    </w:rPr>
                  </w:pPr>
                  <w:r>
                    <w:rPr>
                      <w:rFonts w:cs="Dubai" w:ascii="Dubai" w:hAnsi="Dubai"/>
                      <w:color w:themeColor="text1" w:val="000000"/>
                      <w:sz w:val="22"/>
                      <w:szCs w:val="22"/>
                      <w:lang w:eastAsia="en-GB"/>
                    </w:rPr>
                    <w:t>Sizing report</w:t>
                  </w:r>
                </w:p>
                <w:p>
                  <w:pPr>
                    <w:pStyle w:val="ListParagraph"/>
                    <w:rPr>
                      <w:rFonts w:ascii="Dubai" w:hAnsi="Dubai" w:cs="Dubai"/>
                      <w:color w:themeColor="text1" w:val="000000"/>
                      <w:sz w:val="22"/>
                      <w:szCs w:val="22"/>
                      <w:lang w:eastAsia="en-GB"/>
                    </w:rPr>
                  </w:pPr>
                  <w:r>
                    <w:rPr>
                      <w:rFonts w:cs="Dubai" w:ascii="Dubai" w:hAnsi="Dubai"/>
                      <w:color w:themeColor="text1" w:val="000000"/>
                      <w:sz w:val="22"/>
                      <w:szCs w:val="22"/>
                      <w:lang w:eastAsia="en-GB"/>
                    </w:rPr>
                  </w:r>
                </w:p>
                <w:p>
                  <w:pPr>
                    <w:pStyle w:val="ListParagraph"/>
                    <w:numPr>
                      <w:ilvl w:val="0"/>
                      <w:numId w:val="8"/>
                    </w:numPr>
                    <w:spacing w:before="120" w:after="120"/>
                    <w:contextualSpacing/>
                    <w:rPr>
                      <w:rFonts w:ascii="Dubai" w:hAnsi="Dubai" w:cs="Dubai"/>
                      <w:color w:themeColor="text1" w:val="000000"/>
                      <w:sz w:val="22"/>
                      <w:szCs w:val="22"/>
                      <w:lang w:eastAsia="en-GB"/>
                    </w:rPr>
                  </w:pPr>
                  <w:r>
                    <w:rPr>
                      <w:rFonts w:cs="Dubai" w:ascii="Dubai" w:hAnsi="Dubai"/>
                      <w:color w:themeColor="text1" w:val="000000"/>
                      <w:sz w:val="22"/>
                      <w:szCs w:val="22"/>
                      <w:lang w:eastAsia="en-GB"/>
                    </w:rPr>
                    <w:t>AT report</w:t>
                  </w:r>
                </w:p>
              </w:tc>
              <w:tc>
                <w:tcPr>
                  <w:tcW w:w="1320" w:type="dxa"/>
                  <w:tcBorders>
                    <w:top w:val="single" w:sz="4" w:space="0" w:color="000000"/>
                    <w:bottom w:val="single" w:sz="4" w:space="0" w:color="000000"/>
                    <w:end w:val="single" w:sz="4" w:space="0" w:color="000000"/>
                  </w:tcBorders>
                  <w:shd w:color="auto" w:fill="auto" w:val="clear"/>
                </w:tcPr>
                <w:p>
                  <w:pPr>
                    <w:pStyle w:val="ListParagraph"/>
                    <w:spacing w:before="120" w:after="120"/>
                    <w:contextualSpacing/>
                    <w:rPr>
                      <w:rFonts w:cs="Dubai"/>
                      <w:color w:val="000000"/>
                      <w:sz w:val="22"/>
                      <w:szCs w:val="22"/>
                      <w:lang w:val="pt-BR" w:eastAsia="en-GB"/>
                    </w:rPr>
                  </w:pPr>
                  <w:r>
                    <w:rPr>
                      <w:rFonts w:cs="Dubai"/>
                      <w:color w:val="000000"/>
                      <w:sz w:val="22"/>
                      <w:szCs w:val="22"/>
                      <w:lang w:val="pt-BR" w:eastAsia="en-GB"/>
                    </w:rPr>
                  </w:r>
                </w:p>
                <w:p>
                  <w:pPr>
                    <w:pStyle w:val="Normal"/>
                    <w:jc w:val="both"/>
                    <w:rPr>
                      <w:rFonts w:cs="Dubai"/>
                      <w:color w:val="000000"/>
                      <w:sz w:val="22"/>
                      <w:szCs w:val="22"/>
                      <w:lang w:val="pt-BR" w:eastAsia="en-GB"/>
                    </w:rPr>
                  </w:pPr>
                  <w:r>
                    <w:rPr>
                      <w:rFonts w:cs="Dubai"/>
                      <w:color w:val="000000"/>
                      <w:sz w:val="22"/>
                      <w:szCs w:val="22"/>
                      <w:lang w:val="pt-BR" w:eastAsia="en-GB"/>
                    </w:rPr>
                    <w:t>CODE 2</w:t>
                  </w:r>
                </w:p>
                <w:p>
                  <w:pPr>
                    <w:pStyle w:val="Normal"/>
                    <w:jc w:val="both"/>
                    <w:rPr>
                      <w:rFonts w:cs="Dubai"/>
                      <w:color w:themeColor="text1" w:val="000000"/>
                      <w:sz w:val="22"/>
                      <w:szCs w:val="22"/>
                      <w:lang w:eastAsia="en-GB"/>
                    </w:rPr>
                  </w:pPr>
                  <w:r>
                    <w:rPr>
                      <w:rFonts w:cs="Dubai"/>
                      <w:color w:val="000000"/>
                      <w:sz w:val="22"/>
                      <w:szCs w:val="22"/>
                      <w:lang w:val="pt-BR" w:eastAsia="en-GB"/>
                    </w:rPr>
                    <w:t>(07/04)</w:t>
                  </w:r>
                </w:p>
                <w:p>
                  <w:pPr>
                    <w:pStyle w:val="Normal"/>
                    <w:rPr>
                      <w:rFonts w:cs="Dubai"/>
                      <w:color w:themeColor="text1" w:val="000000"/>
                      <w:sz w:val="22"/>
                      <w:szCs w:val="22"/>
                      <w:lang w:eastAsia="en-GB"/>
                    </w:rPr>
                  </w:pPr>
                  <w:r>
                    <w:rPr>
                      <w:rFonts w:cs="Dubai"/>
                      <w:color w:themeColor="text1" w:val="000000"/>
                      <w:sz w:val="22"/>
                      <w:szCs w:val="22"/>
                      <w:lang w:eastAsia="en-GB"/>
                    </w:rPr>
                    <w:t>CODE 2 (07/04)</w:t>
                  </w:r>
                </w:p>
                <w:p>
                  <w:pPr>
                    <w:pStyle w:val="Normal"/>
                    <w:rPr>
                      <w:rFonts w:cs="Dubai"/>
                      <w:color w:val="000000"/>
                      <w:sz w:val="22"/>
                      <w:szCs w:val="22"/>
                      <w:lang w:eastAsia="en-GB"/>
                    </w:rPr>
                  </w:pPr>
                  <w:r>
                    <w:rPr>
                      <w:rFonts w:cs="Dubai"/>
                      <w:color w:themeColor="text1" w:val="000000"/>
                      <w:sz w:val="22"/>
                      <w:szCs w:val="22"/>
                      <w:lang w:eastAsia="en-GB"/>
                    </w:rPr>
                    <w:t>CODE 2 (07/04)</w:t>
                  </w:r>
                </w:p>
              </w:tc>
            </w:tr>
            <w:tr>
              <w:trPr>
                <w:trHeight w:val="593" w:hRule="atLeast"/>
              </w:trPr>
              <w:tc>
                <w:tcPr>
                  <w:tcW w:w="4747" w:type="dxa"/>
                  <w:gridSpan w:val="3"/>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b/>
                      <w:color w:themeColor="text1" w:val="000000"/>
                      <w:sz w:val="22"/>
                      <w:szCs w:val="22"/>
                      <w:u w:val="single"/>
                    </w:rPr>
                    <w:t>SHA + MKT options + AAN STATIONS</w:t>
                  </w:r>
                </w:p>
              </w:tc>
            </w:tr>
            <w:tr>
              <w:trPr>
                <w:trHeight w:val="593" w:hRule="atLeast"/>
              </w:trPr>
              <w:tc>
                <w:tcPr>
                  <w:tcW w:w="132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SHA station design</w:t>
                  </w:r>
                </w:p>
              </w:tc>
              <w:tc>
                <w:tcPr>
                  <w:tcW w:w="2105" w:type="dxa"/>
                  <w:tcBorders>
                    <w:top w:val="single" w:sz="4" w:space="0" w:color="000000"/>
                    <w:bottom w:val="single" w:sz="4" w:space="0" w:color="000000"/>
                    <w:end w:val="single" w:sz="4" w:space="0" w:color="000000"/>
                  </w:tcBorders>
                  <w:shd w:color="auto" w:fill="auto" w:val="clear"/>
                </w:tcPr>
                <w:p>
                  <w:pPr>
                    <w:pStyle w:val="Normal"/>
                    <w:suppressAutoHyphens w:val="false"/>
                    <w:rPr>
                      <w:rFonts w:cs="Dubai"/>
                      <w:color w:themeColor="text1" w:val="000000"/>
                      <w:sz w:val="22"/>
                      <w:szCs w:val="22"/>
                      <w:lang w:val="en-GB" w:eastAsia="en-GB"/>
                    </w:rPr>
                  </w:pPr>
                  <w:r>
                    <w:rPr>
                      <w:rFonts w:cs="Dubai"/>
                      <w:color w:themeColor="text1" w:val="000000"/>
                      <w:sz w:val="22"/>
                      <w:szCs w:val="22"/>
                      <w:lang w:val="en-GB" w:eastAsia="en-GB"/>
                    </w:rPr>
                    <w:t xml:space="preserve">Ver. AA (PE) </w:t>
                  </w:r>
                </w:p>
                <w:p>
                  <w:pPr>
                    <w:pStyle w:val="ListParagraph"/>
                    <w:numPr>
                      <w:ilvl w:val="0"/>
                      <w:numId w:val="8"/>
                    </w:numPr>
                    <w:rPr>
                      <w:rFonts w:ascii="Dubai" w:hAnsi="Dubai" w:cs="Dubai"/>
                      <w:sz w:val="22"/>
                      <w:szCs w:val="22"/>
                      <w:lang w:eastAsia="en-GB"/>
                    </w:rPr>
                  </w:pPr>
                  <w:r>
                    <w:rPr>
                      <w:rFonts w:cs="Dubai" w:ascii="Dubai" w:hAnsi="Dubai"/>
                      <w:color w:themeColor="text1" w:val="000000"/>
                      <w:sz w:val="22"/>
                      <w:szCs w:val="22"/>
                      <w:lang w:eastAsia="en-GB"/>
                    </w:rPr>
                    <w:t>AT drawings</w:t>
                  </w:r>
                </w:p>
                <w:p>
                  <w:pPr>
                    <w:pStyle w:val="ListParagraph"/>
                    <w:rPr>
                      <w:rFonts w:ascii="Dubai" w:hAnsi="Dubai" w:cs="Dubai"/>
                      <w:sz w:val="22"/>
                      <w:szCs w:val="22"/>
                      <w:lang w:eastAsia="en-GB"/>
                    </w:rPr>
                  </w:pPr>
                  <w:r>
                    <w:rPr>
                      <w:rFonts w:cs="Dubai" w:ascii="Dubai" w:hAnsi="Dubai"/>
                      <w:sz w:val="22"/>
                      <w:szCs w:val="22"/>
                      <w:lang w:eastAsia="en-GB"/>
                    </w:rPr>
                  </w:r>
                </w:p>
                <w:p>
                  <w:pPr>
                    <w:pStyle w:val="ListParagraph"/>
                    <w:numPr>
                      <w:ilvl w:val="0"/>
                      <w:numId w:val="8"/>
                    </w:numPr>
                    <w:rPr>
                      <w:rFonts w:ascii="Dubai" w:hAnsi="Dubai" w:cs="Dubai"/>
                      <w:sz w:val="22"/>
                      <w:szCs w:val="22"/>
                      <w:lang w:eastAsia="en-GB"/>
                    </w:rPr>
                  </w:pPr>
                  <w:r>
                    <w:rPr>
                      <w:rFonts w:cs="Dubai" w:ascii="Dubai" w:hAnsi="Dubai"/>
                      <w:color w:themeColor="text1" w:val="000000"/>
                      <w:sz w:val="22"/>
                      <w:szCs w:val="22"/>
                      <w:lang w:eastAsia="en-GB"/>
                    </w:rPr>
                    <w:t>Sizing report</w:t>
                  </w:r>
                </w:p>
                <w:p>
                  <w:pPr>
                    <w:pStyle w:val="ListParagraph"/>
                    <w:rPr>
                      <w:rFonts w:ascii="Dubai" w:hAnsi="Dubai" w:cs="Dubai"/>
                      <w:sz w:val="22"/>
                      <w:szCs w:val="22"/>
                      <w:lang w:eastAsia="en-GB"/>
                    </w:rPr>
                  </w:pPr>
                  <w:r>
                    <w:rPr>
                      <w:rFonts w:cs="Dubai" w:ascii="Dubai" w:hAnsi="Dubai"/>
                      <w:sz w:val="22"/>
                      <w:szCs w:val="22"/>
                      <w:lang w:eastAsia="en-GB"/>
                    </w:rPr>
                  </w:r>
                </w:p>
                <w:p>
                  <w:pPr>
                    <w:pStyle w:val="ListParagraph"/>
                    <w:numPr>
                      <w:ilvl w:val="0"/>
                      <w:numId w:val="8"/>
                    </w:numPr>
                    <w:spacing w:before="120" w:after="120"/>
                    <w:contextualSpacing/>
                    <w:rPr>
                      <w:rFonts w:ascii="Dubai" w:hAnsi="Dubai" w:cs="Dubai"/>
                      <w:sz w:val="22"/>
                      <w:szCs w:val="22"/>
                      <w:lang w:eastAsia="en-GB"/>
                    </w:rPr>
                  </w:pPr>
                  <w:r>
                    <w:rPr>
                      <w:rFonts w:cs="Dubai" w:ascii="Dubai" w:hAnsi="Dubai"/>
                      <w:color w:themeColor="text1" w:val="000000"/>
                      <w:sz w:val="22"/>
                      <w:szCs w:val="22"/>
                      <w:lang w:eastAsia="en-GB"/>
                    </w:rPr>
                    <w:t>AT report</w:t>
                  </w:r>
                </w:p>
              </w:tc>
              <w:tc>
                <w:tcPr>
                  <w:tcW w:w="1320" w:type="dxa"/>
                  <w:tcBorders>
                    <w:bottom w:val="single" w:sz="4" w:space="0" w:color="000000"/>
                    <w:end w:val="single" w:sz="4" w:space="0" w:color="000000"/>
                  </w:tcBorders>
                  <w:shd w:color="auto" w:fill="auto" w:val="clear"/>
                </w:tcPr>
                <w:p>
                  <w:pPr>
                    <w:pStyle w:val="ListParagraph"/>
                    <w:spacing w:before="120" w:after="120"/>
                    <w:contextualSpacing/>
                    <w:rPr>
                      <w:rFonts w:cs="Dubai"/>
                      <w:color w:val="000000"/>
                      <w:sz w:val="22"/>
                      <w:szCs w:val="22"/>
                      <w:lang w:val="pt-BR" w:eastAsia="en-GB"/>
                    </w:rPr>
                  </w:pPr>
                  <w:r>
                    <w:rPr>
                      <w:rFonts w:cs="Dubai"/>
                      <w:color w:val="000000"/>
                      <w:sz w:val="22"/>
                      <w:szCs w:val="22"/>
                      <w:lang w:val="pt-BR" w:eastAsia="en-GB"/>
                    </w:rPr>
                  </w:r>
                </w:p>
                <w:p>
                  <w:pPr>
                    <w:pStyle w:val="Normal"/>
                    <w:rPr>
                      <w:rFonts w:cs="Dubai"/>
                      <w:color w:val="000000"/>
                      <w:sz w:val="22"/>
                      <w:szCs w:val="22"/>
                      <w:lang w:val="pt-BR" w:eastAsia="en-GB"/>
                    </w:rPr>
                  </w:pPr>
                  <w:r>
                    <w:rPr>
                      <w:rFonts w:cs="Dubai"/>
                      <w:color w:val="000000"/>
                      <w:sz w:val="22"/>
                      <w:szCs w:val="22"/>
                      <w:lang w:val="pt-BR" w:eastAsia="en-GB"/>
                    </w:rPr>
                    <w:t>CODE 3 (07/04)</w:t>
                  </w:r>
                </w:p>
                <w:p>
                  <w:pPr>
                    <w:pStyle w:val="Normal"/>
                    <w:rPr>
                      <w:rFonts w:cs="Dubai"/>
                      <w:color w:val="000000"/>
                      <w:sz w:val="22"/>
                      <w:szCs w:val="22"/>
                      <w:lang w:val="pt-BR" w:eastAsia="en-GB"/>
                    </w:rPr>
                  </w:pPr>
                  <w:r>
                    <w:rPr>
                      <w:rFonts w:cs="Dubai"/>
                      <w:color w:val="000000"/>
                      <w:sz w:val="22"/>
                      <w:szCs w:val="22"/>
                      <w:lang w:val="pt-BR" w:eastAsia="en-GB"/>
                    </w:rPr>
                    <w:t>CODE 3 (29/04)</w:t>
                  </w:r>
                </w:p>
                <w:p>
                  <w:pPr>
                    <w:pStyle w:val="Normal"/>
                    <w:rPr>
                      <w:rFonts w:cs="Dubai"/>
                      <w:color w:val="000000"/>
                      <w:sz w:val="22"/>
                      <w:szCs w:val="22"/>
                      <w:lang w:val="pt-BR" w:eastAsia="en-GB"/>
                    </w:rPr>
                  </w:pPr>
                  <w:r>
                    <w:rPr>
                      <w:rFonts w:cs="Dubai"/>
                      <w:color w:val="000000"/>
                      <w:sz w:val="22"/>
                      <w:szCs w:val="22"/>
                      <w:lang w:val="pt-BR" w:eastAsia="en-GB"/>
                    </w:rPr>
                    <w:t>CODE 3 (29/04)</w:t>
                  </w:r>
                </w:p>
              </w:tc>
            </w:tr>
            <w:tr>
              <w:trPr>
                <w:trHeight w:val="593" w:hRule="atLeast"/>
              </w:trPr>
              <w:tc>
                <w:tcPr>
                  <w:tcW w:w="132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MKT underground</w:t>
                  </w:r>
                </w:p>
              </w:tc>
              <w:tc>
                <w:tcPr>
                  <w:tcW w:w="2105" w:type="dxa"/>
                  <w:tcBorders>
                    <w:top w:val="single" w:sz="4" w:space="0" w:color="000000"/>
                    <w:bottom w:val="single" w:sz="4" w:space="0" w:color="000000"/>
                    <w:end w:val="single" w:sz="4" w:space="0" w:color="000000"/>
                  </w:tcBorders>
                  <w:shd w:color="auto" w:fill="auto" w:val="clear"/>
                </w:tcPr>
                <w:p>
                  <w:pPr>
                    <w:pStyle w:val="Normal"/>
                    <w:suppressAutoHyphens w:val="false"/>
                    <w:rPr>
                      <w:rFonts w:cs="Dubai"/>
                      <w:color w:themeColor="text1" w:val="000000"/>
                      <w:sz w:val="22"/>
                      <w:szCs w:val="22"/>
                      <w:lang w:val="en-GB" w:eastAsia="en-GB"/>
                    </w:rPr>
                  </w:pPr>
                  <w:r>
                    <w:rPr>
                      <w:rFonts w:cs="Dubai"/>
                      <w:color w:themeColor="text1" w:val="000000"/>
                      <w:sz w:val="22"/>
                      <w:szCs w:val="22"/>
                      <w:lang w:val="en-GB" w:eastAsia="en-GB"/>
                    </w:rPr>
                    <w:t xml:space="preserve">Ver. AA (PE) </w:t>
                  </w:r>
                </w:p>
                <w:p>
                  <w:pPr>
                    <w:pStyle w:val="ListParagraph"/>
                    <w:numPr>
                      <w:ilvl w:val="0"/>
                      <w:numId w:val="8"/>
                    </w:numPr>
                    <w:rPr>
                      <w:rFonts w:ascii="Dubai" w:hAnsi="Dubai" w:cs="Dubai"/>
                      <w:color w:themeColor="text1" w:val="000000"/>
                      <w:sz w:val="22"/>
                      <w:szCs w:val="22"/>
                      <w:lang w:eastAsia="en-GB"/>
                    </w:rPr>
                  </w:pPr>
                  <w:r>
                    <w:rPr>
                      <w:rFonts w:cs="Dubai" w:ascii="Dubai" w:hAnsi="Dubai"/>
                      <w:color w:themeColor="text1" w:val="000000"/>
                      <w:sz w:val="22"/>
                      <w:szCs w:val="22"/>
                      <w:lang w:eastAsia="en-GB"/>
                    </w:rPr>
                    <w:t>AT drawings</w:t>
                  </w:r>
                </w:p>
                <w:p>
                  <w:pPr>
                    <w:pStyle w:val="ListParagraph"/>
                    <w:rPr>
                      <w:rFonts w:ascii="Dubai" w:hAnsi="Dubai" w:cs="Dubai"/>
                      <w:color w:themeColor="text1" w:val="000000"/>
                      <w:sz w:val="22"/>
                      <w:szCs w:val="22"/>
                      <w:lang w:eastAsia="en-GB"/>
                    </w:rPr>
                  </w:pPr>
                  <w:r>
                    <w:rPr>
                      <w:rFonts w:cs="Dubai" w:ascii="Dubai" w:hAnsi="Dubai"/>
                      <w:color w:themeColor="text1" w:val="000000"/>
                      <w:sz w:val="22"/>
                      <w:szCs w:val="22"/>
                      <w:lang w:eastAsia="en-GB"/>
                    </w:rPr>
                  </w:r>
                </w:p>
                <w:p>
                  <w:pPr>
                    <w:pStyle w:val="ListParagraph"/>
                    <w:numPr>
                      <w:ilvl w:val="0"/>
                      <w:numId w:val="8"/>
                    </w:numPr>
                    <w:rPr>
                      <w:rFonts w:ascii="Dubai" w:hAnsi="Dubai" w:cs="Dubai"/>
                      <w:sz w:val="22"/>
                      <w:szCs w:val="22"/>
                      <w:lang w:eastAsia="en-GB"/>
                    </w:rPr>
                  </w:pPr>
                  <w:r>
                    <w:rPr>
                      <w:rFonts w:cs="Dubai" w:ascii="Dubai" w:hAnsi="Dubai"/>
                      <w:color w:themeColor="text1" w:val="000000"/>
                      <w:sz w:val="22"/>
                      <w:szCs w:val="22"/>
                      <w:lang w:eastAsia="en-GB"/>
                    </w:rPr>
                    <w:t>Sizing report</w:t>
                  </w:r>
                </w:p>
                <w:p>
                  <w:pPr>
                    <w:pStyle w:val="ListParagraph"/>
                    <w:rPr>
                      <w:rFonts w:cs="Dubai"/>
                      <w:sz w:val="22"/>
                      <w:szCs w:val="22"/>
                      <w:lang w:eastAsia="en-GB"/>
                    </w:rPr>
                  </w:pPr>
                  <w:r>
                    <w:rPr>
                      <w:rFonts w:cs="Dubai"/>
                      <w:sz w:val="22"/>
                      <w:szCs w:val="22"/>
                      <w:lang w:eastAsia="en-GB"/>
                    </w:rPr>
                  </w:r>
                </w:p>
                <w:p>
                  <w:pPr>
                    <w:pStyle w:val="ListParagraph"/>
                    <w:numPr>
                      <w:ilvl w:val="0"/>
                      <w:numId w:val="8"/>
                    </w:numPr>
                    <w:spacing w:before="120" w:after="120"/>
                    <w:contextualSpacing/>
                    <w:rPr>
                      <w:lang w:eastAsia="en-GB"/>
                    </w:rPr>
                  </w:pPr>
                  <w:r>
                    <w:rPr>
                      <w:color w:themeColor="text1" w:val="000000"/>
                      <w:lang w:eastAsia="en-GB"/>
                    </w:rPr>
                    <w:t>AT report</w:t>
                  </w:r>
                </w:p>
              </w:tc>
              <w:tc>
                <w:tcPr>
                  <w:tcW w:w="1320" w:type="dxa"/>
                  <w:tcBorders>
                    <w:bottom w:val="single" w:sz="4" w:space="0" w:color="000000"/>
                    <w:end w:val="single" w:sz="4" w:space="0" w:color="000000"/>
                  </w:tcBorders>
                  <w:shd w:color="auto" w:fill="auto" w:val="clear"/>
                </w:tcPr>
                <w:p>
                  <w:pPr>
                    <w:pStyle w:val="ListParagraph"/>
                    <w:spacing w:before="120" w:after="120"/>
                    <w:contextualSpacing/>
                    <w:rPr>
                      <w:rFonts w:cs="Dubai"/>
                      <w:color w:val="000000"/>
                      <w:sz w:val="22"/>
                      <w:szCs w:val="22"/>
                      <w:lang w:val="pt-BR" w:eastAsia="en-GB"/>
                    </w:rPr>
                  </w:pPr>
                  <w:r>
                    <w:rPr>
                      <w:rFonts w:cs="Dubai"/>
                      <w:color w:val="000000"/>
                      <w:sz w:val="22"/>
                      <w:szCs w:val="22"/>
                      <w:lang w:val="pt-BR" w:eastAsia="en-GB"/>
                    </w:rPr>
                  </w:r>
                </w:p>
                <w:p>
                  <w:pPr>
                    <w:pStyle w:val="Normal"/>
                    <w:rPr>
                      <w:rFonts w:cs="Dubai"/>
                      <w:color w:themeColor="text1" w:val="000000"/>
                      <w:sz w:val="22"/>
                      <w:szCs w:val="22"/>
                      <w:lang w:eastAsia="en-GB"/>
                    </w:rPr>
                  </w:pPr>
                  <w:r>
                    <w:rPr>
                      <w:rFonts w:cs="Dubai"/>
                      <w:color w:val="000000"/>
                      <w:sz w:val="22"/>
                      <w:szCs w:val="22"/>
                      <w:lang w:val="pt-BR" w:eastAsia="en-GB"/>
                    </w:rPr>
                    <w:t>CODE 2 (07/04)</w:t>
                  </w:r>
                </w:p>
                <w:p>
                  <w:pPr>
                    <w:pStyle w:val="Normal"/>
                    <w:rPr>
                      <w:rFonts w:cs="Dubai"/>
                      <w:color w:val="000000"/>
                      <w:sz w:val="22"/>
                      <w:szCs w:val="22"/>
                      <w:lang w:val="pt-BR" w:eastAsia="en-GB"/>
                    </w:rPr>
                  </w:pPr>
                  <w:r>
                    <w:rPr>
                      <w:rFonts w:cs="Dubai"/>
                      <w:color w:themeColor="text1" w:val="000000"/>
                      <w:sz w:val="22"/>
                      <w:szCs w:val="22"/>
                      <w:lang w:eastAsia="en-GB"/>
                    </w:rPr>
                    <w:t>CODE 2 (07/04)</w:t>
                  </w:r>
                </w:p>
                <w:p>
                  <w:pPr>
                    <w:pStyle w:val="Normal"/>
                    <w:rPr>
                      <w:rFonts w:cs="Dubai"/>
                      <w:color w:val="000000"/>
                      <w:sz w:val="22"/>
                      <w:szCs w:val="22"/>
                      <w:lang w:val="pt-BR" w:eastAsia="en-GB"/>
                    </w:rPr>
                  </w:pPr>
                  <w:r>
                    <w:rPr>
                      <w:rFonts w:cs="Dubai"/>
                      <w:color w:themeColor="text1" w:val="000000"/>
                      <w:sz w:val="22"/>
                      <w:szCs w:val="22"/>
                      <w:lang w:eastAsia="en-GB"/>
                    </w:rPr>
                    <w:t>CODE 2 (15/04)</w:t>
                  </w:r>
                </w:p>
              </w:tc>
            </w:tr>
            <w:tr>
              <w:trPr>
                <w:trHeight w:val="593" w:hRule="atLeast"/>
              </w:trPr>
              <w:tc>
                <w:tcPr>
                  <w:tcW w:w="132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MKT viaduct</w:t>
                  </w:r>
                </w:p>
              </w:tc>
              <w:tc>
                <w:tcPr>
                  <w:tcW w:w="2105" w:type="dxa"/>
                  <w:tcBorders>
                    <w:top w:val="single" w:sz="4" w:space="0" w:color="000000"/>
                    <w:bottom w:val="single" w:sz="4" w:space="0" w:color="000000"/>
                    <w:end w:val="single" w:sz="4" w:space="0" w:color="000000"/>
                  </w:tcBorders>
                  <w:shd w:color="auto" w:fill="auto" w:val="clear"/>
                </w:tcPr>
                <w:p>
                  <w:pPr>
                    <w:pStyle w:val="Normal"/>
                    <w:suppressAutoHyphens w:val="false"/>
                    <w:rPr>
                      <w:rFonts w:cs="Dubai"/>
                      <w:color w:themeColor="text1" w:val="000000"/>
                      <w:sz w:val="22"/>
                      <w:szCs w:val="22"/>
                      <w:lang w:val="en-GB" w:eastAsia="en-GB"/>
                    </w:rPr>
                  </w:pPr>
                  <w:r>
                    <w:rPr>
                      <w:rFonts w:cs="Dubai"/>
                      <w:color w:themeColor="text1" w:val="000000"/>
                      <w:sz w:val="22"/>
                      <w:szCs w:val="22"/>
                      <w:lang w:val="en-GB" w:eastAsia="en-GB"/>
                    </w:rPr>
                    <w:t xml:space="preserve">Ver. AA (PE) </w:t>
                  </w:r>
                </w:p>
                <w:p>
                  <w:pPr>
                    <w:pStyle w:val="ListParagraph"/>
                    <w:numPr>
                      <w:ilvl w:val="0"/>
                      <w:numId w:val="8"/>
                    </w:numPr>
                    <w:rPr>
                      <w:rFonts w:ascii="Dubai" w:hAnsi="Dubai" w:cs="Dubai"/>
                      <w:color w:themeColor="text1" w:val="000000"/>
                      <w:sz w:val="22"/>
                      <w:szCs w:val="22"/>
                      <w:lang w:eastAsia="en-GB"/>
                    </w:rPr>
                  </w:pPr>
                  <w:r>
                    <w:rPr>
                      <w:rFonts w:cs="Dubai" w:ascii="Dubai" w:hAnsi="Dubai"/>
                      <w:color w:themeColor="text1" w:val="000000"/>
                      <w:sz w:val="22"/>
                      <w:szCs w:val="22"/>
                      <w:lang w:eastAsia="en-GB"/>
                    </w:rPr>
                    <w:t>AT drawings</w:t>
                  </w:r>
                </w:p>
                <w:p>
                  <w:pPr>
                    <w:pStyle w:val="ListParagraph"/>
                    <w:rPr>
                      <w:rFonts w:ascii="Dubai" w:hAnsi="Dubai" w:cs="Dubai"/>
                      <w:color w:themeColor="text1" w:val="000000"/>
                      <w:sz w:val="22"/>
                      <w:szCs w:val="22"/>
                      <w:lang w:eastAsia="en-GB"/>
                    </w:rPr>
                  </w:pPr>
                  <w:r>
                    <w:rPr>
                      <w:rFonts w:cs="Dubai" w:ascii="Dubai" w:hAnsi="Dubai"/>
                      <w:color w:themeColor="text1" w:val="000000"/>
                      <w:sz w:val="22"/>
                      <w:szCs w:val="22"/>
                      <w:lang w:eastAsia="en-GB"/>
                    </w:rPr>
                  </w:r>
                </w:p>
                <w:p>
                  <w:pPr>
                    <w:pStyle w:val="ListParagraph"/>
                    <w:numPr>
                      <w:ilvl w:val="0"/>
                      <w:numId w:val="8"/>
                    </w:numPr>
                    <w:rPr>
                      <w:rFonts w:ascii="Dubai" w:hAnsi="Dubai" w:cs="Dubai"/>
                      <w:sz w:val="22"/>
                      <w:szCs w:val="22"/>
                      <w:lang w:eastAsia="en-GB"/>
                    </w:rPr>
                  </w:pPr>
                  <w:r>
                    <w:rPr>
                      <w:rFonts w:cs="Dubai" w:ascii="Dubai" w:hAnsi="Dubai"/>
                      <w:color w:themeColor="text1" w:val="000000"/>
                      <w:sz w:val="22"/>
                      <w:szCs w:val="22"/>
                      <w:lang w:eastAsia="en-GB"/>
                    </w:rPr>
                    <w:t>Sizing report</w:t>
                  </w:r>
                </w:p>
                <w:p>
                  <w:pPr>
                    <w:pStyle w:val="ListParagraph"/>
                    <w:rPr>
                      <w:rFonts w:ascii="Dubai" w:hAnsi="Dubai" w:cs="Dubai"/>
                      <w:sz w:val="22"/>
                      <w:szCs w:val="22"/>
                      <w:lang w:eastAsia="en-GB"/>
                    </w:rPr>
                  </w:pPr>
                  <w:r>
                    <w:rPr>
                      <w:rFonts w:cs="Dubai" w:ascii="Dubai" w:hAnsi="Dubai"/>
                      <w:sz w:val="22"/>
                      <w:szCs w:val="22"/>
                      <w:lang w:eastAsia="en-GB"/>
                    </w:rPr>
                  </w:r>
                </w:p>
                <w:p>
                  <w:pPr>
                    <w:pStyle w:val="ListParagraph"/>
                    <w:numPr>
                      <w:ilvl w:val="0"/>
                      <w:numId w:val="8"/>
                    </w:numPr>
                    <w:spacing w:before="120" w:after="120"/>
                    <w:contextualSpacing/>
                    <w:rPr>
                      <w:rFonts w:ascii="Dubai" w:hAnsi="Dubai" w:cs="Dubai"/>
                      <w:sz w:val="22"/>
                      <w:szCs w:val="22"/>
                      <w:lang w:eastAsia="en-GB"/>
                    </w:rPr>
                  </w:pPr>
                  <w:r>
                    <w:rPr>
                      <w:rFonts w:cs="Dubai" w:ascii="Dubai" w:hAnsi="Dubai"/>
                      <w:color w:themeColor="text1" w:val="000000"/>
                      <w:sz w:val="22"/>
                      <w:szCs w:val="22"/>
                      <w:lang w:eastAsia="en-GB"/>
                    </w:rPr>
                    <w:t>AT report</w:t>
                  </w:r>
                </w:p>
              </w:tc>
              <w:tc>
                <w:tcPr>
                  <w:tcW w:w="1320" w:type="dxa"/>
                  <w:tcBorders>
                    <w:bottom w:val="single" w:sz="4" w:space="0" w:color="000000"/>
                    <w:end w:val="single" w:sz="4" w:space="0" w:color="000000"/>
                  </w:tcBorders>
                  <w:shd w:color="auto" w:fill="auto" w:val="clear"/>
                </w:tcPr>
                <w:p>
                  <w:pPr>
                    <w:pStyle w:val="ListParagraph"/>
                    <w:spacing w:before="120" w:after="120"/>
                    <w:contextualSpacing/>
                    <w:rPr>
                      <w:rFonts w:ascii="Dubai" w:hAnsi="Dubai" w:cs="Dubai"/>
                      <w:color w:val="000000"/>
                      <w:sz w:val="22"/>
                      <w:szCs w:val="22"/>
                      <w:lang w:val="pt-BR" w:eastAsia="en-GB"/>
                    </w:rPr>
                  </w:pPr>
                  <w:r>
                    <w:rPr>
                      <w:rFonts w:cs="Dubai" w:ascii="Dubai" w:hAnsi="Dubai"/>
                      <w:color w:val="000000"/>
                      <w:sz w:val="22"/>
                      <w:szCs w:val="22"/>
                      <w:lang w:val="pt-BR" w:eastAsia="en-GB"/>
                    </w:rPr>
                  </w:r>
                </w:p>
                <w:p>
                  <w:pPr>
                    <w:pStyle w:val="Normal"/>
                    <w:rPr>
                      <w:rFonts w:cs="Dubai"/>
                      <w:color w:val="000000"/>
                      <w:sz w:val="22"/>
                      <w:szCs w:val="22"/>
                      <w:lang w:val="pt-BR" w:eastAsia="en-GB"/>
                    </w:rPr>
                  </w:pPr>
                  <w:r>
                    <w:rPr>
                      <w:rFonts w:eastAsia="MS Mincho" w:cs="Dubai"/>
                      <w:color w:val="000000"/>
                      <w:sz w:val="22"/>
                      <w:szCs w:val="22"/>
                      <w:lang w:val="pt-BR" w:eastAsia="en-GB"/>
                    </w:rPr>
                    <w:t>CODE 2 (07/04)</w:t>
                  </w:r>
                </w:p>
                <w:p>
                  <w:pPr>
                    <w:pStyle w:val="Normal"/>
                    <w:rPr>
                      <w:rFonts w:cs="Dubai"/>
                      <w:color w:val="000000"/>
                      <w:sz w:val="22"/>
                      <w:szCs w:val="22"/>
                      <w:lang w:val="pt-BR" w:eastAsia="en-GB"/>
                    </w:rPr>
                  </w:pPr>
                  <w:r>
                    <w:rPr>
                      <w:rFonts w:eastAsia="MS Mincho" w:cs="Dubai"/>
                      <w:color w:val="000000"/>
                      <w:sz w:val="22"/>
                      <w:szCs w:val="22"/>
                      <w:lang w:val="pt-BR" w:eastAsia="en-GB"/>
                    </w:rPr>
                    <w:t>CODE 2 (07/04)</w:t>
                  </w:r>
                </w:p>
                <w:p>
                  <w:pPr>
                    <w:pStyle w:val="Normal"/>
                    <w:rPr>
                      <w:rFonts w:cs="Dubai"/>
                      <w:color w:val="000000"/>
                      <w:sz w:val="22"/>
                      <w:szCs w:val="22"/>
                      <w:lang w:val="pt-BR" w:eastAsia="en-GB"/>
                    </w:rPr>
                  </w:pPr>
                  <w:r>
                    <w:rPr>
                      <w:rFonts w:eastAsia="MS Mincho" w:cs="Dubai"/>
                      <w:color w:val="000000"/>
                      <w:sz w:val="22"/>
                      <w:szCs w:val="22"/>
                      <w:lang w:val="pt-BR" w:eastAsia="en-GB"/>
                    </w:rPr>
                    <w:t>CODE 2 (15/04)</w:t>
                  </w:r>
                </w:p>
              </w:tc>
            </w:tr>
            <w:tr>
              <w:trPr>
                <w:trHeight w:val="593" w:hRule="atLeast"/>
              </w:trPr>
              <w:tc>
                <w:tcPr>
                  <w:tcW w:w="132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val="000000"/>
                      <w:sz w:val="22"/>
                      <w:szCs w:val="22"/>
                      <w:lang w:val="en-GB" w:eastAsia="en-GB"/>
                    </w:rPr>
                    <w:t>AL AIN – TAWAN station</w:t>
                  </w:r>
                </w:p>
              </w:tc>
              <w:tc>
                <w:tcPr>
                  <w:tcW w:w="2105" w:type="dxa"/>
                  <w:tcBorders>
                    <w:top w:val="single" w:sz="4" w:space="0" w:color="000000"/>
                    <w:bottom w:val="single" w:sz="4" w:space="0" w:color="000000"/>
                    <w:end w:val="single" w:sz="4" w:space="0" w:color="000000"/>
                  </w:tcBorders>
                  <w:shd w:color="auto" w:fill="auto" w:val="clear"/>
                </w:tcPr>
                <w:p>
                  <w:pPr>
                    <w:pStyle w:val="Normal"/>
                    <w:suppressAutoHyphens w:val="false"/>
                    <w:rPr>
                      <w:rFonts w:cs="Dubai"/>
                      <w:color w:themeColor="text1" w:val="000000"/>
                      <w:sz w:val="22"/>
                      <w:szCs w:val="22"/>
                      <w:lang w:val="en-GB" w:eastAsia="en-GB"/>
                    </w:rPr>
                  </w:pPr>
                  <w:r>
                    <w:rPr>
                      <w:rFonts w:cs="Dubai"/>
                      <w:color w:themeColor="text1" w:val="000000"/>
                      <w:sz w:val="22"/>
                      <w:szCs w:val="22"/>
                      <w:lang w:val="en-GB" w:eastAsia="en-GB"/>
                    </w:rPr>
                    <w:t>Ver. AA</w:t>
                  </w:r>
                </w:p>
                <w:p>
                  <w:pPr>
                    <w:pStyle w:val="ListParagraph"/>
                    <w:numPr>
                      <w:ilvl w:val="0"/>
                      <w:numId w:val="8"/>
                    </w:numPr>
                    <w:rPr>
                      <w:rFonts w:cs="Dubai"/>
                      <w:color w:themeColor="text1" w:val="000000"/>
                      <w:sz w:val="22"/>
                      <w:szCs w:val="22"/>
                      <w:lang w:eastAsia="en-GB"/>
                    </w:rPr>
                  </w:pPr>
                  <w:r>
                    <w:rPr>
                      <w:rFonts w:cs="Dubai" w:ascii="Dubai" w:hAnsi="Dubai"/>
                      <w:color w:themeColor="text1" w:val="000000"/>
                      <w:sz w:val="22"/>
                      <w:szCs w:val="22"/>
                      <w:lang w:eastAsia="en-GB"/>
                    </w:rPr>
                    <w:t>AT drawings submitted 21/04</w:t>
                  </w:r>
                </w:p>
                <w:p>
                  <w:pPr>
                    <w:pStyle w:val="ListParagraph"/>
                    <w:numPr>
                      <w:ilvl w:val="0"/>
                      <w:numId w:val="8"/>
                    </w:numPr>
                    <w:rPr>
                      <w:rFonts w:ascii="Dubai" w:hAnsi="Dubai" w:cs="Dubai"/>
                      <w:sz w:val="22"/>
                      <w:szCs w:val="22"/>
                      <w:lang w:eastAsia="en-GB"/>
                    </w:rPr>
                  </w:pPr>
                  <w:r>
                    <w:rPr>
                      <w:rFonts w:cs="Dubai" w:ascii="Dubai" w:hAnsi="Dubai"/>
                      <w:color w:themeColor="text1" w:val="000000"/>
                      <w:sz w:val="22"/>
                      <w:szCs w:val="22"/>
                      <w:lang w:eastAsia="en-GB"/>
                    </w:rPr>
                    <w:t>Sizing report</w:t>
                  </w:r>
                </w:p>
                <w:p>
                  <w:pPr>
                    <w:pStyle w:val="ListParagraph"/>
                    <w:numPr>
                      <w:ilvl w:val="0"/>
                      <w:numId w:val="8"/>
                    </w:numPr>
                    <w:spacing w:before="120" w:after="120"/>
                    <w:contextualSpacing/>
                    <w:rPr>
                      <w:rFonts w:cs="Dubai"/>
                      <w:color w:themeColor="text1" w:val="000000"/>
                      <w:sz w:val="22"/>
                      <w:szCs w:val="22"/>
                      <w:lang w:eastAsia="en-GB"/>
                    </w:rPr>
                  </w:pPr>
                  <w:r>
                    <w:rPr>
                      <w:rFonts w:cs="Dubai" w:ascii="Dubai" w:hAnsi="Dubai"/>
                      <w:color w:themeColor="text1" w:val="000000"/>
                      <w:sz w:val="22"/>
                      <w:szCs w:val="22"/>
                      <w:lang w:eastAsia="en-GB"/>
                    </w:rPr>
                    <w:t>AT report</w:t>
                  </w:r>
                </w:p>
              </w:tc>
              <w:tc>
                <w:tcPr>
                  <w:tcW w:w="1320" w:type="dxa"/>
                  <w:tcBorders>
                    <w:bottom w:val="single" w:sz="4" w:space="0" w:color="000000"/>
                    <w:end w:val="single" w:sz="4" w:space="0" w:color="000000"/>
                  </w:tcBorders>
                  <w:shd w:color="auto" w:fill="auto" w:val="clear"/>
                </w:tcPr>
                <w:p>
                  <w:pPr>
                    <w:pStyle w:val="ListParagraph"/>
                    <w:spacing w:before="120" w:after="120"/>
                    <w:contextualSpacing/>
                    <w:rPr>
                      <w:rFonts w:ascii="Dubai" w:hAnsi="Dubai" w:cs="Dubai"/>
                      <w:color w:val="000000"/>
                      <w:sz w:val="22"/>
                      <w:szCs w:val="22"/>
                      <w:lang w:val="pt-BR" w:eastAsia="en-GB"/>
                    </w:rPr>
                  </w:pPr>
                  <w:r>
                    <w:rPr>
                      <w:rFonts w:cs="Dubai" w:ascii="Dubai" w:hAnsi="Dubai"/>
                      <w:color w:val="000000"/>
                      <w:sz w:val="22"/>
                      <w:szCs w:val="22"/>
                      <w:lang w:val="pt-BR" w:eastAsia="en-GB"/>
                    </w:rPr>
                  </w:r>
                </w:p>
                <w:p>
                  <w:pPr>
                    <w:pStyle w:val="Normal"/>
                    <w:rPr>
                      <w:rFonts w:cs="Dubai"/>
                      <w:color w:val="000000"/>
                      <w:sz w:val="22"/>
                      <w:szCs w:val="22"/>
                      <w:lang w:val="pt-BR" w:eastAsia="en-GB"/>
                    </w:rPr>
                  </w:pPr>
                  <w:r>
                    <w:rPr>
                      <w:rFonts w:cs="Dubai"/>
                      <w:color w:themeColor="text1" w:val="000000"/>
                      <w:sz w:val="22"/>
                      <w:szCs w:val="22"/>
                      <w:lang w:eastAsia="en-GB"/>
                    </w:rPr>
                    <w:t>CODE 3 (09/05)</w:t>
                  </w:r>
                </w:p>
                <w:p>
                  <w:pPr>
                    <w:pStyle w:val="Normal"/>
                    <w:rPr>
                      <w:rFonts w:cs="Dubai"/>
                      <w:color w:themeColor="text1" w:val="000000"/>
                      <w:sz w:val="22"/>
                      <w:szCs w:val="22"/>
                      <w:lang w:eastAsia="en-GB"/>
                    </w:rPr>
                  </w:pPr>
                  <w:r>
                    <w:rPr>
                      <w:rFonts w:cs="Dubai"/>
                      <w:color w:themeColor="text1" w:val="000000"/>
                      <w:sz w:val="22"/>
                      <w:szCs w:val="22"/>
                      <w:lang w:eastAsia="en-GB"/>
                    </w:rPr>
                    <w:t>Submitted 08/05</w:t>
                  </w:r>
                </w:p>
                <w:p>
                  <w:pPr>
                    <w:pStyle w:val="Normal"/>
                    <w:rPr>
                      <w:rFonts w:cs="Dubai"/>
                      <w:color w:val="000000"/>
                      <w:sz w:val="22"/>
                      <w:szCs w:val="22"/>
                      <w:lang w:val="pt-BR" w:eastAsia="en-GB"/>
                    </w:rPr>
                  </w:pPr>
                  <w:r>
                    <w:rPr>
                      <w:rFonts w:cs="Dubai"/>
                      <w:color w:themeColor="text1" w:val="000000"/>
                      <w:sz w:val="22"/>
                      <w:szCs w:val="22"/>
                      <w:lang w:eastAsia="en-GB"/>
                    </w:rPr>
                    <w:t>Submitted 08/05</w:t>
                  </w:r>
                </w:p>
              </w:tc>
            </w:tr>
            <w:tr>
              <w:trPr>
                <w:trHeight w:val="334" w:hRule="atLeast"/>
              </w:trPr>
              <w:tc>
                <w:tcPr>
                  <w:tcW w:w="4747" w:type="dxa"/>
                  <w:gridSpan w:val="3"/>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b/>
                      <w:color w:themeColor="text1" w:val="000000"/>
                      <w:sz w:val="22"/>
                      <w:szCs w:val="22"/>
                      <w:u w:val="single"/>
                    </w:rPr>
                  </w:pPr>
                  <w:r>
                    <w:rPr>
                      <w:rFonts w:cs="Dubai"/>
                      <w:b/>
                      <w:color w:themeColor="text1" w:val="000000"/>
                      <w:sz w:val="22"/>
                      <w:szCs w:val="22"/>
                      <w:u w:val="single"/>
                    </w:rPr>
                    <w:t>Tender AT documents</w:t>
                  </w:r>
                </w:p>
              </w:tc>
            </w:tr>
            <w:tr>
              <w:trPr>
                <w:trHeight w:val="593" w:hRule="atLeast"/>
              </w:trPr>
              <w:tc>
                <w:tcPr>
                  <w:tcW w:w="132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val="000000"/>
                      <w:sz w:val="22"/>
                      <w:szCs w:val="22"/>
                      <w:lang w:val="en-GB" w:eastAsia="en-GB"/>
                    </w:rPr>
                  </w:pPr>
                  <w:r>
                    <w:rPr>
                      <w:rFonts w:cs="Dubai"/>
                      <w:color w:themeColor="text1" w:val="000000"/>
                      <w:sz w:val="22"/>
                      <w:szCs w:val="22"/>
                    </w:rPr>
                    <w:t>AAG (Architectural Aesthetic Guidelines)</w:t>
                  </w:r>
                </w:p>
              </w:tc>
              <w:tc>
                <w:tcPr>
                  <w:tcW w:w="2105" w:type="dxa"/>
                  <w:tcBorders>
                    <w:top w:val="single" w:sz="4" w:space="0" w:color="000000"/>
                    <w:bottom w:val="single" w:sz="4" w:space="0" w:color="000000"/>
                    <w:end w:val="single" w:sz="4" w:space="0" w:color="000000"/>
                  </w:tcBorders>
                  <w:shd w:color="auto" w:fill="auto" w:val="clear"/>
                </w:tcPr>
                <w:p>
                  <w:pPr>
                    <w:pStyle w:val="Normal"/>
                    <w:suppressAutoHyphens w:val="false"/>
                    <w:rPr>
                      <w:rFonts w:cs="Dubai"/>
                      <w:color w:themeColor="text1" w:val="000000"/>
                      <w:sz w:val="22"/>
                      <w:szCs w:val="22"/>
                      <w:lang w:val="en-GB" w:eastAsia="en-GB"/>
                    </w:rPr>
                  </w:pPr>
                  <w:r>
                    <w:rPr>
                      <w:rFonts w:cs="Dubai"/>
                      <w:color w:themeColor="text1" w:val="000000"/>
                      <w:sz w:val="22"/>
                      <w:szCs w:val="22"/>
                      <w:lang w:val="en-GB" w:eastAsia="en-GB"/>
                    </w:rPr>
                    <w:t>Ver. AE – submitted 02/04</w:t>
                  </w:r>
                </w:p>
              </w:tc>
              <w:tc>
                <w:tcPr>
                  <w:tcW w:w="1320" w:type="dxa"/>
                  <w:tcBorders>
                    <w:top w:val="single" w:sz="4" w:space="0" w:color="000000"/>
                    <w:bottom w:val="single" w:sz="4" w:space="0" w:color="000000"/>
                    <w:end w:val="single" w:sz="4" w:space="0" w:color="000000"/>
                  </w:tcBorders>
                  <w:shd w:color="auto" w:fill="auto" w:val="clear"/>
                  <w:vAlign w:val="center"/>
                </w:tcPr>
                <w:p>
                  <w:pPr>
                    <w:pStyle w:val="Normal"/>
                    <w:rPr>
                      <w:rFonts w:cs="Dubai"/>
                      <w:color w:val="000000"/>
                      <w:sz w:val="22"/>
                      <w:szCs w:val="22"/>
                      <w:lang w:eastAsia="en-GB"/>
                    </w:rPr>
                  </w:pPr>
                  <w:r>
                    <w:rPr>
                      <w:rFonts w:cs="Dubai"/>
                      <w:color w:themeColor="text1" w:val="000000"/>
                      <w:sz w:val="22"/>
                      <w:szCs w:val="22"/>
                      <w:lang w:eastAsia="en-GB"/>
                    </w:rPr>
                    <w:t>CODE 2 (16/04) – 5 comments still open</w:t>
                  </w:r>
                </w:p>
              </w:tc>
            </w:tr>
            <w:tr>
              <w:trPr>
                <w:trHeight w:val="593" w:hRule="atLeast"/>
              </w:trPr>
              <w:tc>
                <w:tcPr>
                  <w:tcW w:w="132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themeColor="text1" w:val="000000"/>
                      <w:sz w:val="22"/>
                      <w:szCs w:val="22"/>
                    </w:rPr>
                  </w:pPr>
                  <w:r>
                    <w:rPr>
                      <w:rFonts w:cs="Dubai"/>
                      <w:color w:themeColor="text1" w:val="000000"/>
                      <w:sz w:val="22"/>
                      <w:szCs w:val="22"/>
                    </w:rPr>
                    <w:t>Stations DESIGN CRITERIA</w:t>
                  </w:r>
                </w:p>
              </w:tc>
              <w:tc>
                <w:tcPr>
                  <w:tcW w:w="2105" w:type="dxa"/>
                  <w:tcBorders>
                    <w:top w:val="single" w:sz="4" w:space="0" w:color="000000"/>
                    <w:bottom w:val="single" w:sz="4" w:space="0" w:color="000000"/>
                    <w:end w:val="single" w:sz="4" w:space="0" w:color="000000"/>
                  </w:tcBorders>
                  <w:shd w:color="auto" w:fill="auto" w:val="clear"/>
                </w:tcPr>
                <w:p>
                  <w:pPr>
                    <w:pStyle w:val="Normal"/>
                    <w:suppressAutoHyphens w:val="false"/>
                    <w:rPr>
                      <w:rFonts w:cs="Dubai"/>
                      <w:color w:themeColor="text1" w:val="000000"/>
                      <w:sz w:val="22"/>
                      <w:szCs w:val="22"/>
                      <w:lang w:val="en-GB" w:eastAsia="en-GB"/>
                    </w:rPr>
                  </w:pPr>
                  <w:r>
                    <w:rPr>
                      <w:rFonts w:cs="Dubai"/>
                      <w:color w:themeColor="text1" w:val="000000"/>
                      <w:sz w:val="22"/>
                      <w:szCs w:val="22"/>
                      <w:lang w:val="en-GB" w:eastAsia="en-GB"/>
                    </w:rPr>
                    <w:t xml:space="preserve">Ver. AC –   </w:t>
                  </w:r>
                  <w:r>
                    <w:rPr>
                      <w:rFonts w:cs="Dubai"/>
                      <w:color w:themeColor="text1" w:val="000000"/>
                      <w:sz w:val="22"/>
                      <w:szCs w:val="22"/>
                      <w:lang w:eastAsia="en-GB"/>
                    </w:rPr>
                    <w:t>CODE 2 (16/04) –12 comments still open</w:t>
                  </w:r>
                </w:p>
              </w:tc>
              <w:tc>
                <w:tcPr>
                  <w:tcW w:w="1320" w:type="dxa"/>
                  <w:tcBorders>
                    <w:top w:val="single" w:sz="4" w:space="0" w:color="000000"/>
                    <w:bottom w:val="single" w:sz="4" w:space="0" w:color="000000"/>
                    <w:end w:val="single" w:sz="4" w:space="0" w:color="000000"/>
                  </w:tcBorders>
                  <w:shd w:color="auto" w:fill="auto" w:val="clear"/>
                </w:tcPr>
                <w:p>
                  <w:pPr>
                    <w:pStyle w:val="Normal"/>
                    <w:rPr>
                      <w:rFonts w:cs="Dubai"/>
                      <w:color w:val="000000"/>
                      <w:sz w:val="22"/>
                      <w:szCs w:val="22"/>
                      <w:lang w:eastAsia="en-GB"/>
                    </w:rPr>
                  </w:pPr>
                  <w:r>
                    <w:rPr>
                      <w:rFonts w:cs="Dubai"/>
                      <w:color w:themeColor="text1" w:val="000000"/>
                      <w:sz w:val="22"/>
                      <w:szCs w:val="22"/>
                      <w:lang w:eastAsia="en-GB"/>
                    </w:rPr>
                    <w:t>ver. AD submitted 26/05</w:t>
                  </w:r>
                </w:p>
              </w:tc>
            </w:tr>
            <w:tr>
              <w:trPr>
                <w:trHeight w:val="593" w:hRule="atLeast"/>
              </w:trPr>
              <w:tc>
                <w:tcPr>
                  <w:tcW w:w="1322" w:type="dxa"/>
                  <w:tcBorders>
                    <w:top w:val="single" w:sz="4" w:space="0" w:color="000000"/>
                    <w:start w:val="single" w:sz="4" w:space="0" w:color="000000"/>
                    <w:bottom w:val="single" w:sz="4" w:space="0" w:color="000000"/>
                    <w:end w:val="single" w:sz="4" w:space="0" w:color="000000"/>
                  </w:tcBorders>
                  <w:shd w:color="auto" w:fill="auto" w:val="clear"/>
                </w:tcPr>
                <w:p>
                  <w:pPr>
                    <w:pStyle w:val="Normal"/>
                    <w:suppressAutoHyphens w:val="false"/>
                    <w:rPr>
                      <w:rFonts w:cs="Dubai"/>
                      <w:color w:themeColor="text1" w:val="000000"/>
                      <w:sz w:val="22"/>
                      <w:szCs w:val="22"/>
                    </w:rPr>
                  </w:pPr>
                  <w:r>
                    <w:rPr>
                      <w:rFonts w:cs="Dubai"/>
                      <w:color w:themeColor="text1" w:val="000000"/>
                      <w:sz w:val="22"/>
                      <w:szCs w:val="22"/>
                    </w:rPr>
                    <w:t>Buildings TECHNICAL SPECIFICATION</w:t>
                  </w:r>
                </w:p>
              </w:tc>
              <w:tc>
                <w:tcPr>
                  <w:tcW w:w="2105" w:type="dxa"/>
                  <w:tcBorders>
                    <w:top w:val="single" w:sz="4" w:space="0" w:color="000000"/>
                    <w:bottom w:val="single" w:sz="4" w:space="0" w:color="000000"/>
                    <w:end w:val="single" w:sz="4" w:space="0" w:color="000000"/>
                  </w:tcBorders>
                  <w:shd w:color="auto" w:fill="auto" w:val="clear"/>
                </w:tcPr>
                <w:p>
                  <w:pPr>
                    <w:pStyle w:val="Normal"/>
                    <w:suppressAutoHyphens w:val="false"/>
                    <w:rPr>
                      <w:rFonts w:cs="Dubai"/>
                      <w:color w:themeColor="text1" w:val="000000"/>
                      <w:sz w:val="22"/>
                      <w:szCs w:val="22"/>
                      <w:lang w:val="en-GB" w:eastAsia="en-GB"/>
                    </w:rPr>
                  </w:pPr>
                  <w:r>
                    <w:rPr>
                      <w:rFonts w:cs="Dubai"/>
                      <w:color w:themeColor="text1" w:val="000000"/>
                      <w:sz w:val="22"/>
                      <w:szCs w:val="22"/>
                      <w:lang w:val="en-GB" w:eastAsia="en-GB"/>
                    </w:rPr>
                    <w:t xml:space="preserve">Ver. AD – </w:t>
                  </w:r>
                  <w:r>
                    <w:rPr>
                      <w:rFonts w:cs="Dubai"/>
                      <w:color w:themeColor="text1" w:val="000000"/>
                      <w:sz w:val="22"/>
                      <w:szCs w:val="22"/>
                      <w:lang w:eastAsia="en-GB"/>
                    </w:rPr>
                    <w:t>CODE 2 (16/04) –15 comments still open</w:t>
                  </w:r>
                </w:p>
              </w:tc>
              <w:tc>
                <w:tcPr>
                  <w:tcW w:w="1320" w:type="dxa"/>
                  <w:tcBorders>
                    <w:top w:val="single" w:sz="4" w:space="0" w:color="000000"/>
                    <w:bottom w:val="single" w:sz="4" w:space="0" w:color="000000"/>
                    <w:end w:val="single" w:sz="4" w:space="0" w:color="000000"/>
                  </w:tcBorders>
                  <w:shd w:color="auto" w:fill="auto" w:val="clear"/>
                </w:tcPr>
                <w:p>
                  <w:pPr>
                    <w:pStyle w:val="Normal"/>
                    <w:rPr>
                      <w:rFonts w:cs="Dubai"/>
                      <w:color w:val="000000"/>
                      <w:sz w:val="22"/>
                      <w:szCs w:val="22"/>
                      <w:lang w:eastAsia="en-GB"/>
                    </w:rPr>
                  </w:pPr>
                  <w:r>
                    <w:rPr>
                      <w:rFonts w:cs="Dubai"/>
                      <w:color w:themeColor="text1" w:val="000000"/>
                      <w:sz w:val="22"/>
                      <w:szCs w:val="22"/>
                      <w:lang w:eastAsia="en-GB"/>
                    </w:rPr>
                    <w:t>ver. AE submitted 22/05</w:t>
                  </w:r>
                </w:p>
              </w:tc>
            </w:tr>
          </w:tbl>
          <w:p>
            <w:pPr>
              <w:pStyle w:val="Normal"/>
              <w:widowControl/>
              <w:suppressAutoHyphens w:val="true"/>
              <w:spacing w:before="0" w:after="0"/>
              <w:jc w:val="both"/>
              <w:rPr>
                <w:rFonts w:eastAsia="Calibri" w:cs="Dubai"/>
                <w:sz w:val="22"/>
                <w:szCs w:val="22"/>
              </w:rPr>
            </w:pPr>
            <w:r>
              <w:rPr>
                <w:rFonts w:eastAsia="Calibri" w:cs="Dubai"/>
                <w:color w:themeColor="text1" w:val="000000"/>
                <w:kern w:val="0"/>
                <w:sz w:val="22"/>
                <w:szCs w:val="22"/>
                <w:lang w:val="en-US" w:eastAsia="en-US" w:bidi="ar-SA"/>
              </w:rPr>
              <w:t>(**) CRS include note: “Overall CRS comments are reduced to Code 2 to enable Tender submission, but Code 3 comments remain in the register and both Code 2 and Code 3 need to be resolved ASAP.”</w:t>
            </w:r>
          </w:p>
        </w:tc>
        <w:tc>
          <w:tcPr>
            <w:tcW w:w="850" w:type="dxa"/>
            <w:tcBorders/>
          </w:tcPr>
          <w:p>
            <w:pPr>
              <w:pStyle w:val="TableText"/>
              <w:widowControl w:val="false"/>
              <w:suppressAutoHyphens w:val="true"/>
              <w:spacing w:before="0" w:after="0"/>
              <w:jc w:val="center"/>
              <w:rPr>
                <w:bCs/>
                <w:lang w:val="en-GB"/>
              </w:rPr>
            </w:pPr>
            <w:r>
              <w:rPr>
                <w:rFonts w:eastAsia="Calibri"/>
                <w:bCs/>
                <w:kern w:val="0"/>
                <w:sz w:val="22"/>
                <w:szCs w:val="22"/>
                <w:lang w:val="en-GB" w:eastAsia="en-US" w:bidi="ar-SA"/>
              </w:rPr>
            </w:r>
          </w:p>
        </w:tc>
        <w:tc>
          <w:tcPr>
            <w:tcW w:w="1278" w:type="dxa"/>
            <w:tcBorders/>
          </w:tcPr>
          <w:p>
            <w:pPr>
              <w:pStyle w:val="TableText"/>
              <w:widowControl w:val="false"/>
              <w:suppressAutoHyphens w:val="true"/>
              <w:spacing w:before="0" w:after="0"/>
              <w:jc w:val="center"/>
              <w:rPr>
                <w:bCs/>
              </w:rPr>
            </w:pPr>
            <w:r>
              <w:rPr>
                <w:rFonts w:eastAsia="Calibri"/>
                <w:bCs/>
                <w:kern w:val="0"/>
                <w:sz w:val="22"/>
                <w:szCs w:val="22"/>
                <w:lang w:val="en-US" w:eastAsia="en-US" w:bidi="ar-SA"/>
              </w:rPr>
            </w:r>
          </w:p>
        </w:tc>
      </w:tr>
      <w:tr>
        <w:trPr>
          <w:trHeight w:val="578" w:hRule="atLeast"/>
        </w:trPr>
        <w:tc>
          <w:tcPr>
            <w:tcW w:w="1400" w:type="dxa"/>
            <w:tcBorders/>
            <w:vAlign w:val="center"/>
          </w:tcPr>
          <w:p>
            <w:pPr>
              <w:pStyle w:val="TableLineNumbering"/>
              <w:widowControl w:val="false"/>
              <w:numPr>
                <w:ilvl w:val="0"/>
                <w:numId w:val="0"/>
              </w:numPr>
              <w:suppressAutoHyphens w:val="true"/>
              <w:spacing w:before="0" w:after="0"/>
              <w:ind w:hanging="360" w:start="360"/>
              <w:jc w:val="start"/>
              <w:rPr>
                <w:kern w:val="0"/>
                <w:lang w:val="en-US" w:eastAsia="en-US" w:bidi="ar-SA"/>
              </w:rPr>
            </w:pPr>
            <w:r>
              <w:rPr>
                <w:kern w:val="0"/>
                <w:lang w:val="en-US" w:eastAsia="en-US" w:bidi="ar-SA"/>
              </w:rPr>
              <w:t>6.</w:t>
            </w:r>
          </w:p>
        </w:tc>
        <w:tc>
          <w:tcPr>
            <w:tcW w:w="1871" w:type="dxa"/>
            <w:tcBorders/>
            <w:vAlign w:val="center"/>
          </w:tcPr>
          <w:p>
            <w:pPr>
              <w:pStyle w:val="TableText"/>
              <w:widowControl w:val="false"/>
              <w:suppressAutoHyphens w:val="true"/>
              <w:spacing w:before="0" w:after="0"/>
              <w:jc w:val="start"/>
              <w:rPr>
                <w:bCs/>
              </w:rPr>
            </w:pPr>
            <w:r>
              <w:rPr>
                <w:rFonts w:eastAsia="Calibri"/>
                <w:caps/>
                <w:kern w:val="0"/>
                <w:sz w:val="22"/>
                <w:szCs w:val="22"/>
                <w:lang w:val="en-GB" w:eastAsia="en-US" w:bidi="ar-SA"/>
              </w:rPr>
              <w:t>MEP</w:t>
            </w:r>
          </w:p>
        </w:tc>
        <w:tc>
          <w:tcPr>
            <w:tcW w:w="5527" w:type="dxa"/>
            <w:tcBorders/>
          </w:tcPr>
          <w:p>
            <w:pPr>
              <w:pStyle w:val="Normal"/>
              <w:widowControl w:val="false"/>
              <w:suppressAutoHyphens w:val="true"/>
              <w:spacing w:before="0" w:after="0"/>
              <w:jc w:val="both"/>
              <w:rPr>
                <w:rFonts w:eastAsia="Dubai" w:cs="Dubai"/>
                <w:b/>
                <w:bCs/>
                <w:sz w:val="22"/>
                <w:szCs w:val="22"/>
              </w:rPr>
            </w:pPr>
            <w:r>
              <w:rPr>
                <w:rFonts w:eastAsia="Dubai" w:cs="Dubai"/>
                <w:b/>
                <w:bCs/>
                <w:kern w:val="0"/>
                <w:sz w:val="22"/>
                <w:szCs w:val="22"/>
                <w:lang w:val="en-US" w:eastAsia="en-US" w:bidi="ar-SA"/>
              </w:rPr>
              <w:t>MEP Design Status</w:t>
            </w:r>
          </w:p>
          <w:p>
            <w:pPr>
              <w:pStyle w:val="ListParagraph"/>
              <w:widowControl w:val="false"/>
              <w:numPr>
                <w:ilvl w:val="0"/>
                <w:numId w:val="20"/>
              </w:numPr>
              <w:ind w:hanging="360" w:start="38"/>
              <w:jc w:val="both"/>
              <w:rPr>
                <w:rFonts w:ascii="Dubai" w:hAnsi="Dubai" w:eastAsia="Dubai" w:cs="Dubai"/>
                <w:b/>
                <w:sz w:val="24"/>
                <w:szCs w:val="24"/>
              </w:rPr>
            </w:pPr>
            <w:r>
              <w:rPr>
                <w:rFonts w:eastAsia="Dubai" w:cs="Dubai" w:ascii="Dubai" w:hAnsi="Dubai"/>
                <w:b/>
                <w:bCs/>
                <w:kern w:val="0"/>
                <w:sz w:val="22"/>
                <w:szCs w:val="22"/>
                <w:lang w:eastAsia="en-US" w:bidi="ar-SA"/>
              </w:rPr>
              <w:t xml:space="preserve">Tunnels:  </w:t>
            </w:r>
            <w:r>
              <w:rPr>
                <w:rFonts w:eastAsia="Dubai" w:cs="Dubai" w:ascii="Dubai" w:hAnsi="Dubai"/>
                <w:kern w:val="0"/>
                <w:sz w:val="22"/>
                <w:szCs w:val="22"/>
                <w:lang w:eastAsia="en-US" w:bidi="ar-SA"/>
              </w:rPr>
              <w:t xml:space="preserve">Ongoing task to adapt the facilities to the new alignment and resolve pending Cod 2. </w:t>
            </w:r>
          </w:p>
          <w:tbl>
            <w:tblPr>
              <w:tblStyle w:val="TableGrid"/>
              <w:tblW w:w="5248" w:type="dxa"/>
              <w:jc w:val="start"/>
              <w:tblInd w:w="32" w:type="dxa"/>
              <w:tblLayout w:type="fixed"/>
              <w:tblCellMar>
                <w:top w:w="0" w:type="dxa"/>
                <w:start w:w="108" w:type="dxa"/>
                <w:bottom w:w="0" w:type="dxa"/>
                <w:end w:w="108" w:type="dxa"/>
              </w:tblCellMar>
              <w:tblLook w:firstRow="1" w:noVBand="1" w:lastRow="0" w:firstColumn="1" w:lastColumn="0" w:noHBand="1" w:val="06a0"/>
            </w:tblPr>
            <w:tblGrid>
              <w:gridCol w:w="1987"/>
              <w:gridCol w:w="1985"/>
              <w:gridCol w:w="1276"/>
            </w:tblGrid>
            <w:tr>
              <w:trPr>
                <w:trHeight w:val="295" w:hRule="atLeast"/>
              </w:trPr>
              <w:tc>
                <w:tcPr>
                  <w:tcW w:w="1987" w:type="dxa"/>
                  <w:tcBorders/>
                </w:tcPr>
                <w:p>
                  <w:pPr>
                    <w:pStyle w:val="Normal"/>
                    <w:widowControl/>
                    <w:suppressAutoHyphens w:val="true"/>
                    <w:spacing w:before="0" w:after="0"/>
                    <w:jc w:val="start"/>
                    <w:rPr>
                      <w:rFonts w:eastAsia="Dubai" w:cs="Dubai"/>
                      <w:b/>
                      <w:sz w:val="22"/>
                      <w:szCs w:val="22"/>
                    </w:rPr>
                  </w:pPr>
                  <w:r>
                    <w:rPr>
                      <w:rFonts w:eastAsia="Dubai" w:cs="Dubai"/>
                      <w:b/>
                      <w:kern w:val="0"/>
                      <w:sz w:val="22"/>
                      <w:szCs w:val="22"/>
                      <w:lang w:val="en-US" w:eastAsia="en-US" w:bidi="ar-SA"/>
                    </w:rPr>
                    <w:t xml:space="preserve">Tunnel </w:t>
                  </w:r>
                </w:p>
              </w:tc>
              <w:tc>
                <w:tcPr>
                  <w:tcW w:w="1985" w:type="dxa"/>
                  <w:tcBorders/>
                </w:tcPr>
                <w:p>
                  <w:pPr>
                    <w:pStyle w:val="Normal"/>
                    <w:widowControl/>
                    <w:suppressAutoHyphens w:val="true"/>
                    <w:spacing w:before="0" w:after="0"/>
                    <w:jc w:val="start"/>
                    <w:rPr>
                      <w:rFonts w:eastAsia="Dubai" w:cs="Dubai"/>
                      <w:b/>
                      <w:sz w:val="22"/>
                      <w:szCs w:val="22"/>
                    </w:rPr>
                  </w:pPr>
                  <w:r>
                    <w:rPr>
                      <w:rFonts w:eastAsia="Dubai" w:cs="Dubai"/>
                      <w:b/>
                      <w:kern w:val="0"/>
                      <w:sz w:val="22"/>
                      <w:szCs w:val="22"/>
                      <w:lang w:val="en-US" w:eastAsia="en-US" w:bidi="ar-SA"/>
                    </w:rPr>
                    <w:t xml:space="preserve">Status </w:t>
                  </w:r>
                </w:p>
              </w:tc>
              <w:tc>
                <w:tcPr>
                  <w:tcW w:w="1276" w:type="dxa"/>
                  <w:tcBorders/>
                </w:tcPr>
                <w:p>
                  <w:pPr>
                    <w:pStyle w:val="Normal"/>
                    <w:widowControl/>
                    <w:suppressAutoHyphens w:val="true"/>
                    <w:spacing w:before="0" w:after="0"/>
                    <w:jc w:val="start"/>
                    <w:rPr>
                      <w:rFonts w:eastAsia="Dubai" w:cs="Dubai"/>
                      <w:b/>
                      <w:sz w:val="22"/>
                      <w:szCs w:val="22"/>
                    </w:rPr>
                  </w:pPr>
                  <w:r>
                    <w:rPr>
                      <w:rFonts w:eastAsia="Dubai" w:cs="Dubai"/>
                      <w:b/>
                      <w:kern w:val="0"/>
                      <w:sz w:val="22"/>
                      <w:szCs w:val="22"/>
                      <w:lang w:val="en-US" w:eastAsia="en-US" w:bidi="ar-SA"/>
                    </w:rPr>
                    <w:t>Forecast</w:t>
                  </w:r>
                </w:p>
              </w:tc>
            </w:tr>
            <w:tr>
              <w:trPr>
                <w:trHeight w:val="295" w:hRule="atLeast"/>
              </w:trPr>
              <w:tc>
                <w:tcPr>
                  <w:tcW w:w="1987"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ADT tunnel Section</w:t>
                  </w:r>
                </w:p>
              </w:tc>
              <w:tc>
                <w:tcPr>
                  <w:tcW w:w="1985"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Rev.  AE. Cod 2</w:t>
                  </w:r>
                </w:p>
              </w:tc>
              <w:tc>
                <w:tcPr>
                  <w:tcW w:w="1276"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30/05/25</w:t>
                  </w:r>
                </w:p>
              </w:tc>
            </w:tr>
            <w:tr>
              <w:trPr>
                <w:trHeight w:val="295" w:hRule="atLeast"/>
              </w:trPr>
              <w:tc>
                <w:tcPr>
                  <w:tcW w:w="1987"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YAS – AD Border Cut and Cover:</w:t>
                  </w:r>
                </w:p>
              </w:tc>
              <w:tc>
                <w:tcPr>
                  <w:tcW w:w="1985"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Rev.  AC. Cod 2.</w:t>
                  </w:r>
                </w:p>
              </w:tc>
              <w:tc>
                <w:tcPr>
                  <w:tcW w:w="1276"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30/05/25</w:t>
                  </w:r>
                </w:p>
              </w:tc>
            </w:tr>
            <w:tr>
              <w:trPr>
                <w:trHeight w:val="295" w:hRule="atLeast"/>
              </w:trPr>
              <w:tc>
                <w:tcPr>
                  <w:tcW w:w="1987"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AUH tunnel section</w:t>
                  </w:r>
                </w:p>
              </w:tc>
              <w:tc>
                <w:tcPr>
                  <w:tcW w:w="1985" w:type="dxa"/>
                  <w:tcBorders/>
                </w:tcPr>
                <w:p>
                  <w:pPr>
                    <w:pStyle w:val="Normal"/>
                    <w:widowControl/>
                    <w:suppressAutoHyphens w:val="true"/>
                    <w:spacing w:before="0" w:after="0"/>
                    <w:jc w:val="start"/>
                    <w:rPr>
                      <w:rFonts w:eastAsia="" w:cs="Dubai" w:eastAsiaTheme="minorEastAsia"/>
                      <w:sz w:val="22"/>
                      <w:szCs w:val="22"/>
                      <w:lang w:val="en-GB"/>
                    </w:rPr>
                  </w:pPr>
                  <w:r>
                    <w:rPr>
                      <w:rFonts w:eastAsia="" w:cs="Dubai" w:eastAsiaTheme="minorEastAsia"/>
                      <w:kern w:val="0"/>
                      <w:sz w:val="22"/>
                      <w:szCs w:val="22"/>
                      <w:lang w:val="en-US" w:eastAsia="en-US" w:bidi="ar-SA"/>
                    </w:rPr>
                    <w:t>Rev.  AD. Cod 2.  Revision required for the new Alignment AUH delta.</w:t>
                  </w:r>
                </w:p>
              </w:tc>
              <w:tc>
                <w:tcPr>
                  <w:tcW w:w="1276"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30/05/25</w:t>
                  </w:r>
                </w:p>
              </w:tc>
            </w:tr>
            <w:tr>
              <w:trPr>
                <w:trHeight w:val="295" w:hRule="atLeast"/>
              </w:trPr>
              <w:tc>
                <w:tcPr>
                  <w:tcW w:w="1987"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DUSUP tunnel section</w:t>
                  </w:r>
                </w:p>
              </w:tc>
              <w:tc>
                <w:tcPr>
                  <w:tcW w:w="1985"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Rev AB Cod 2.</w:t>
                  </w:r>
                </w:p>
                <w:p>
                  <w:pPr>
                    <w:pStyle w:val="Normal"/>
                    <w:widowControl/>
                    <w:suppressAutoHyphens w:val="true"/>
                    <w:spacing w:before="0" w:after="0"/>
                    <w:jc w:val="both"/>
                    <w:rPr>
                      <w:rFonts w:eastAsia="Dubai" w:cs="Dubai"/>
                      <w:sz w:val="22"/>
                      <w:szCs w:val="22"/>
                    </w:rPr>
                  </w:pPr>
                  <w:r>
                    <w:rPr>
                      <w:rFonts w:eastAsia="Dubai" w:cs="Dubai"/>
                      <w:kern w:val="0"/>
                      <w:sz w:val="22"/>
                      <w:szCs w:val="22"/>
                      <w:lang w:val="en-GB" w:eastAsia="en-US" w:bidi="ar-SA"/>
                    </w:rPr>
                    <w:t>Considering a station at Maktoum Int. Airport.</w:t>
                  </w:r>
                </w:p>
              </w:tc>
              <w:tc>
                <w:tcPr>
                  <w:tcW w:w="1276"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30/05/25</w:t>
                  </w:r>
                </w:p>
              </w:tc>
            </w:tr>
            <w:tr>
              <w:trPr>
                <w:trHeight w:val="295" w:hRule="atLeast"/>
              </w:trPr>
              <w:tc>
                <w:tcPr>
                  <w:tcW w:w="1987"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 xml:space="preserve">DJD tunnel section </w:t>
                  </w:r>
                </w:p>
              </w:tc>
              <w:tc>
                <w:tcPr>
                  <w:tcW w:w="1985"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Rev AD. Cod 2.</w:t>
                  </w:r>
                </w:p>
                <w:p>
                  <w:pPr>
                    <w:pStyle w:val="Normal"/>
                    <w:widowControl/>
                    <w:suppressAutoHyphens w:val="true"/>
                    <w:spacing w:before="0" w:after="0"/>
                    <w:jc w:val="start"/>
                    <w:rPr>
                      <w:rFonts w:eastAsia="Dubai" w:cs="Dubai"/>
                      <w:sz w:val="22"/>
                      <w:szCs w:val="22"/>
                    </w:rPr>
                  </w:pPr>
                  <w:r>
                    <w:rPr>
                      <w:rFonts w:eastAsia="" w:cs="Dubai" w:eastAsiaTheme="minorEastAsia"/>
                      <w:kern w:val="0"/>
                      <w:sz w:val="22"/>
                      <w:szCs w:val="22"/>
                      <w:lang w:val="en-US" w:eastAsia="en-US" w:bidi="ar-SA"/>
                    </w:rPr>
                    <w:t>Revision required for</w:t>
                  </w:r>
                  <w:r>
                    <w:rPr>
                      <w:rFonts w:eastAsia="Dubai" w:cs="Dubai"/>
                      <w:kern w:val="0"/>
                      <w:sz w:val="22"/>
                      <w:szCs w:val="22"/>
                      <w:lang w:val="en-US" w:eastAsia="en-US" w:bidi="ar-SA"/>
                    </w:rPr>
                    <w:t xml:space="preserve"> extension to Sharjah</w:t>
                  </w:r>
                </w:p>
              </w:tc>
              <w:tc>
                <w:tcPr>
                  <w:tcW w:w="1276"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30/05/25</w:t>
                  </w:r>
                </w:p>
              </w:tc>
            </w:tr>
          </w:tbl>
          <w:p>
            <w:pPr>
              <w:pStyle w:val="ListParagraph"/>
              <w:widowControl w:val="false"/>
              <w:numPr>
                <w:ilvl w:val="0"/>
                <w:numId w:val="20"/>
              </w:numPr>
              <w:jc w:val="both"/>
              <w:rPr>
                <w:rFonts w:ascii="Dubai" w:hAnsi="Dubai" w:eastAsia="Dubai" w:cs="Dubai"/>
                <w:sz w:val="22"/>
                <w:szCs w:val="22"/>
              </w:rPr>
            </w:pPr>
            <w:r>
              <w:rPr>
                <w:rFonts w:eastAsia="Dubai" w:cs="Dubai" w:ascii="Dubai" w:hAnsi="Dubai"/>
                <w:b/>
                <w:bCs/>
                <w:kern w:val="0"/>
                <w:sz w:val="22"/>
                <w:szCs w:val="22"/>
                <w:lang w:eastAsia="en-US" w:bidi="ar-SA"/>
              </w:rPr>
              <w:t xml:space="preserve">Stations:  </w:t>
            </w:r>
            <w:r>
              <w:rPr>
                <w:rFonts w:eastAsia="Dubai" w:cs="Dubai" w:ascii="Dubai" w:hAnsi="Dubai"/>
                <w:kern w:val="0"/>
                <w:sz w:val="22"/>
                <w:szCs w:val="22"/>
                <w:lang w:eastAsia="en-US" w:bidi="ar-SA"/>
              </w:rPr>
              <w:t>Ongoing task to solve pending Cod 2.  The new versions will be implemented considering the new changes of distribution.</w:t>
            </w:r>
          </w:p>
          <w:tbl>
            <w:tblPr>
              <w:tblStyle w:val="TableGrid"/>
              <w:tblW w:w="5280" w:type="dxa"/>
              <w:jc w:val="start"/>
              <w:tblInd w:w="0" w:type="dxa"/>
              <w:tblLayout w:type="fixed"/>
              <w:tblCellMar>
                <w:top w:w="0" w:type="dxa"/>
                <w:start w:w="108" w:type="dxa"/>
                <w:bottom w:w="0" w:type="dxa"/>
                <w:end w:w="108" w:type="dxa"/>
              </w:tblCellMar>
              <w:tblLook w:firstRow="1" w:noVBand="1" w:lastRow="0" w:firstColumn="1" w:lastColumn="0" w:noHBand="1" w:val="06a0"/>
            </w:tblPr>
            <w:tblGrid>
              <w:gridCol w:w="1878"/>
              <w:gridCol w:w="1842"/>
              <w:gridCol w:w="1560"/>
            </w:tblGrid>
            <w:tr>
              <w:trPr>
                <w:trHeight w:val="300" w:hRule="atLeast"/>
              </w:trPr>
              <w:tc>
                <w:tcPr>
                  <w:tcW w:w="1878" w:type="dxa"/>
                  <w:tcBorders/>
                </w:tcPr>
                <w:p>
                  <w:pPr>
                    <w:pStyle w:val="Normal"/>
                    <w:widowControl/>
                    <w:suppressAutoHyphens w:val="true"/>
                    <w:spacing w:before="0" w:after="0"/>
                    <w:jc w:val="start"/>
                    <w:rPr>
                      <w:rFonts w:eastAsia="Dubai" w:cs="Dubai"/>
                      <w:b/>
                      <w:sz w:val="22"/>
                      <w:szCs w:val="22"/>
                    </w:rPr>
                  </w:pPr>
                  <w:r>
                    <w:rPr>
                      <w:rFonts w:eastAsia="Dubai" w:cs="Dubai"/>
                      <w:b/>
                      <w:kern w:val="0"/>
                      <w:sz w:val="22"/>
                      <w:szCs w:val="22"/>
                      <w:lang w:val="en-US" w:eastAsia="en-US" w:bidi="ar-SA"/>
                    </w:rPr>
                    <w:t xml:space="preserve">Station </w:t>
                  </w:r>
                </w:p>
              </w:tc>
              <w:tc>
                <w:tcPr>
                  <w:tcW w:w="1842" w:type="dxa"/>
                  <w:tcBorders/>
                </w:tcPr>
                <w:p>
                  <w:pPr>
                    <w:pStyle w:val="Normal"/>
                    <w:widowControl/>
                    <w:suppressAutoHyphens w:val="true"/>
                    <w:spacing w:before="0" w:after="0"/>
                    <w:jc w:val="start"/>
                    <w:rPr>
                      <w:rFonts w:eastAsia="Dubai" w:cs="Dubai"/>
                      <w:b/>
                      <w:sz w:val="22"/>
                      <w:szCs w:val="22"/>
                    </w:rPr>
                  </w:pPr>
                  <w:r>
                    <w:rPr>
                      <w:rFonts w:eastAsia="Dubai" w:cs="Dubai"/>
                      <w:b/>
                      <w:kern w:val="0"/>
                      <w:sz w:val="22"/>
                      <w:szCs w:val="22"/>
                      <w:lang w:val="en-US" w:eastAsia="en-US" w:bidi="ar-SA"/>
                    </w:rPr>
                    <w:t xml:space="preserve">Status </w:t>
                  </w:r>
                </w:p>
              </w:tc>
              <w:tc>
                <w:tcPr>
                  <w:tcW w:w="1560" w:type="dxa"/>
                  <w:tcBorders/>
                </w:tcPr>
                <w:p>
                  <w:pPr>
                    <w:pStyle w:val="Normal"/>
                    <w:widowControl/>
                    <w:suppressAutoHyphens w:val="true"/>
                    <w:spacing w:before="0" w:after="0"/>
                    <w:jc w:val="start"/>
                    <w:rPr>
                      <w:rFonts w:eastAsia="Dubai" w:cs="Dubai"/>
                      <w:b/>
                      <w:sz w:val="22"/>
                      <w:szCs w:val="22"/>
                    </w:rPr>
                  </w:pPr>
                  <w:r>
                    <w:rPr>
                      <w:rFonts w:eastAsia="Dubai" w:cs="Dubai"/>
                      <w:b/>
                      <w:kern w:val="0"/>
                      <w:sz w:val="22"/>
                      <w:szCs w:val="22"/>
                      <w:lang w:val="en-US" w:eastAsia="en-US" w:bidi="ar-SA"/>
                    </w:rPr>
                    <w:t>Forecast</w:t>
                  </w:r>
                </w:p>
              </w:tc>
            </w:tr>
            <w:tr>
              <w:trPr>
                <w:trHeight w:val="300" w:hRule="atLeast"/>
              </w:trPr>
              <w:tc>
                <w:tcPr>
                  <w:tcW w:w="1878"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 xml:space="preserve">ADT </w:t>
                  </w:r>
                </w:p>
              </w:tc>
              <w:tc>
                <w:tcPr>
                  <w:tcW w:w="1842"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 xml:space="preserve">Rev. AB: Cod 2.  </w:t>
                  </w:r>
                </w:p>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r>
                </w:p>
              </w:tc>
              <w:tc>
                <w:tcPr>
                  <w:tcW w:w="1560" w:type="dxa"/>
                  <w:tcBorders/>
                </w:tcPr>
                <w:p>
                  <w:pPr>
                    <w:pStyle w:val="Normal"/>
                    <w:widowControl/>
                    <w:suppressAutoHyphens w:val="true"/>
                    <w:spacing w:before="0" w:after="0"/>
                    <w:jc w:val="start"/>
                    <w:rPr>
                      <w:rFonts w:eastAsia="Dubai" w:cs="Dubai"/>
                      <w:sz w:val="22"/>
                      <w:szCs w:val="22"/>
                      <w:lang w:val="en-GB"/>
                    </w:rPr>
                  </w:pPr>
                  <w:r>
                    <w:rPr>
                      <w:rFonts w:eastAsia="Dubai" w:cs="Dubai"/>
                      <w:kern w:val="0"/>
                      <w:sz w:val="22"/>
                      <w:szCs w:val="22"/>
                      <w:lang w:val="en-US" w:eastAsia="en-US" w:bidi="ar-SA"/>
                    </w:rPr>
                    <w:t>20/05/25</w:t>
                  </w:r>
                </w:p>
              </w:tc>
            </w:tr>
            <w:tr>
              <w:trPr>
                <w:trHeight w:val="300" w:hRule="atLeast"/>
              </w:trPr>
              <w:tc>
                <w:tcPr>
                  <w:tcW w:w="1878"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ADS</w:t>
                  </w:r>
                </w:p>
              </w:tc>
              <w:tc>
                <w:tcPr>
                  <w:tcW w:w="1842"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 xml:space="preserve"> </w:t>
                  </w:r>
                </w:p>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Rev. AB: Cod 2.</w:t>
                  </w:r>
                </w:p>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r>
                </w:p>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r>
                </w:p>
              </w:tc>
              <w:tc>
                <w:tcPr>
                  <w:tcW w:w="1560" w:type="dxa"/>
                  <w:tcBorders/>
                </w:tcPr>
                <w:p>
                  <w:pPr>
                    <w:pStyle w:val="Normal"/>
                    <w:widowControl/>
                    <w:suppressAutoHyphens w:val="true"/>
                    <w:spacing w:before="0" w:after="0"/>
                    <w:jc w:val="start"/>
                    <w:rPr>
                      <w:rFonts w:eastAsia="Dubai" w:cs="Dubai"/>
                      <w:sz w:val="22"/>
                      <w:szCs w:val="22"/>
                      <w:lang w:val="en-GB"/>
                    </w:rPr>
                  </w:pPr>
                  <w:r>
                    <w:rPr>
                      <w:rFonts w:eastAsia="Dubai" w:cs="Dubai"/>
                      <w:kern w:val="0"/>
                      <w:sz w:val="22"/>
                      <w:szCs w:val="22"/>
                      <w:lang w:val="en-US" w:eastAsia="en-US" w:bidi="ar-SA"/>
                    </w:rPr>
                    <w:t>20/05/25</w:t>
                  </w:r>
                </w:p>
              </w:tc>
            </w:tr>
            <w:tr>
              <w:trPr>
                <w:trHeight w:val="300" w:hRule="atLeast"/>
              </w:trPr>
              <w:tc>
                <w:tcPr>
                  <w:tcW w:w="1878"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YAS</w:t>
                  </w:r>
                </w:p>
              </w:tc>
              <w:tc>
                <w:tcPr>
                  <w:tcW w:w="1842"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 xml:space="preserve">Rev. AD: Cod 2. </w:t>
                  </w:r>
                </w:p>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r>
                </w:p>
              </w:tc>
              <w:tc>
                <w:tcPr>
                  <w:tcW w:w="1560" w:type="dxa"/>
                  <w:tcBorders/>
                </w:tcPr>
                <w:p>
                  <w:pPr>
                    <w:pStyle w:val="Normal"/>
                    <w:widowControl/>
                    <w:suppressAutoHyphens w:val="true"/>
                    <w:spacing w:before="0" w:after="0"/>
                    <w:jc w:val="start"/>
                    <w:rPr>
                      <w:rFonts w:eastAsia="Dubai" w:cs="Dubai"/>
                      <w:sz w:val="22"/>
                      <w:szCs w:val="22"/>
                      <w:lang w:val="en-GB"/>
                    </w:rPr>
                  </w:pPr>
                  <w:r>
                    <w:rPr>
                      <w:rFonts w:eastAsia="Dubai" w:cs="Dubai"/>
                      <w:kern w:val="0"/>
                      <w:sz w:val="22"/>
                      <w:szCs w:val="22"/>
                      <w:lang w:val="en-US" w:eastAsia="en-US" w:bidi="ar-SA"/>
                    </w:rPr>
                    <w:t>20/05/25</w:t>
                  </w:r>
                </w:p>
              </w:tc>
            </w:tr>
            <w:tr>
              <w:trPr>
                <w:trHeight w:val="300" w:hRule="atLeast"/>
              </w:trPr>
              <w:tc>
                <w:tcPr>
                  <w:tcW w:w="1878"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AUH</w:t>
                  </w:r>
                </w:p>
              </w:tc>
              <w:tc>
                <w:tcPr>
                  <w:tcW w:w="1842"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 xml:space="preserve">Rev. AD: Cod 2. </w:t>
                  </w:r>
                </w:p>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r>
                </w:p>
              </w:tc>
              <w:tc>
                <w:tcPr>
                  <w:tcW w:w="1560"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20/05/25</w:t>
                  </w:r>
                </w:p>
              </w:tc>
            </w:tr>
            <w:tr>
              <w:trPr>
                <w:trHeight w:val="300" w:hRule="atLeast"/>
              </w:trPr>
              <w:tc>
                <w:tcPr>
                  <w:tcW w:w="1878"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DJD</w:t>
                  </w:r>
                </w:p>
              </w:tc>
              <w:tc>
                <w:tcPr>
                  <w:tcW w:w="1842"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 xml:space="preserve"> </w:t>
                  </w:r>
                  <w:r>
                    <w:rPr>
                      <w:rFonts w:eastAsia="Dubai" w:cs="Dubai"/>
                      <w:kern w:val="0"/>
                      <w:sz w:val="22"/>
                      <w:szCs w:val="22"/>
                      <w:lang w:val="en-US" w:eastAsia="en-US" w:bidi="ar-SA"/>
                    </w:rPr>
                    <w:t xml:space="preserve">Rev. AC: Cod 2. </w:t>
                  </w:r>
                </w:p>
                <w:p>
                  <w:pPr>
                    <w:pStyle w:val="Normal"/>
                    <w:widowControl/>
                    <w:suppressAutoHyphens w:val="true"/>
                    <w:spacing w:before="0" w:after="0"/>
                    <w:jc w:val="start"/>
                    <w:rPr>
                      <w:rFonts w:eastAsia="Dubai" w:cs="Dubai"/>
                      <w:sz w:val="22"/>
                      <w:szCs w:val="22"/>
                      <w:lang w:val="en-GB"/>
                    </w:rPr>
                  </w:pPr>
                  <w:r>
                    <w:rPr>
                      <w:rFonts w:eastAsia="Dubai" w:cs="Dubai"/>
                      <w:kern w:val="0"/>
                      <w:sz w:val="22"/>
                      <w:szCs w:val="22"/>
                      <w:lang w:val="en-GB" w:eastAsia="en-US" w:bidi="ar-SA"/>
                    </w:rPr>
                  </w:r>
                </w:p>
              </w:tc>
              <w:tc>
                <w:tcPr>
                  <w:tcW w:w="1560"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20/05/25</w:t>
                  </w:r>
                </w:p>
              </w:tc>
            </w:tr>
          </w:tbl>
          <w:p>
            <w:pPr>
              <w:pStyle w:val="ListParagraph"/>
              <w:widowControl w:val="false"/>
              <w:numPr>
                <w:ilvl w:val="0"/>
                <w:numId w:val="20"/>
              </w:numPr>
              <w:jc w:val="both"/>
              <w:rPr>
                <w:rFonts w:ascii="Dubai" w:hAnsi="Dubai" w:eastAsia="Dubai" w:cs="Dubai"/>
                <w:sz w:val="22"/>
                <w:szCs w:val="22"/>
              </w:rPr>
            </w:pPr>
            <w:r>
              <w:rPr>
                <w:rFonts w:eastAsia="Dubai" w:cs="Dubai" w:ascii="Dubai" w:hAnsi="Dubai"/>
                <w:b/>
                <w:bCs/>
                <w:kern w:val="0"/>
                <w:sz w:val="22"/>
                <w:szCs w:val="22"/>
                <w:lang w:eastAsia="en-US" w:bidi="ar-SA"/>
              </w:rPr>
              <w:t xml:space="preserve">Depots:  </w:t>
            </w:r>
            <w:r>
              <w:rPr>
                <w:rFonts w:eastAsia="Dubai" w:cs="Dubai" w:ascii="Dubai" w:hAnsi="Dubai"/>
                <w:kern w:val="0"/>
                <w:sz w:val="22"/>
                <w:szCs w:val="22"/>
                <w:lang w:eastAsia="en-US" w:bidi="ar-SA"/>
              </w:rPr>
              <w:t>Ongoing task to solve pending Cod 2.</w:t>
            </w:r>
          </w:p>
          <w:tbl>
            <w:tblPr>
              <w:tblStyle w:val="TableGrid"/>
              <w:tblW w:w="5280" w:type="dxa"/>
              <w:jc w:val="start"/>
              <w:tblInd w:w="0" w:type="dxa"/>
              <w:tblLayout w:type="fixed"/>
              <w:tblCellMar>
                <w:top w:w="0" w:type="dxa"/>
                <w:start w:w="108" w:type="dxa"/>
                <w:bottom w:w="0" w:type="dxa"/>
                <w:end w:w="108" w:type="dxa"/>
              </w:tblCellMar>
              <w:tblLook w:firstRow="1" w:noVBand="1" w:lastRow="0" w:firstColumn="1" w:lastColumn="0" w:noHBand="1" w:val="06a0"/>
            </w:tblPr>
            <w:tblGrid>
              <w:gridCol w:w="1736"/>
              <w:gridCol w:w="1700"/>
              <w:gridCol w:w="1844"/>
            </w:tblGrid>
            <w:tr>
              <w:trPr>
                <w:trHeight w:val="297" w:hRule="atLeast"/>
              </w:trPr>
              <w:tc>
                <w:tcPr>
                  <w:tcW w:w="1736" w:type="dxa"/>
                  <w:tcBorders/>
                </w:tcPr>
                <w:p>
                  <w:pPr>
                    <w:pStyle w:val="Normal"/>
                    <w:widowControl/>
                    <w:suppressAutoHyphens w:val="true"/>
                    <w:spacing w:before="0" w:after="0"/>
                    <w:jc w:val="start"/>
                    <w:rPr>
                      <w:rFonts w:eastAsia="Dubai" w:cs="Dubai"/>
                      <w:b/>
                      <w:sz w:val="22"/>
                      <w:szCs w:val="22"/>
                    </w:rPr>
                  </w:pPr>
                  <w:r>
                    <w:rPr>
                      <w:rFonts w:eastAsia="Dubai" w:cs="Dubai"/>
                      <w:b/>
                      <w:kern w:val="0"/>
                      <w:sz w:val="22"/>
                      <w:szCs w:val="22"/>
                      <w:lang w:val="en-US" w:eastAsia="en-US" w:bidi="ar-SA"/>
                    </w:rPr>
                    <w:t>Depots</w:t>
                  </w:r>
                </w:p>
              </w:tc>
              <w:tc>
                <w:tcPr>
                  <w:tcW w:w="1700" w:type="dxa"/>
                  <w:tcBorders/>
                </w:tcPr>
                <w:p>
                  <w:pPr>
                    <w:pStyle w:val="Normal"/>
                    <w:widowControl/>
                    <w:suppressAutoHyphens w:val="true"/>
                    <w:spacing w:before="0" w:after="0"/>
                    <w:jc w:val="start"/>
                    <w:rPr>
                      <w:rFonts w:eastAsia="Dubai" w:cs="Dubai"/>
                      <w:b/>
                      <w:sz w:val="22"/>
                      <w:szCs w:val="22"/>
                    </w:rPr>
                  </w:pPr>
                  <w:r>
                    <w:rPr>
                      <w:rFonts w:eastAsia="Dubai" w:cs="Dubai"/>
                      <w:b/>
                      <w:kern w:val="0"/>
                      <w:sz w:val="22"/>
                      <w:szCs w:val="22"/>
                      <w:lang w:val="en-US" w:eastAsia="en-US" w:bidi="ar-SA"/>
                    </w:rPr>
                    <w:t>Status</w:t>
                  </w:r>
                </w:p>
              </w:tc>
              <w:tc>
                <w:tcPr>
                  <w:tcW w:w="1844" w:type="dxa"/>
                  <w:tcBorders/>
                </w:tcPr>
                <w:p>
                  <w:pPr>
                    <w:pStyle w:val="Normal"/>
                    <w:widowControl/>
                    <w:suppressAutoHyphens w:val="true"/>
                    <w:spacing w:before="0" w:after="0"/>
                    <w:jc w:val="start"/>
                    <w:rPr>
                      <w:rFonts w:eastAsia="Dubai" w:cs="Dubai"/>
                      <w:b/>
                      <w:sz w:val="22"/>
                      <w:szCs w:val="22"/>
                    </w:rPr>
                  </w:pPr>
                  <w:r>
                    <w:rPr>
                      <w:rFonts w:eastAsia="Dubai" w:cs="Dubai"/>
                      <w:b/>
                      <w:kern w:val="0"/>
                      <w:sz w:val="22"/>
                      <w:szCs w:val="22"/>
                      <w:lang w:val="en-US" w:eastAsia="en-US" w:bidi="ar-SA"/>
                    </w:rPr>
                    <w:t xml:space="preserve">Forecast </w:t>
                  </w:r>
                </w:p>
              </w:tc>
            </w:tr>
            <w:tr>
              <w:trPr>
                <w:trHeight w:val="297" w:hRule="atLeast"/>
              </w:trPr>
              <w:tc>
                <w:tcPr>
                  <w:tcW w:w="1736"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Shahama Depot</w:t>
                  </w:r>
                </w:p>
              </w:tc>
              <w:tc>
                <w:tcPr>
                  <w:tcW w:w="1700"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 xml:space="preserve">Rev. AD Cod 1. </w:t>
                  </w:r>
                </w:p>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r>
                </w:p>
              </w:tc>
              <w:tc>
                <w:tcPr>
                  <w:tcW w:w="1844"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 xml:space="preserve"> </w:t>
                  </w:r>
                  <w:r>
                    <w:rPr>
                      <w:rFonts w:eastAsia="Dubai" w:cs="Dubai"/>
                      <w:kern w:val="0"/>
                      <w:sz w:val="22"/>
                      <w:szCs w:val="22"/>
                      <w:lang w:val="en-US" w:eastAsia="en-US" w:bidi="ar-SA"/>
                    </w:rPr>
                    <w:t>Submitted on 15/05/25</w:t>
                  </w:r>
                </w:p>
              </w:tc>
            </w:tr>
            <w:tr>
              <w:trPr>
                <w:trHeight w:val="297" w:hRule="atLeast"/>
              </w:trPr>
              <w:tc>
                <w:tcPr>
                  <w:tcW w:w="1736" w:type="dxa"/>
                  <w:vMerge w:val="restart"/>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 xml:space="preserve">IMF Dubai </w:t>
                  </w:r>
                </w:p>
              </w:tc>
              <w:tc>
                <w:tcPr>
                  <w:tcW w:w="1700"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Rev. AB: Cod 2:</w:t>
                  </w:r>
                </w:p>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r>
                </w:p>
              </w:tc>
              <w:tc>
                <w:tcPr>
                  <w:tcW w:w="1844"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 xml:space="preserve"> </w:t>
                  </w:r>
                </w:p>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 xml:space="preserve"> </w:t>
                  </w:r>
                  <w:r>
                    <w:rPr>
                      <w:rFonts w:eastAsia="Dubai" w:cs="Dubai"/>
                      <w:kern w:val="0"/>
                      <w:sz w:val="22"/>
                      <w:szCs w:val="22"/>
                      <w:lang w:val="en-US" w:eastAsia="en-US" w:bidi="ar-SA"/>
                    </w:rPr>
                    <w:t>Submitted on 15/05/25</w:t>
                  </w:r>
                </w:p>
              </w:tc>
            </w:tr>
            <w:tr>
              <w:trPr>
                <w:trHeight w:val="297" w:hRule="atLeast"/>
              </w:trPr>
              <w:tc>
                <w:tcPr>
                  <w:tcW w:w="1736" w:type="dxa"/>
                  <w:vMerge w:val="continue"/>
                  <w:tcBorders/>
                </w:tcPr>
                <w:p>
                  <w:pPr>
                    <w:pStyle w:val="Normal"/>
                    <w:widowControl/>
                    <w:suppressAutoHyphens w:val="true"/>
                    <w:spacing w:before="0" w:after="0"/>
                    <w:jc w:val="start"/>
                    <w:rPr>
                      <w:rFonts w:cs="Dubai"/>
                      <w:sz w:val="22"/>
                      <w:szCs w:val="22"/>
                    </w:rPr>
                  </w:pPr>
                  <w:r>
                    <w:rPr>
                      <w:rFonts w:cs="Dubai"/>
                      <w:kern w:val="0"/>
                      <w:sz w:val="22"/>
                      <w:szCs w:val="22"/>
                      <w:lang w:val="en-US" w:eastAsia="en-US" w:bidi="ar-SA"/>
                    </w:rPr>
                  </w:r>
                </w:p>
              </w:tc>
              <w:tc>
                <w:tcPr>
                  <w:tcW w:w="1700"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New configuration of IMF Dubai. Comments received on 26/04/25</w:t>
                  </w:r>
                </w:p>
              </w:tc>
              <w:tc>
                <w:tcPr>
                  <w:tcW w:w="1844"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Submitted on 15/05/25</w:t>
                  </w:r>
                </w:p>
              </w:tc>
            </w:tr>
            <w:tr>
              <w:trPr>
                <w:trHeight w:val="300" w:hRule="atLeast"/>
              </w:trPr>
              <w:tc>
                <w:tcPr>
                  <w:tcW w:w="1736"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IMF Al Ain</w:t>
                  </w:r>
                </w:p>
              </w:tc>
              <w:tc>
                <w:tcPr>
                  <w:tcW w:w="1700"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Rev AA pending review</w:t>
                  </w:r>
                </w:p>
              </w:tc>
              <w:tc>
                <w:tcPr>
                  <w:tcW w:w="1844"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 xml:space="preserve"> </w:t>
                  </w:r>
                  <w:r>
                    <w:rPr>
                      <w:rFonts w:eastAsia="Dubai" w:cs="Dubai"/>
                      <w:kern w:val="0"/>
                      <w:sz w:val="22"/>
                      <w:szCs w:val="22"/>
                      <w:lang w:val="en-US" w:eastAsia="en-US" w:bidi="ar-SA"/>
                    </w:rPr>
                    <w:t>Submitted on 15/05/25</w:t>
                  </w:r>
                </w:p>
              </w:tc>
            </w:tr>
          </w:tbl>
          <w:p>
            <w:pPr>
              <w:pStyle w:val="ListParagraph"/>
              <w:widowControl/>
              <w:numPr>
                <w:ilvl w:val="0"/>
                <w:numId w:val="6"/>
              </w:numPr>
              <w:jc w:val="both"/>
              <w:rPr>
                <w:rFonts w:ascii="Dubai" w:hAnsi="Dubai" w:eastAsia="Dubai" w:cs="Dubai"/>
                <w:sz w:val="22"/>
                <w:szCs w:val="22"/>
              </w:rPr>
            </w:pPr>
            <w:r>
              <w:rPr>
                <w:rFonts w:eastAsia="Dubai" w:cs="Dubai" w:ascii="Dubai" w:hAnsi="Dubai"/>
                <w:b/>
                <w:bCs/>
                <w:kern w:val="0"/>
                <w:sz w:val="22"/>
                <w:szCs w:val="22"/>
                <w:lang w:eastAsia="en-US" w:bidi="ar-SA"/>
              </w:rPr>
              <w:t xml:space="preserve">Auxiliary Buildings: </w:t>
            </w:r>
            <w:r>
              <w:rPr>
                <w:rFonts w:eastAsia="Dubai" w:cs="Dubai" w:ascii="Dubai" w:hAnsi="Dubai"/>
                <w:kern w:val="0"/>
                <w:sz w:val="22"/>
                <w:szCs w:val="22"/>
                <w:lang w:eastAsia="en-US" w:bidi="ar-SA"/>
              </w:rPr>
              <w:t>Ongoing work to adapt the facilities to the distribution modifications required to include outdoor equipment inside the buildings.</w:t>
            </w:r>
          </w:p>
          <w:tbl>
            <w:tblPr>
              <w:tblStyle w:val="TableGrid"/>
              <w:tblW w:w="5138" w:type="dxa"/>
              <w:jc w:val="start"/>
              <w:tblInd w:w="0" w:type="dxa"/>
              <w:tblLayout w:type="fixed"/>
              <w:tblCellMar>
                <w:top w:w="0" w:type="dxa"/>
                <w:start w:w="108" w:type="dxa"/>
                <w:bottom w:w="0" w:type="dxa"/>
                <w:end w:w="108" w:type="dxa"/>
              </w:tblCellMar>
              <w:tblLook w:firstRow="1" w:noVBand="1" w:lastRow="0" w:firstColumn="1" w:lastColumn="0" w:noHBand="1" w:val="06a0"/>
            </w:tblPr>
            <w:tblGrid>
              <w:gridCol w:w="1593"/>
              <w:gridCol w:w="1843"/>
              <w:gridCol w:w="1702"/>
            </w:tblGrid>
            <w:tr>
              <w:trPr>
                <w:trHeight w:val="291" w:hRule="atLeast"/>
              </w:trPr>
              <w:tc>
                <w:tcPr>
                  <w:tcW w:w="1593" w:type="dxa"/>
                  <w:tcBorders/>
                </w:tcPr>
                <w:p>
                  <w:pPr>
                    <w:pStyle w:val="Normal"/>
                    <w:widowControl/>
                    <w:suppressAutoHyphens w:val="true"/>
                    <w:spacing w:before="0" w:after="0"/>
                    <w:jc w:val="start"/>
                    <w:rPr>
                      <w:rFonts w:eastAsia="Dubai" w:cs="Dubai"/>
                      <w:b/>
                      <w:sz w:val="22"/>
                      <w:szCs w:val="22"/>
                    </w:rPr>
                  </w:pPr>
                  <w:r>
                    <w:rPr>
                      <w:rFonts w:eastAsia="Dubai" w:cs="Dubai"/>
                      <w:b/>
                      <w:kern w:val="0"/>
                      <w:sz w:val="22"/>
                      <w:szCs w:val="22"/>
                      <w:lang w:val="en-US" w:eastAsia="en-US" w:bidi="ar-SA"/>
                    </w:rPr>
                    <w:t>Auxiliary Buildings</w:t>
                  </w:r>
                </w:p>
              </w:tc>
              <w:tc>
                <w:tcPr>
                  <w:tcW w:w="1843" w:type="dxa"/>
                  <w:tcBorders/>
                </w:tcPr>
                <w:p>
                  <w:pPr>
                    <w:pStyle w:val="Normal"/>
                    <w:widowControl/>
                    <w:suppressAutoHyphens w:val="true"/>
                    <w:spacing w:before="0" w:after="0"/>
                    <w:jc w:val="start"/>
                    <w:rPr>
                      <w:rFonts w:eastAsia="Dubai" w:cs="Dubai"/>
                      <w:b/>
                      <w:sz w:val="22"/>
                      <w:szCs w:val="22"/>
                    </w:rPr>
                  </w:pPr>
                  <w:r>
                    <w:rPr>
                      <w:rFonts w:eastAsia="Dubai" w:cs="Dubai"/>
                      <w:b/>
                      <w:kern w:val="0"/>
                      <w:sz w:val="22"/>
                      <w:szCs w:val="22"/>
                      <w:lang w:val="en-US" w:eastAsia="en-US" w:bidi="ar-SA"/>
                    </w:rPr>
                    <w:t>Status</w:t>
                  </w:r>
                </w:p>
              </w:tc>
              <w:tc>
                <w:tcPr>
                  <w:tcW w:w="1702" w:type="dxa"/>
                  <w:tcBorders/>
                </w:tcPr>
                <w:p>
                  <w:pPr>
                    <w:pStyle w:val="Normal"/>
                    <w:widowControl/>
                    <w:suppressAutoHyphens w:val="true"/>
                    <w:spacing w:before="0" w:after="0"/>
                    <w:jc w:val="start"/>
                    <w:rPr>
                      <w:rFonts w:eastAsia="Dubai" w:cs="Dubai"/>
                      <w:b/>
                      <w:sz w:val="22"/>
                      <w:szCs w:val="22"/>
                    </w:rPr>
                  </w:pPr>
                  <w:r>
                    <w:rPr>
                      <w:rFonts w:eastAsia="Dubai" w:cs="Dubai"/>
                      <w:b/>
                      <w:kern w:val="0"/>
                      <w:sz w:val="22"/>
                      <w:szCs w:val="22"/>
                      <w:lang w:val="en-US" w:eastAsia="en-US" w:bidi="ar-SA"/>
                    </w:rPr>
                    <w:t>Forecast</w:t>
                  </w:r>
                </w:p>
              </w:tc>
            </w:tr>
            <w:tr>
              <w:trPr>
                <w:trHeight w:val="291" w:hRule="atLeast"/>
              </w:trPr>
              <w:tc>
                <w:tcPr>
                  <w:tcW w:w="1593"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r>
                </w:p>
              </w:tc>
              <w:tc>
                <w:tcPr>
                  <w:tcW w:w="1843"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 xml:space="preserve">Rev. AD: Cod 1. </w:t>
                  </w:r>
                </w:p>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r>
                </w:p>
              </w:tc>
              <w:tc>
                <w:tcPr>
                  <w:tcW w:w="1702"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Submitted on 15/05/25</w:t>
                  </w:r>
                </w:p>
              </w:tc>
            </w:tr>
          </w:tbl>
          <w:p>
            <w:pPr>
              <w:pStyle w:val="ListParagraph"/>
              <w:widowControl/>
              <w:numPr>
                <w:ilvl w:val="0"/>
                <w:numId w:val="5"/>
              </w:numPr>
              <w:ind w:hanging="142" w:start="171"/>
              <w:jc w:val="both"/>
              <w:rPr>
                <w:rFonts w:eastAsia="Dubai" w:cs="Dubai"/>
                <w:sz w:val="22"/>
                <w:szCs w:val="22"/>
              </w:rPr>
            </w:pPr>
            <w:r>
              <w:rPr>
                <w:rFonts w:eastAsia="Dubai" w:cs="Dubai" w:ascii="Dubai" w:hAnsi="Dubai"/>
                <w:b/>
                <w:bCs/>
                <w:kern w:val="0"/>
                <w:sz w:val="22"/>
                <w:szCs w:val="22"/>
                <w:lang w:eastAsia="en-US" w:bidi="ar-SA"/>
              </w:rPr>
              <w:t xml:space="preserve">Technical Specifications: </w:t>
            </w:r>
            <w:r>
              <w:rPr>
                <w:rFonts w:eastAsia="Dubai" w:cs="Dubai" w:ascii="Dubai" w:hAnsi="Dubai"/>
                <w:kern w:val="0"/>
                <w:sz w:val="22"/>
                <w:szCs w:val="22"/>
                <w:lang w:eastAsia="en-US" w:bidi="ar-SA"/>
              </w:rPr>
              <w:t>New version was submitted to include the tender comments.</w:t>
            </w:r>
          </w:p>
          <w:tbl>
            <w:tblPr>
              <w:tblStyle w:val="TableGrid"/>
              <w:tblW w:w="5115" w:type="dxa"/>
              <w:jc w:val="start"/>
              <w:tblInd w:w="23" w:type="dxa"/>
              <w:tblLayout w:type="fixed"/>
              <w:tblCellMar>
                <w:top w:w="0" w:type="dxa"/>
                <w:start w:w="108" w:type="dxa"/>
                <w:bottom w:w="0" w:type="dxa"/>
                <w:end w:w="108" w:type="dxa"/>
              </w:tblCellMar>
              <w:tblLook w:firstRow="1" w:noVBand="1" w:lastRow="0" w:firstColumn="1" w:lastColumn="0" w:noHBand="1" w:val="06a0"/>
            </w:tblPr>
            <w:tblGrid>
              <w:gridCol w:w="1570"/>
              <w:gridCol w:w="1843"/>
              <w:gridCol w:w="1702"/>
            </w:tblGrid>
            <w:tr>
              <w:trPr>
                <w:trHeight w:val="300" w:hRule="atLeast"/>
              </w:trPr>
              <w:tc>
                <w:tcPr>
                  <w:tcW w:w="1570" w:type="dxa"/>
                  <w:tcBorders/>
                </w:tcPr>
                <w:p>
                  <w:pPr>
                    <w:pStyle w:val="Normal"/>
                    <w:widowControl/>
                    <w:suppressAutoHyphens w:val="true"/>
                    <w:spacing w:before="0" w:after="0"/>
                    <w:jc w:val="start"/>
                    <w:rPr>
                      <w:rFonts w:eastAsia="Dubai" w:cs="Dubai"/>
                      <w:b/>
                      <w:bCs/>
                      <w:sz w:val="22"/>
                      <w:szCs w:val="22"/>
                    </w:rPr>
                  </w:pPr>
                  <w:r>
                    <w:rPr>
                      <w:rFonts w:eastAsia="Dubai" w:cs="Dubai"/>
                      <w:b/>
                      <w:bCs/>
                      <w:kern w:val="0"/>
                      <w:sz w:val="22"/>
                      <w:szCs w:val="22"/>
                      <w:lang w:val="en-US" w:eastAsia="en-US" w:bidi="ar-SA"/>
                    </w:rPr>
                    <w:t>Technical Specifications</w:t>
                  </w:r>
                </w:p>
              </w:tc>
              <w:tc>
                <w:tcPr>
                  <w:tcW w:w="1843" w:type="dxa"/>
                  <w:tcBorders/>
                </w:tcPr>
                <w:p>
                  <w:pPr>
                    <w:pStyle w:val="Normal"/>
                    <w:widowControl/>
                    <w:suppressAutoHyphens w:val="true"/>
                    <w:spacing w:before="0" w:after="0"/>
                    <w:jc w:val="start"/>
                    <w:rPr>
                      <w:rFonts w:eastAsia="Dubai" w:cs="Dubai"/>
                      <w:b/>
                      <w:bCs/>
                      <w:sz w:val="22"/>
                      <w:szCs w:val="22"/>
                    </w:rPr>
                  </w:pPr>
                  <w:r>
                    <w:rPr>
                      <w:rFonts w:eastAsia="Dubai" w:cs="Dubai"/>
                      <w:b/>
                      <w:bCs/>
                      <w:kern w:val="0"/>
                      <w:sz w:val="22"/>
                      <w:szCs w:val="22"/>
                      <w:lang w:val="en-US" w:eastAsia="en-US" w:bidi="ar-SA"/>
                    </w:rPr>
                    <w:t>Status</w:t>
                  </w:r>
                </w:p>
              </w:tc>
              <w:tc>
                <w:tcPr>
                  <w:tcW w:w="1702" w:type="dxa"/>
                  <w:tcBorders/>
                </w:tcPr>
                <w:p>
                  <w:pPr>
                    <w:pStyle w:val="Normal"/>
                    <w:widowControl/>
                    <w:suppressAutoHyphens w:val="true"/>
                    <w:spacing w:before="0" w:after="0"/>
                    <w:jc w:val="start"/>
                    <w:rPr>
                      <w:rFonts w:eastAsia="Dubai" w:cs="Dubai"/>
                      <w:b/>
                      <w:bCs/>
                      <w:sz w:val="22"/>
                      <w:szCs w:val="22"/>
                    </w:rPr>
                  </w:pPr>
                  <w:r>
                    <w:rPr>
                      <w:rFonts w:eastAsia="Dubai" w:cs="Dubai"/>
                      <w:b/>
                      <w:bCs/>
                      <w:kern w:val="0"/>
                      <w:sz w:val="22"/>
                      <w:szCs w:val="22"/>
                      <w:lang w:val="en-US" w:eastAsia="en-US" w:bidi="ar-SA"/>
                    </w:rPr>
                    <w:t xml:space="preserve">Forecast </w:t>
                  </w:r>
                </w:p>
              </w:tc>
            </w:tr>
            <w:tr>
              <w:trPr>
                <w:trHeight w:val="300" w:hRule="atLeast"/>
              </w:trPr>
              <w:tc>
                <w:tcPr>
                  <w:tcW w:w="1570"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MEP</w:t>
                  </w:r>
                </w:p>
              </w:tc>
              <w:tc>
                <w:tcPr>
                  <w:tcW w:w="1843"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Rev. AE Cod. 1</w:t>
                  </w:r>
                </w:p>
              </w:tc>
              <w:tc>
                <w:tcPr>
                  <w:tcW w:w="1702"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Rev 00. Submitted 13/03</w:t>
                  </w:r>
                </w:p>
              </w:tc>
            </w:tr>
          </w:tbl>
          <w:p>
            <w:pPr>
              <w:pStyle w:val="Normal"/>
              <w:widowControl/>
              <w:suppressAutoHyphens w:val="true"/>
              <w:spacing w:before="0" w:after="0"/>
              <w:jc w:val="both"/>
              <w:rPr>
                <w:rFonts w:eastAsia="Dubai" w:cs="Dubai"/>
              </w:rPr>
            </w:pPr>
            <w:r>
              <w:rPr>
                <w:rFonts w:eastAsia="Dubai" w:cs="Dubai"/>
                <w:kern w:val="0"/>
                <w:lang w:val="en-US" w:eastAsia="en-US" w:bidi="ar-SA"/>
              </w:rPr>
            </w:r>
          </w:p>
          <w:p>
            <w:pPr>
              <w:pStyle w:val="TableText"/>
              <w:widowControl w:val="false"/>
              <w:suppressAutoHyphens w:val="true"/>
              <w:spacing w:before="0" w:after="0"/>
              <w:jc w:val="both"/>
              <w:rPr>
                <w:b/>
                <w:bCs/>
                <w:u w:val="single"/>
                <w:lang w:val="en-GB"/>
              </w:rPr>
            </w:pPr>
            <w:r>
              <w:rPr>
                <w:rFonts w:eastAsia="Calibri"/>
                <w:b/>
                <w:bCs/>
                <w:kern w:val="0"/>
                <w:sz w:val="22"/>
                <w:szCs w:val="22"/>
                <w:u w:val="single"/>
                <w:lang w:val="en-GB" w:eastAsia="en-US" w:bidi="ar-SA"/>
              </w:rPr>
              <w:t xml:space="preserve">Phase 1 – Reem Island/E12: </w:t>
            </w:r>
          </w:p>
          <w:p>
            <w:pPr>
              <w:pStyle w:val="TableText"/>
              <w:widowControl w:val="false"/>
              <w:numPr>
                <w:ilvl w:val="0"/>
                <w:numId w:val="4"/>
              </w:numPr>
              <w:suppressAutoHyphens w:val="true"/>
              <w:spacing w:before="0" w:after="0"/>
              <w:ind w:hanging="313" w:start="313"/>
              <w:jc w:val="both"/>
              <w:rPr>
                <w:lang w:val="en-GB"/>
              </w:rPr>
            </w:pPr>
            <w:r>
              <w:rPr>
                <w:rFonts w:eastAsia="Calibri"/>
                <w:kern w:val="0"/>
                <w:sz w:val="22"/>
                <w:szCs w:val="22"/>
                <w:lang w:val="en-GB" w:eastAsia="en-US" w:bidi="ar-SA"/>
              </w:rPr>
              <w:t>Stations MEP:</w:t>
            </w:r>
          </w:p>
          <w:p>
            <w:pPr>
              <w:pStyle w:val="TableText"/>
              <w:widowControl w:val="false"/>
              <w:numPr>
                <w:ilvl w:val="0"/>
                <w:numId w:val="4"/>
              </w:numPr>
              <w:suppressAutoHyphens w:val="true"/>
              <w:spacing w:before="0" w:after="0"/>
              <w:jc w:val="both"/>
              <w:rPr>
                <w:rFonts w:eastAsia="Dubai"/>
                <w:lang w:val="en-GB"/>
              </w:rPr>
            </w:pPr>
            <w:r>
              <w:rPr>
                <w:rFonts w:eastAsia="Dubai"/>
                <w:kern w:val="0"/>
                <w:sz w:val="22"/>
                <w:szCs w:val="22"/>
                <w:lang w:val="en-GB" w:eastAsia="en-US" w:bidi="ar-SA"/>
              </w:rPr>
              <w:t xml:space="preserve"> </w:t>
            </w:r>
            <w:r>
              <w:rPr>
                <w:rFonts w:eastAsia="Dubai"/>
                <w:kern w:val="0"/>
                <w:sz w:val="22"/>
                <w:szCs w:val="22"/>
                <w:lang w:val="en-GB" w:eastAsia="en-US" w:bidi="ar-SA"/>
              </w:rPr>
              <w:t>MEP ADR PE .</w:t>
            </w:r>
          </w:p>
          <w:p>
            <w:pPr>
              <w:pStyle w:val="TableText"/>
              <w:widowControl w:val="false"/>
              <w:suppressAutoHyphens w:val="true"/>
              <w:spacing w:before="0" w:after="0"/>
              <w:ind w:start="720"/>
              <w:jc w:val="both"/>
              <w:rPr>
                <w:rFonts w:eastAsia="Dubai"/>
                <w:lang w:val="en-GB"/>
              </w:rPr>
            </w:pPr>
            <w:r>
              <w:rPr>
                <w:rFonts w:eastAsia="Dubai"/>
                <w:kern w:val="0"/>
                <w:sz w:val="22"/>
                <w:szCs w:val="22"/>
                <w:lang w:val="en-GB" w:eastAsia="en-US" w:bidi="ar-SA"/>
              </w:rPr>
              <w:t xml:space="preserve">A new revision to include the additional details required for the bidding process for the following systems: </w:t>
            </w:r>
          </w:p>
          <w:p>
            <w:pPr>
              <w:pStyle w:val="ListParagraph"/>
              <w:widowControl w:val="false"/>
              <w:numPr>
                <w:ilvl w:val="0"/>
                <w:numId w:val="29"/>
              </w:numPr>
              <w:jc w:val="both"/>
              <w:rPr>
                <w:rFonts w:ascii="Dubai" w:hAnsi="Dubai" w:eastAsia="Dubai" w:cs="Dubai"/>
                <w:sz w:val="22"/>
                <w:szCs w:val="22"/>
              </w:rPr>
            </w:pPr>
            <w:r>
              <w:rPr>
                <w:rFonts w:eastAsia="Aptos" w:cs="Aptos" w:ascii="Aptos" w:hAnsi="Aptos"/>
                <w:kern w:val="0"/>
                <w:sz w:val="24"/>
                <w:szCs w:val="24"/>
                <w:lang w:val="en-US" w:eastAsia="en-US" w:bidi="ar-SA"/>
              </w:rPr>
              <w:t xml:space="preserve"> </w:t>
            </w:r>
            <w:r>
              <w:rPr>
                <w:rFonts w:eastAsia="Dubai" w:cs="Dubai" w:ascii="Dubai" w:hAnsi="Dubai"/>
                <w:kern w:val="0"/>
                <w:sz w:val="22"/>
                <w:szCs w:val="22"/>
                <w:lang w:val="en-US" w:eastAsia="en-US" w:bidi="ar-SA"/>
              </w:rPr>
              <w:t>HVAC: Critical areas unit schedules and airflow schematics will be added.</w:t>
            </w:r>
          </w:p>
          <w:p>
            <w:pPr>
              <w:pStyle w:val="TableText"/>
              <w:widowControl/>
              <w:numPr>
                <w:ilvl w:val="0"/>
                <w:numId w:val="29"/>
              </w:numPr>
              <w:suppressAutoHyphens w:val="true"/>
              <w:spacing w:before="0" w:after="0"/>
              <w:jc w:val="both"/>
              <w:rPr>
                <w:rFonts w:eastAsia="Dubai"/>
              </w:rPr>
            </w:pPr>
            <w:r>
              <w:rPr>
                <w:rFonts w:eastAsia="Dubai"/>
                <w:kern w:val="0"/>
                <w:sz w:val="22"/>
                <w:szCs w:val="22"/>
                <w:lang w:val="en-US" w:eastAsia="en-US" w:bidi="ar-SA"/>
              </w:rPr>
              <w:t>Plumbing: One GA drawing for drainage will be added.</w:t>
            </w:r>
          </w:p>
          <w:p>
            <w:pPr>
              <w:pStyle w:val="TableText"/>
              <w:widowControl/>
              <w:numPr>
                <w:ilvl w:val="0"/>
                <w:numId w:val="29"/>
              </w:numPr>
              <w:suppressAutoHyphens w:val="true"/>
              <w:spacing w:before="0" w:after="0"/>
              <w:jc w:val="both"/>
              <w:rPr>
                <w:rFonts w:eastAsia="Dubai"/>
              </w:rPr>
            </w:pPr>
            <w:r>
              <w:rPr>
                <w:rFonts w:eastAsia="Dubai"/>
                <w:kern w:val="0"/>
                <w:sz w:val="22"/>
                <w:szCs w:val="22"/>
                <w:lang w:val="en-US" w:eastAsia="en-US" w:bidi="ar-SA"/>
              </w:rPr>
              <w:t>Electrical: One LV E&amp;B schematics will be added.</w:t>
            </w:r>
          </w:p>
          <w:p>
            <w:pPr>
              <w:pStyle w:val="TableText"/>
              <w:widowControl w:val="false"/>
              <w:suppressAutoHyphens w:val="true"/>
              <w:spacing w:before="0" w:after="0"/>
              <w:jc w:val="both"/>
              <w:rPr>
                <w:rFonts w:eastAsia="Dubai"/>
                <w:lang w:val="en-GB"/>
              </w:rPr>
            </w:pPr>
            <w:r>
              <w:rPr>
                <w:rFonts w:eastAsia="Dubai"/>
                <w:kern w:val="0"/>
                <w:sz w:val="22"/>
                <w:szCs w:val="22"/>
                <w:lang w:val="en-GB" w:eastAsia="en-US" w:bidi="ar-SA"/>
              </w:rPr>
            </w:r>
          </w:p>
          <w:p>
            <w:pPr>
              <w:pStyle w:val="TableText"/>
              <w:widowControl w:val="false"/>
              <w:numPr>
                <w:ilvl w:val="0"/>
                <w:numId w:val="4"/>
              </w:numPr>
              <w:suppressAutoHyphens w:val="true"/>
              <w:spacing w:before="0" w:after="0"/>
              <w:jc w:val="both"/>
              <w:rPr>
                <w:rFonts w:eastAsia="Dubai"/>
                <w:lang w:val="en-GB"/>
              </w:rPr>
            </w:pPr>
            <w:r>
              <w:rPr>
                <w:rFonts w:eastAsia="Dubai"/>
                <w:kern w:val="0"/>
                <w:sz w:val="22"/>
                <w:szCs w:val="22"/>
                <w:lang w:val="en-GB" w:eastAsia="en-US" w:bidi="ar-SA"/>
              </w:rPr>
              <w:t>MEP ADS PE submission has been submitted on 14/03. Rev. Cod 2 received on 03/03.</w:t>
            </w:r>
          </w:p>
          <w:p>
            <w:pPr>
              <w:pStyle w:val="ListParagraph"/>
              <w:widowControl w:val="false"/>
              <w:numPr>
                <w:ilvl w:val="0"/>
                <w:numId w:val="28"/>
              </w:numPr>
              <w:jc w:val="both"/>
              <w:rPr>
                <w:rFonts w:ascii="Dubai" w:hAnsi="Dubai" w:eastAsia="Dubai" w:cs="Dubai"/>
                <w:sz w:val="22"/>
                <w:szCs w:val="22"/>
                <w:lang w:val="en-US"/>
              </w:rPr>
            </w:pPr>
            <w:r>
              <w:rPr>
                <w:rFonts w:eastAsia="Dubai" w:cs="Dubai" w:ascii="Dubai" w:hAnsi="Dubai"/>
                <w:kern w:val="0"/>
                <w:sz w:val="22"/>
                <w:szCs w:val="22"/>
                <w:lang w:eastAsia="en-US" w:bidi="ar-SA"/>
              </w:rPr>
              <w:t xml:space="preserve">A new revision to include the additional details required for the bidding process for the following systems: </w:t>
            </w:r>
            <w:r>
              <w:rPr>
                <w:rFonts w:eastAsia="Dubai" w:cs="Dubai" w:ascii="Dubai" w:hAnsi="Dubai"/>
                <w:kern w:val="0"/>
                <w:sz w:val="24"/>
                <w:szCs w:val="24"/>
                <w:lang w:val="en-US" w:eastAsia="en-US" w:bidi="ar-SA"/>
              </w:rPr>
              <w:t>HVAC</w:t>
            </w:r>
            <w:r>
              <w:rPr>
                <w:rFonts w:eastAsia="Dubai" w:cs="Dubai" w:ascii="Dubai" w:hAnsi="Dubai"/>
                <w:kern w:val="0"/>
                <w:sz w:val="22"/>
                <w:szCs w:val="22"/>
                <w:lang w:val="en-US" w:eastAsia="en-US" w:bidi="ar-SA"/>
              </w:rPr>
              <w:t>: Critical areas unit schedules and airflow schematics will be added.</w:t>
            </w:r>
          </w:p>
          <w:p>
            <w:pPr>
              <w:pStyle w:val="TableText"/>
              <w:widowControl/>
              <w:numPr>
                <w:ilvl w:val="0"/>
                <w:numId w:val="28"/>
              </w:numPr>
              <w:suppressAutoHyphens w:val="true"/>
              <w:spacing w:before="0" w:after="0"/>
              <w:jc w:val="both"/>
              <w:rPr>
                <w:rFonts w:eastAsia="Dubai"/>
              </w:rPr>
            </w:pPr>
            <w:r>
              <w:rPr>
                <w:rFonts w:eastAsia="Dubai"/>
                <w:kern w:val="0"/>
                <w:sz w:val="22"/>
                <w:szCs w:val="22"/>
                <w:lang w:val="en-US" w:eastAsia="en-US" w:bidi="ar-SA"/>
              </w:rPr>
              <w:t>Plumbing: One GA drawing for drainage will be added.</w:t>
            </w:r>
          </w:p>
          <w:p>
            <w:pPr>
              <w:pStyle w:val="TableText"/>
              <w:widowControl/>
              <w:numPr>
                <w:ilvl w:val="0"/>
                <w:numId w:val="28"/>
              </w:numPr>
              <w:suppressAutoHyphens w:val="true"/>
              <w:spacing w:before="0" w:after="0"/>
              <w:jc w:val="both"/>
              <w:rPr>
                <w:rFonts w:eastAsia="Dubai"/>
              </w:rPr>
            </w:pPr>
            <w:r>
              <w:rPr>
                <w:rFonts w:eastAsia="Dubai"/>
                <w:kern w:val="0"/>
                <w:sz w:val="22"/>
                <w:szCs w:val="22"/>
                <w:lang w:val="en-US" w:eastAsia="en-US" w:bidi="ar-SA"/>
              </w:rPr>
              <w:t>Electrical: One LV E&amp;B schematics will be added.</w:t>
            </w:r>
          </w:p>
          <w:p>
            <w:pPr>
              <w:pStyle w:val="TableText"/>
              <w:widowControl w:val="false"/>
              <w:suppressAutoHyphens w:val="true"/>
              <w:spacing w:before="0" w:after="0"/>
              <w:jc w:val="both"/>
              <w:rPr>
                <w:rFonts w:eastAsia="Dubai"/>
                <w:lang w:val="en-GB"/>
              </w:rPr>
            </w:pPr>
            <w:r>
              <w:rPr>
                <w:rFonts w:eastAsia="Dubai"/>
                <w:kern w:val="0"/>
                <w:sz w:val="22"/>
                <w:szCs w:val="22"/>
                <w:lang w:val="en-GB" w:eastAsia="en-US" w:bidi="ar-SA"/>
              </w:rPr>
            </w:r>
          </w:p>
          <w:p>
            <w:pPr>
              <w:pStyle w:val="TableText"/>
              <w:widowControl/>
              <w:suppressAutoHyphens w:val="true"/>
              <w:spacing w:before="0" w:after="0"/>
              <w:jc w:val="both"/>
              <w:rPr>
                <w:b/>
                <w:u w:val="single"/>
              </w:rPr>
            </w:pPr>
            <w:r>
              <w:rPr>
                <w:rFonts w:eastAsia="Calibri"/>
                <w:b/>
                <w:kern w:val="0"/>
                <w:sz w:val="22"/>
                <w:szCs w:val="22"/>
                <w:u w:val="single"/>
                <w:lang w:val="en-GB" w:eastAsia="en-US" w:bidi="ar-SA"/>
              </w:rPr>
              <w:t>Phase 1 - Dubai Section</w:t>
            </w:r>
            <w:r>
              <w:rPr>
                <w:rFonts w:eastAsia="Calibri"/>
                <w:b/>
                <w:kern w:val="0"/>
                <w:sz w:val="22"/>
                <w:szCs w:val="22"/>
                <w:u w:val="single"/>
                <w:lang w:val="en-US" w:eastAsia="en-US" w:bidi="ar-SA"/>
              </w:rPr>
              <w:t xml:space="preserve"> </w:t>
            </w:r>
          </w:p>
          <w:p>
            <w:pPr>
              <w:pStyle w:val="Normal"/>
              <w:widowControl/>
              <w:suppressAutoHyphens w:val="true"/>
              <w:spacing w:before="0" w:after="0"/>
              <w:jc w:val="start"/>
              <w:rPr>
                <w:rFonts w:eastAsia="Dubai" w:cs="Dubai"/>
                <w:color w:val="881798"/>
                <w:sz w:val="22"/>
                <w:szCs w:val="22"/>
              </w:rPr>
            </w:pPr>
            <w:r>
              <w:rPr>
                <w:rFonts w:eastAsia="Dubai" w:cs="Dubai"/>
                <w:kern w:val="0"/>
                <w:sz w:val="22"/>
                <w:szCs w:val="22"/>
                <w:lang w:val="en-GB" w:eastAsia="en-US" w:bidi="ar-SA"/>
              </w:rPr>
              <w:t xml:space="preserve">PE </w:t>
            </w:r>
            <w:r>
              <w:rPr>
                <w:rFonts w:cs="Dubai"/>
                <w:kern w:val="0"/>
                <w:sz w:val="22"/>
                <w:szCs w:val="22"/>
                <w:lang w:val="en-GB" w:eastAsia="en-US" w:bidi="ar-SA"/>
              </w:rPr>
              <w:t>development for two alignment alternatives (underground and elevated) considering a station at Maktoum Int. airport.</w:t>
            </w:r>
            <w:r>
              <w:rPr>
                <w:rFonts w:eastAsia="Dubai" w:cs="Dubai"/>
                <w:kern w:val="0"/>
                <w:sz w:val="22"/>
                <w:szCs w:val="22"/>
                <w:lang w:val="en-US" w:eastAsia="en-US" w:bidi="ar-SA"/>
              </w:rPr>
              <w:t xml:space="preserve"> </w:t>
            </w:r>
          </w:p>
          <w:p>
            <w:pPr>
              <w:pStyle w:val="TableText"/>
              <w:widowControl w:val="false"/>
              <w:numPr>
                <w:ilvl w:val="0"/>
                <w:numId w:val="4"/>
              </w:numPr>
              <w:suppressAutoHyphens w:val="true"/>
              <w:spacing w:before="0" w:after="0"/>
              <w:ind w:hanging="284" w:start="313"/>
              <w:jc w:val="both"/>
              <w:rPr>
                <w:lang w:val="en-GB"/>
              </w:rPr>
            </w:pPr>
            <w:r>
              <w:rPr>
                <w:rFonts w:eastAsia="Calibri"/>
                <w:kern w:val="0"/>
                <w:sz w:val="22"/>
                <w:szCs w:val="22"/>
                <w:lang w:val="en-GB" w:eastAsia="en-US" w:bidi="ar-SA"/>
              </w:rPr>
              <w:t>Tunnel MEP:</w:t>
            </w:r>
          </w:p>
          <w:p>
            <w:pPr>
              <w:pStyle w:val="TableText"/>
              <w:widowControl w:val="false"/>
              <w:numPr>
                <w:ilvl w:val="0"/>
                <w:numId w:val="24"/>
              </w:numPr>
              <w:suppressAutoHyphens w:val="true"/>
              <w:spacing w:before="0" w:after="0"/>
              <w:jc w:val="both"/>
              <w:rPr>
                <w:rFonts w:eastAsia="Dubai"/>
                <w:lang w:val="en-GB"/>
              </w:rPr>
            </w:pPr>
            <w:r>
              <w:rPr>
                <w:rFonts w:eastAsia="Dubai"/>
                <w:kern w:val="0"/>
                <w:sz w:val="22"/>
                <w:szCs w:val="22"/>
                <w:lang w:val="en-GB" w:eastAsia="en-US" w:bidi="ar-SA"/>
              </w:rPr>
              <w:t>PE first submission has been submitted on 14/03. Rev. AA Cod 2 received on 03/03.</w:t>
            </w:r>
          </w:p>
          <w:p>
            <w:pPr>
              <w:pStyle w:val="TableText"/>
              <w:widowControl w:val="false"/>
              <w:numPr>
                <w:ilvl w:val="0"/>
                <w:numId w:val="4"/>
              </w:numPr>
              <w:suppressAutoHyphens w:val="true"/>
              <w:spacing w:before="0" w:after="0"/>
              <w:ind w:hanging="284" w:start="313"/>
              <w:jc w:val="both"/>
              <w:rPr>
                <w:lang w:val="en-GB"/>
              </w:rPr>
            </w:pPr>
            <w:r>
              <w:rPr>
                <w:rFonts w:eastAsia="Calibri"/>
                <w:kern w:val="0"/>
                <w:sz w:val="22"/>
                <w:szCs w:val="22"/>
                <w:lang w:val="en-GB" w:eastAsia="en-US" w:bidi="ar-SA"/>
              </w:rPr>
              <w:t>Stations MEP:</w:t>
            </w:r>
          </w:p>
          <w:p>
            <w:pPr>
              <w:pStyle w:val="TableText"/>
              <w:widowControl w:val="false"/>
              <w:suppressAutoHyphens w:val="true"/>
              <w:spacing w:before="0" w:after="0"/>
              <w:jc w:val="both"/>
              <w:rPr>
                <w:lang w:val="en-GB"/>
              </w:rPr>
            </w:pPr>
            <w:r>
              <w:rPr>
                <w:rFonts w:eastAsia="Calibri"/>
                <w:kern w:val="0"/>
                <w:sz w:val="22"/>
                <w:szCs w:val="22"/>
                <w:lang w:val="en-US" w:eastAsia="en-US" w:bidi="ar-SA"/>
              </w:rPr>
              <w:t xml:space="preserve">Maktoum Stations, </w:t>
            </w:r>
          </w:p>
          <w:p>
            <w:pPr>
              <w:pStyle w:val="TableText"/>
              <w:widowControl w:val="false"/>
              <w:suppressAutoHyphens w:val="true"/>
              <w:spacing w:before="0" w:after="0"/>
              <w:ind w:start="720"/>
              <w:jc w:val="both"/>
              <w:rPr>
                <w:rFonts w:eastAsia="Dubai"/>
                <w:lang w:val="en-GB"/>
              </w:rPr>
            </w:pPr>
            <w:r>
              <w:rPr>
                <w:rFonts w:eastAsia="Dubai"/>
                <w:kern w:val="0"/>
                <w:sz w:val="22"/>
                <w:szCs w:val="22"/>
                <w:lang w:val="en-GB" w:eastAsia="en-US" w:bidi="ar-SA"/>
              </w:rPr>
              <w:t xml:space="preserve">A new revision to include the additional details required for the bidding process for the following systems: </w:t>
            </w:r>
          </w:p>
          <w:p>
            <w:pPr>
              <w:pStyle w:val="ListParagraph"/>
              <w:widowControl w:val="false"/>
              <w:numPr>
                <w:ilvl w:val="0"/>
                <w:numId w:val="29"/>
              </w:numPr>
              <w:jc w:val="both"/>
              <w:rPr>
                <w:rFonts w:ascii="Dubai" w:hAnsi="Dubai" w:eastAsia="Dubai" w:cs="Dubai"/>
                <w:sz w:val="22"/>
                <w:szCs w:val="22"/>
                <w:lang w:val="en-US"/>
              </w:rPr>
            </w:pPr>
            <w:r>
              <w:rPr>
                <w:rFonts w:eastAsia="Dubai" w:cs="Dubai" w:ascii="Dubai" w:hAnsi="Dubai"/>
                <w:kern w:val="0"/>
                <w:sz w:val="22"/>
                <w:szCs w:val="22"/>
                <w:lang w:val="en-US" w:eastAsia="en-US" w:bidi="ar-SA"/>
              </w:rPr>
              <w:t>HVAC: Critical areas unit schedules and airflow schematics will be added.</w:t>
            </w:r>
          </w:p>
          <w:p>
            <w:pPr>
              <w:pStyle w:val="TableText"/>
              <w:widowControl/>
              <w:numPr>
                <w:ilvl w:val="0"/>
                <w:numId w:val="29"/>
              </w:numPr>
              <w:suppressAutoHyphens w:val="true"/>
              <w:spacing w:before="0" w:after="0"/>
              <w:jc w:val="both"/>
              <w:rPr>
                <w:rFonts w:eastAsia="Dubai"/>
              </w:rPr>
            </w:pPr>
            <w:r>
              <w:rPr>
                <w:rFonts w:eastAsia="Dubai"/>
                <w:kern w:val="0"/>
                <w:sz w:val="22"/>
                <w:szCs w:val="22"/>
                <w:lang w:val="en-US" w:eastAsia="en-US" w:bidi="ar-SA"/>
              </w:rPr>
              <w:t>Plumbing: One GA drawing for drainage will be added.</w:t>
            </w:r>
          </w:p>
          <w:p>
            <w:pPr>
              <w:pStyle w:val="TableText"/>
              <w:widowControl/>
              <w:numPr>
                <w:ilvl w:val="0"/>
                <w:numId w:val="29"/>
              </w:numPr>
              <w:suppressAutoHyphens w:val="true"/>
              <w:spacing w:before="0" w:after="0"/>
              <w:jc w:val="both"/>
              <w:rPr>
                <w:rFonts w:eastAsia="Dubai"/>
              </w:rPr>
            </w:pPr>
            <w:r>
              <w:rPr>
                <w:rFonts w:eastAsia="Dubai"/>
                <w:kern w:val="0"/>
                <w:sz w:val="22"/>
                <w:szCs w:val="22"/>
                <w:lang w:val="en-US" w:eastAsia="en-US" w:bidi="ar-SA"/>
              </w:rPr>
              <w:t>Electrical: One LV E&amp;B schematics will be added.</w:t>
            </w:r>
          </w:p>
          <w:p>
            <w:pPr>
              <w:pStyle w:val="TableText"/>
              <w:widowControl/>
              <w:suppressAutoHyphens w:val="true"/>
              <w:spacing w:before="0" w:after="0"/>
              <w:jc w:val="both"/>
              <w:rPr>
                <w:rFonts w:eastAsia="Dubai"/>
              </w:rPr>
            </w:pPr>
            <w:r>
              <w:rPr>
                <w:rFonts w:eastAsia="Dubai"/>
                <w:kern w:val="0"/>
                <w:sz w:val="22"/>
                <w:szCs w:val="22"/>
                <w:lang w:val="en-US" w:eastAsia="en-US" w:bidi="ar-SA"/>
              </w:rPr>
              <w:t>All the new drawings requested for the tender will be submitted on 31</w:t>
            </w:r>
            <w:r>
              <w:rPr>
                <w:rFonts w:eastAsia="Dubai"/>
                <w:kern w:val="0"/>
                <w:sz w:val="22"/>
                <w:szCs w:val="22"/>
                <w:vertAlign w:val="superscript"/>
                <w:lang w:val="en-US" w:eastAsia="en-US" w:bidi="ar-SA"/>
              </w:rPr>
              <w:t>st</w:t>
            </w:r>
            <w:r>
              <w:rPr>
                <w:rFonts w:eastAsia="Dubai"/>
                <w:kern w:val="0"/>
                <w:sz w:val="22"/>
                <w:szCs w:val="22"/>
                <w:lang w:val="en-US" w:eastAsia="en-US" w:bidi="ar-SA"/>
              </w:rPr>
              <w:t xml:space="preserve"> May.</w:t>
            </w:r>
          </w:p>
          <w:p>
            <w:pPr>
              <w:pStyle w:val="TableText"/>
              <w:widowControl w:val="false"/>
              <w:suppressAutoHyphens w:val="true"/>
              <w:spacing w:before="0" w:after="0"/>
              <w:jc w:val="both"/>
              <w:rPr>
                <w:rFonts w:eastAsia="Dubai"/>
                <w:lang w:val="en-GB"/>
              </w:rPr>
            </w:pPr>
            <w:r>
              <w:rPr>
                <w:rFonts w:eastAsia="Dubai"/>
                <w:kern w:val="0"/>
                <w:sz w:val="22"/>
                <w:szCs w:val="22"/>
                <w:lang w:val="en-GB" w:eastAsia="en-US" w:bidi="ar-SA"/>
              </w:rPr>
            </w:r>
          </w:p>
          <w:p>
            <w:pPr>
              <w:pStyle w:val="TableText"/>
              <w:widowControl w:val="false"/>
              <w:suppressAutoHyphens w:val="true"/>
              <w:spacing w:before="0" w:after="0"/>
              <w:jc w:val="both"/>
              <w:rPr>
                <w:b/>
                <w:bCs/>
                <w:u w:val="single"/>
                <w:lang w:val="en-GB"/>
              </w:rPr>
            </w:pPr>
            <w:r>
              <w:rPr>
                <w:rFonts w:eastAsia="Calibri"/>
                <w:b/>
                <w:bCs/>
                <w:kern w:val="0"/>
                <w:sz w:val="22"/>
                <w:szCs w:val="22"/>
                <w:u w:val="single"/>
                <w:lang w:val="en-GB" w:eastAsia="en-US" w:bidi="ar-SA"/>
              </w:rPr>
              <w:t>Phase 1 – Option 2. Sharjah Section</w:t>
            </w:r>
            <w:r>
              <w:rPr>
                <w:rFonts w:eastAsia="Calibri"/>
                <w:b/>
                <w:bCs/>
                <w:kern w:val="0"/>
                <w:sz w:val="22"/>
                <w:szCs w:val="22"/>
                <w:u w:val="single"/>
                <w:lang w:val="en-US" w:eastAsia="en-US" w:bidi="ar-SA"/>
              </w:rPr>
              <w:t xml:space="preserve"> </w:t>
            </w:r>
          </w:p>
          <w:p>
            <w:pPr>
              <w:pStyle w:val="Normal"/>
              <w:widowControl w:val="false"/>
              <w:suppressAutoHyphens w:val="true"/>
              <w:spacing w:before="0" w:after="0"/>
              <w:jc w:val="start"/>
              <w:rPr>
                <w:rFonts w:eastAsia="Dubai" w:cs="Dubai"/>
                <w:color w:val="881798"/>
                <w:sz w:val="22"/>
                <w:szCs w:val="22"/>
                <w:lang w:val="en-GB"/>
              </w:rPr>
            </w:pPr>
            <w:r>
              <w:rPr>
                <w:rFonts w:eastAsia="Dubai" w:cs="Dubai"/>
                <w:kern w:val="0"/>
                <w:sz w:val="22"/>
                <w:szCs w:val="22"/>
                <w:lang w:val="en-GB" w:eastAsia="en-US" w:bidi="ar-SA"/>
              </w:rPr>
              <w:t xml:space="preserve">PE </w:t>
            </w:r>
            <w:r>
              <w:rPr>
                <w:rFonts w:cs="Dubai"/>
                <w:kern w:val="0"/>
                <w:sz w:val="22"/>
                <w:szCs w:val="22"/>
                <w:lang w:val="en-GB" w:eastAsia="en-US" w:bidi="ar-SA"/>
              </w:rPr>
              <w:t>development for alignment considering an underground station at Sharjah.</w:t>
            </w:r>
            <w:r>
              <w:rPr>
                <w:rFonts w:eastAsia="Dubai" w:cs="Dubai"/>
                <w:kern w:val="0"/>
                <w:sz w:val="22"/>
                <w:szCs w:val="22"/>
                <w:lang w:val="en-US" w:eastAsia="en-US" w:bidi="ar-SA"/>
              </w:rPr>
              <w:t xml:space="preserve"> </w:t>
            </w:r>
          </w:p>
          <w:p>
            <w:pPr>
              <w:pStyle w:val="TableText"/>
              <w:widowControl w:val="false"/>
              <w:numPr>
                <w:ilvl w:val="0"/>
                <w:numId w:val="4"/>
              </w:numPr>
              <w:suppressAutoHyphens w:val="true"/>
              <w:spacing w:before="0" w:after="0"/>
              <w:ind w:hanging="284" w:start="313"/>
              <w:jc w:val="both"/>
              <w:rPr>
                <w:lang w:val="en-GB"/>
              </w:rPr>
            </w:pPr>
            <w:r>
              <w:rPr>
                <w:rFonts w:eastAsia="Calibri"/>
                <w:kern w:val="0"/>
                <w:sz w:val="22"/>
                <w:szCs w:val="22"/>
                <w:lang w:val="en-GB" w:eastAsia="en-US" w:bidi="ar-SA"/>
              </w:rPr>
              <w:t>Tunnel MEP:</w:t>
            </w:r>
          </w:p>
          <w:p>
            <w:pPr>
              <w:pStyle w:val="TableText"/>
              <w:widowControl w:val="false"/>
              <w:numPr>
                <w:ilvl w:val="0"/>
                <w:numId w:val="4"/>
              </w:numPr>
              <w:suppressAutoHyphens w:val="true"/>
              <w:spacing w:before="0" w:after="0"/>
              <w:jc w:val="both"/>
              <w:rPr>
                <w:rFonts w:eastAsia="Dubai"/>
                <w:lang w:val="en-GB"/>
              </w:rPr>
            </w:pPr>
            <w:r>
              <w:rPr>
                <w:rFonts w:eastAsia="Calibri"/>
                <w:kern w:val="0"/>
                <w:sz w:val="22"/>
                <w:szCs w:val="22"/>
                <w:lang w:val="en-GB" w:eastAsia="en-US" w:bidi="ar-SA"/>
              </w:rPr>
              <w:t xml:space="preserve">PE first submission has been submitted on 19/03. </w:t>
            </w:r>
            <w:r>
              <w:rPr>
                <w:rFonts w:eastAsia="Dubai"/>
                <w:kern w:val="0"/>
                <w:sz w:val="22"/>
                <w:szCs w:val="22"/>
                <w:lang w:val="en-GB" w:eastAsia="en-US" w:bidi="ar-SA"/>
              </w:rPr>
              <w:t>Rev. AA Cod 2received on 03/03.</w:t>
            </w:r>
          </w:p>
          <w:p>
            <w:pPr>
              <w:pStyle w:val="TableText"/>
              <w:widowControl w:val="false"/>
              <w:numPr>
                <w:ilvl w:val="0"/>
                <w:numId w:val="4"/>
              </w:numPr>
              <w:suppressAutoHyphens w:val="true"/>
              <w:spacing w:before="0" w:after="0"/>
              <w:ind w:hanging="284" w:start="313"/>
              <w:jc w:val="both"/>
              <w:rPr>
                <w:lang w:val="en-GB"/>
              </w:rPr>
            </w:pPr>
            <w:r>
              <w:rPr>
                <w:rFonts w:eastAsia="Calibri"/>
                <w:kern w:val="0"/>
                <w:sz w:val="22"/>
                <w:szCs w:val="22"/>
                <w:lang w:val="en-GB" w:eastAsia="en-US" w:bidi="ar-SA"/>
              </w:rPr>
              <w:t>Sharjah Station MEP:</w:t>
            </w:r>
          </w:p>
          <w:p>
            <w:pPr>
              <w:pStyle w:val="TableText"/>
              <w:widowControl w:val="false"/>
              <w:numPr>
                <w:ilvl w:val="0"/>
                <w:numId w:val="25"/>
              </w:numPr>
              <w:suppressAutoHyphens w:val="true"/>
              <w:spacing w:before="0" w:after="0"/>
              <w:jc w:val="both"/>
              <w:rPr>
                <w:lang w:val="en-GB"/>
              </w:rPr>
            </w:pPr>
            <w:r>
              <w:rPr>
                <w:rFonts w:eastAsia="Calibri"/>
                <w:kern w:val="0"/>
                <w:sz w:val="22"/>
                <w:szCs w:val="22"/>
                <w:lang w:val="en-GB" w:eastAsia="en-US" w:bidi="ar-SA"/>
              </w:rPr>
              <w:t>PE first submission has been submitted on 19/03. Rev cod 3 received on 12/04.</w:t>
            </w:r>
          </w:p>
          <w:p>
            <w:pPr>
              <w:pStyle w:val="TableText"/>
              <w:widowControl w:val="false"/>
              <w:numPr>
                <w:ilvl w:val="0"/>
                <w:numId w:val="25"/>
              </w:numPr>
              <w:suppressAutoHyphens w:val="true"/>
              <w:spacing w:before="0" w:after="0"/>
              <w:jc w:val="both"/>
              <w:rPr>
                <w:lang w:val="en-GB"/>
              </w:rPr>
            </w:pPr>
            <w:r>
              <w:rPr>
                <w:rFonts w:eastAsia="Calibri"/>
                <w:kern w:val="0"/>
                <w:sz w:val="22"/>
                <w:szCs w:val="22"/>
                <w:lang w:val="en-GB" w:eastAsia="en-US" w:bidi="ar-SA"/>
              </w:rPr>
              <w:t xml:space="preserve">A new revision will be prepared for the next addendum to include the additional details required for the bidding process for the following systems: </w:t>
            </w:r>
          </w:p>
          <w:p>
            <w:pPr>
              <w:pStyle w:val="TableText"/>
              <w:widowControl w:val="false"/>
              <w:numPr>
                <w:ilvl w:val="0"/>
                <w:numId w:val="25"/>
              </w:numPr>
              <w:suppressAutoHyphens w:val="true"/>
              <w:spacing w:before="0" w:after="0"/>
              <w:ind w:hanging="360" w:start="1080"/>
              <w:jc w:val="both"/>
              <w:rPr>
                <w:rFonts w:eastAsia="Dubai"/>
              </w:rPr>
            </w:pPr>
            <w:r>
              <w:rPr>
                <w:rFonts w:eastAsia="Dubai"/>
                <w:kern w:val="0"/>
                <w:sz w:val="22"/>
                <w:szCs w:val="22"/>
                <w:lang w:val="en-US" w:eastAsia="en-US" w:bidi="ar-SA"/>
              </w:rPr>
              <w:t>HVAC: Critical areas unit schedules and airflow schematics will be added.</w:t>
            </w:r>
          </w:p>
          <w:p>
            <w:pPr>
              <w:pStyle w:val="TableText"/>
              <w:widowControl/>
              <w:numPr>
                <w:ilvl w:val="0"/>
                <w:numId w:val="25"/>
              </w:numPr>
              <w:suppressAutoHyphens w:val="true"/>
              <w:spacing w:before="0" w:after="0"/>
              <w:ind w:hanging="360" w:start="1080"/>
              <w:jc w:val="both"/>
              <w:rPr>
                <w:rFonts w:eastAsia="Dubai"/>
              </w:rPr>
            </w:pPr>
            <w:r>
              <w:rPr>
                <w:rFonts w:eastAsia="Dubai"/>
                <w:kern w:val="0"/>
                <w:sz w:val="22"/>
                <w:szCs w:val="22"/>
                <w:lang w:val="en-US" w:eastAsia="en-US" w:bidi="ar-SA"/>
              </w:rPr>
              <w:t>Plumbing: One GA drawing for drainage will be added.</w:t>
            </w:r>
          </w:p>
          <w:p>
            <w:pPr>
              <w:pStyle w:val="TableText"/>
              <w:widowControl/>
              <w:numPr>
                <w:ilvl w:val="0"/>
                <w:numId w:val="25"/>
              </w:numPr>
              <w:suppressAutoHyphens w:val="true"/>
              <w:spacing w:before="0" w:after="0"/>
              <w:ind w:hanging="360" w:start="1080"/>
              <w:jc w:val="both"/>
              <w:rPr>
                <w:rFonts w:eastAsia="Dubai"/>
              </w:rPr>
            </w:pPr>
            <w:r>
              <w:rPr>
                <w:rFonts w:eastAsia="Dubai"/>
                <w:kern w:val="0"/>
                <w:sz w:val="22"/>
                <w:szCs w:val="22"/>
                <w:lang w:val="en-US" w:eastAsia="en-US" w:bidi="ar-SA"/>
              </w:rPr>
              <w:t>Electrical: One LV E&amp;B schematics will be added.</w:t>
            </w:r>
          </w:p>
          <w:p>
            <w:pPr>
              <w:pStyle w:val="TableText"/>
              <w:widowControl/>
              <w:suppressAutoHyphens w:val="true"/>
              <w:spacing w:before="0" w:after="0"/>
              <w:jc w:val="both"/>
              <w:rPr>
                <w:rFonts w:eastAsia="Dubai"/>
              </w:rPr>
            </w:pPr>
            <w:r>
              <w:rPr>
                <w:rFonts w:eastAsia="Dubai"/>
                <w:kern w:val="0"/>
                <w:sz w:val="22"/>
                <w:szCs w:val="22"/>
                <w:lang w:val="en-US" w:eastAsia="en-US" w:bidi="ar-SA"/>
              </w:rPr>
              <w:t>New revision to be submitted on 31</w:t>
            </w:r>
            <w:r>
              <w:rPr>
                <w:rFonts w:eastAsia="Dubai"/>
                <w:kern w:val="0"/>
                <w:sz w:val="22"/>
                <w:szCs w:val="22"/>
                <w:vertAlign w:val="superscript"/>
                <w:lang w:val="en-US" w:eastAsia="en-US" w:bidi="ar-SA"/>
              </w:rPr>
              <w:t>st</w:t>
            </w:r>
            <w:r>
              <w:rPr>
                <w:rFonts w:eastAsia="Dubai"/>
                <w:kern w:val="0"/>
                <w:sz w:val="22"/>
                <w:szCs w:val="22"/>
                <w:lang w:val="en-US" w:eastAsia="en-US" w:bidi="ar-SA"/>
              </w:rPr>
              <w:t xml:space="preserve"> May.</w:t>
            </w:r>
          </w:p>
          <w:p>
            <w:pPr>
              <w:pStyle w:val="TableText"/>
              <w:widowControl w:val="false"/>
              <w:suppressAutoHyphens w:val="true"/>
              <w:spacing w:before="0" w:after="0"/>
              <w:jc w:val="both"/>
              <w:rPr>
                <w:rFonts w:eastAsia="Dubai"/>
                <w:b/>
                <w:bCs/>
              </w:rPr>
            </w:pPr>
            <w:r>
              <w:rPr>
                <w:rFonts w:eastAsia="Dubai"/>
                <w:b/>
                <w:bCs/>
                <w:kern w:val="0"/>
                <w:sz w:val="22"/>
                <w:szCs w:val="22"/>
                <w:lang w:val="en-US" w:eastAsia="en-US" w:bidi="ar-SA"/>
              </w:rPr>
            </w:r>
          </w:p>
          <w:p>
            <w:pPr>
              <w:pStyle w:val="TableText"/>
              <w:widowControl w:val="false"/>
              <w:suppressAutoHyphens w:val="true"/>
              <w:spacing w:before="0" w:after="0"/>
              <w:jc w:val="both"/>
              <w:rPr>
                <w:b/>
                <w:bCs/>
                <w:u w:val="single"/>
              </w:rPr>
            </w:pPr>
            <w:r>
              <w:rPr>
                <w:rFonts w:eastAsia="Calibri"/>
                <w:b/>
                <w:bCs/>
                <w:kern w:val="0"/>
                <w:sz w:val="22"/>
                <w:szCs w:val="22"/>
                <w:u w:val="single"/>
                <w:lang w:val="en-GB" w:eastAsia="en-US" w:bidi="ar-SA"/>
              </w:rPr>
              <w:t xml:space="preserve">Al Reef Variation </w:t>
            </w:r>
          </w:p>
          <w:p>
            <w:pPr>
              <w:pStyle w:val="Normal"/>
              <w:widowControl w:val="false"/>
              <w:suppressAutoHyphens w:val="true"/>
              <w:spacing w:before="0" w:after="0"/>
              <w:jc w:val="start"/>
              <w:rPr>
                <w:rFonts w:eastAsia="Dubai" w:cs="Dubai"/>
                <w:color w:val="881798"/>
                <w:sz w:val="22"/>
                <w:szCs w:val="22"/>
                <w:lang w:val="en-GB"/>
              </w:rPr>
            </w:pPr>
            <w:r>
              <w:rPr>
                <w:rFonts w:eastAsia="Dubai" w:cs="Dubai"/>
                <w:kern w:val="0"/>
                <w:sz w:val="22"/>
                <w:szCs w:val="22"/>
                <w:lang w:val="en-GB" w:eastAsia="en-US" w:bidi="ar-SA"/>
              </w:rPr>
              <w:t xml:space="preserve">PE first submission </w:t>
            </w:r>
            <w:r>
              <w:rPr>
                <w:rFonts w:cs="Dubai"/>
                <w:kern w:val="0"/>
                <w:sz w:val="22"/>
                <w:szCs w:val="22"/>
                <w:lang w:val="en-GB" w:eastAsia="en-US" w:bidi="ar-SA"/>
              </w:rPr>
              <w:t>for alignment considering new variation of Al Reef station.</w:t>
            </w:r>
            <w:r>
              <w:rPr>
                <w:rFonts w:eastAsia="Dubai" w:cs="Dubai"/>
                <w:kern w:val="0"/>
                <w:sz w:val="22"/>
                <w:szCs w:val="22"/>
                <w:lang w:val="en-US" w:eastAsia="en-US" w:bidi="ar-SA"/>
              </w:rPr>
              <w:t xml:space="preserve"> </w:t>
            </w:r>
          </w:p>
          <w:p>
            <w:pPr>
              <w:pStyle w:val="TableText"/>
              <w:widowControl w:val="false"/>
              <w:numPr>
                <w:ilvl w:val="0"/>
                <w:numId w:val="4"/>
              </w:numPr>
              <w:suppressAutoHyphens w:val="true"/>
              <w:spacing w:before="0" w:after="0"/>
              <w:ind w:hanging="284" w:start="313"/>
              <w:jc w:val="both"/>
              <w:rPr>
                <w:lang w:val="en-GB"/>
              </w:rPr>
            </w:pPr>
            <w:r>
              <w:rPr>
                <w:rFonts w:eastAsia="Calibri"/>
                <w:kern w:val="0"/>
                <w:sz w:val="22"/>
                <w:szCs w:val="22"/>
                <w:lang w:val="en-GB" w:eastAsia="en-US" w:bidi="ar-SA"/>
              </w:rPr>
              <w:t>Tunnel MEP:</w:t>
            </w:r>
          </w:p>
          <w:p>
            <w:pPr>
              <w:pStyle w:val="TableText"/>
              <w:widowControl w:val="false"/>
              <w:numPr>
                <w:ilvl w:val="0"/>
                <w:numId w:val="26"/>
              </w:numPr>
              <w:suppressAutoHyphens w:val="true"/>
              <w:spacing w:before="0" w:after="0"/>
              <w:jc w:val="both"/>
              <w:rPr>
                <w:lang w:val="en-GB"/>
              </w:rPr>
            </w:pPr>
            <w:r>
              <w:rPr>
                <w:rFonts w:eastAsia="Calibri"/>
                <w:kern w:val="0"/>
                <w:sz w:val="22"/>
                <w:szCs w:val="22"/>
                <w:lang w:val="en-GB" w:eastAsia="en-US" w:bidi="ar-SA"/>
              </w:rPr>
              <w:t xml:space="preserve">MEP AUH Tunnel Design according with the Alignment modifications. </w:t>
            </w:r>
          </w:p>
          <w:p>
            <w:pPr>
              <w:pStyle w:val="TableText"/>
              <w:widowControl w:val="false"/>
              <w:numPr>
                <w:ilvl w:val="0"/>
                <w:numId w:val="26"/>
              </w:numPr>
              <w:suppressAutoHyphens w:val="true"/>
              <w:spacing w:before="0" w:after="0"/>
              <w:jc w:val="both"/>
              <w:rPr>
                <w:rFonts w:eastAsia="Calibri"/>
                <w:kern w:val="0"/>
                <w:sz w:val="22"/>
                <w:szCs w:val="22"/>
                <w:lang w:val="en-US" w:eastAsia="en-US" w:bidi="ar-SA"/>
              </w:rPr>
            </w:pPr>
            <w:r>
              <w:rPr>
                <w:rFonts w:eastAsia="Calibri"/>
                <w:kern w:val="0"/>
                <w:sz w:val="22"/>
                <w:szCs w:val="22"/>
                <w:lang w:val="en-US" w:eastAsia="en-US" w:bidi="ar-SA"/>
              </w:rPr>
              <w:t xml:space="preserve">PE first submission has been submitted on 14/03.  </w:t>
            </w:r>
          </w:p>
          <w:p>
            <w:pPr>
              <w:pStyle w:val="TableText"/>
              <w:widowControl w:val="false"/>
              <w:suppressAutoHyphens w:val="true"/>
              <w:spacing w:before="0" w:after="0"/>
              <w:ind w:hanging="691" w:start="720"/>
              <w:jc w:val="both"/>
              <w:rPr>
                <w:lang w:val="en-GB"/>
              </w:rPr>
            </w:pPr>
            <w:r>
              <w:rPr>
                <w:rFonts w:eastAsia="Calibri"/>
                <w:kern w:val="0"/>
                <w:sz w:val="22"/>
                <w:szCs w:val="22"/>
                <w:lang w:val="en-GB" w:eastAsia="en-US" w:bidi="ar-SA"/>
              </w:rPr>
              <w:t>Al Reef Station MEP:</w:t>
            </w:r>
          </w:p>
          <w:p>
            <w:pPr>
              <w:pStyle w:val="TableText"/>
              <w:widowControl w:val="false"/>
              <w:numPr>
                <w:ilvl w:val="0"/>
                <w:numId w:val="21"/>
              </w:numPr>
              <w:suppressAutoHyphens w:val="true"/>
              <w:spacing w:before="0" w:after="0"/>
              <w:ind w:hanging="284" w:start="673"/>
              <w:jc w:val="both"/>
              <w:rPr>
                <w:lang w:val="en-GB"/>
              </w:rPr>
            </w:pPr>
            <w:r>
              <w:rPr>
                <w:rFonts w:eastAsia="Calibri"/>
                <w:kern w:val="0"/>
                <w:sz w:val="22"/>
                <w:szCs w:val="22"/>
                <w:lang w:val="en-GB" w:eastAsia="en-US" w:bidi="ar-SA"/>
              </w:rPr>
              <w:t>MEP design for the Al Reef Station.</w:t>
            </w:r>
          </w:p>
          <w:p>
            <w:pPr>
              <w:pStyle w:val="TableText"/>
              <w:widowControl w:val="false"/>
              <w:numPr>
                <w:ilvl w:val="0"/>
                <w:numId w:val="21"/>
              </w:numPr>
              <w:suppressAutoHyphens w:val="true"/>
              <w:spacing w:before="0" w:after="0"/>
              <w:ind w:hanging="284" w:start="673"/>
              <w:jc w:val="both"/>
              <w:rPr>
                <w:rFonts w:eastAsia="Dubai"/>
                <w:lang w:val="en-GB"/>
              </w:rPr>
            </w:pPr>
            <w:r>
              <w:rPr>
                <w:rFonts w:eastAsia="Calibri"/>
                <w:kern w:val="0"/>
                <w:sz w:val="22"/>
                <w:szCs w:val="22"/>
                <w:lang w:val="en-GB" w:eastAsia="en-US" w:bidi="ar-SA"/>
              </w:rPr>
              <w:t>PE first submission has been submitted on 14/03. r</w:t>
            </w:r>
            <w:r>
              <w:rPr>
                <w:rFonts w:eastAsia="Dubai"/>
                <w:kern w:val="0"/>
                <w:sz w:val="22"/>
                <w:szCs w:val="22"/>
                <w:lang w:val="en-GB" w:eastAsia="en-US" w:bidi="ar-SA"/>
              </w:rPr>
              <w:t>ev. AA Cod 2 received on 03/04.</w:t>
            </w:r>
          </w:p>
          <w:p>
            <w:pPr>
              <w:pStyle w:val="TableText"/>
              <w:widowControl w:val="false"/>
              <w:suppressAutoHyphens w:val="true"/>
              <w:spacing w:before="0" w:after="0"/>
              <w:jc w:val="both"/>
              <w:rPr>
                <w:u w:val="single"/>
              </w:rPr>
            </w:pPr>
            <w:r>
              <w:rPr>
                <w:rFonts w:eastAsia="Calibri"/>
                <w:kern w:val="0"/>
                <w:sz w:val="22"/>
                <w:szCs w:val="22"/>
                <w:u w:val="single"/>
                <w:lang w:val="en-US" w:eastAsia="en-US" w:bidi="ar-SA"/>
              </w:rPr>
            </w:r>
          </w:p>
          <w:p>
            <w:pPr>
              <w:pStyle w:val="TableText"/>
              <w:widowControl w:val="false"/>
              <w:suppressAutoHyphens w:val="true"/>
              <w:spacing w:before="0" w:after="0"/>
              <w:jc w:val="both"/>
              <w:rPr>
                <w:u w:val="single"/>
              </w:rPr>
            </w:pPr>
            <w:r>
              <w:rPr>
                <w:rFonts w:eastAsia="Calibri"/>
                <w:kern w:val="0"/>
                <w:sz w:val="22"/>
                <w:szCs w:val="22"/>
                <w:u w:val="single"/>
                <w:lang w:val="en-US" w:eastAsia="en-US" w:bidi="ar-SA"/>
              </w:rPr>
              <w:t>Al Ain</w:t>
            </w:r>
          </w:p>
          <w:p>
            <w:pPr>
              <w:pStyle w:val="TableText"/>
              <w:widowControl w:val="false"/>
              <w:numPr>
                <w:ilvl w:val="0"/>
                <w:numId w:val="4"/>
              </w:numPr>
              <w:suppressAutoHyphens w:val="true"/>
              <w:spacing w:before="0" w:after="0"/>
              <w:ind w:hanging="284" w:start="313"/>
              <w:jc w:val="both"/>
              <w:rPr>
                <w:rFonts w:eastAsia="Calibri"/>
                <w:kern w:val="0"/>
                <w:sz w:val="22"/>
                <w:szCs w:val="22"/>
                <w:lang w:val="en-US" w:eastAsia="en-US" w:bidi="ar-SA"/>
              </w:rPr>
            </w:pPr>
            <w:r>
              <w:rPr>
                <w:rFonts w:eastAsia="Calibri"/>
                <w:kern w:val="0"/>
                <w:sz w:val="22"/>
                <w:szCs w:val="22"/>
                <w:lang w:val="en-GB" w:eastAsia="en-US" w:bidi="ar-SA"/>
              </w:rPr>
              <w:t xml:space="preserve">Tunnel MEP. </w:t>
            </w:r>
            <w:r>
              <w:rPr>
                <w:rFonts w:eastAsia="Calibri"/>
                <w:kern w:val="0"/>
                <w:sz w:val="22"/>
                <w:szCs w:val="22"/>
                <w:lang w:val="en-US" w:eastAsia="en-US" w:bidi="ar-SA"/>
              </w:rPr>
              <w:t>PE to be submitted.</w:t>
            </w:r>
          </w:p>
          <w:p>
            <w:pPr>
              <w:pStyle w:val="TableText"/>
              <w:widowControl w:val="false"/>
              <w:numPr>
                <w:ilvl w:val="0"/>
                <w:numId w:val="3"/>
              </w:numPr>
              <w:suppressAutoHyphens w:val="true"/>
              <w:spacing w:before="0" w:after="0"/>
              <w:jc w:val="both"/>
              <w:rPr>
                <w:color w:themeColor="text1" w:val="000000"/>
                <w:lang w:val="en-GB"/>
              </w:rPr>
            </w:pPr>
            <w:r>
              <w:rPr>
                <w:rFonts w:eastAsia="Calibri"/>
                <w:color w:themeColor="text1" w:val="000000"/>
                <w:kern w:val="0"/>
                <w:sz w:val="22"/>
                <w:szCs w:val="22"/>
                <w:lang w:val="en-GB" w:eastAsia="en-US" w:bidi="ar-SA"/>
              </w:rPr>
              <w:t xml:space="preserve">Abu Dhabi section: </w:t>
            </w:r>
          </w:p>
          <w:p>
            <w:pPr>
              <w:pStyle w:val="TableText"/>
              <w:widowControl w:val="false"/>
              <w:suppressAutoHyphens w:val="true"/>
              <w:spacing w:before="0" w:after="0"/>
              <w:ind w:start="720"/>
              <w:jc w:val="both"/>
              <w:rPr>
                <w:color w:themeColor="text1" w:val="000000"/>
                <w:lang w:val="en-GB"/>
              </w:rPr>
            </w:pPr>
            <w:r>
              <w:rPr>
                <w:rFonts w:eastAsia="Calibri"/>
                <w:color w:themeColor="text1" w:val="000000"/>
                <w:kern w:val="0"/>
                <w:sz w:val="22"/>
                <w:szCs w:val="22"/>
                <w:lang w:val="en-GB" w:eastAsia="en-US" w:bidi="ar-SA"/>
              </w:rPr>
              <w:t>On going task to design the MEP disciplines (ventilation, Firefighting, Electric supply and drainage) for the alignment typology in Abu Dhabi section.</w:t>
            </w:r>
          </w:p>
          <w:p>
            <w:pPr>
              <w:pStyle w:val="TableText"/>
              <w:widowControl w:val="false"/>
              <w:numPr>
                <w:ilvl w:val="0"/>
                <w:numId w:val="2"/>
              </w:numPr>
              <w:suppressAutoHyphens w:val="true"/>
              <w:spacing w:before="0" w:after="0"/>
              <w:jc w:val="both"/>
              <w:rPr>
                <w:color w:themeColor="text1" w:val="000000"/>
                <w:lang w:val="en-GB"/>
              </w:rPr>
            </w:pPr>
            <w:r>
              <w:rPr>
                <w:rFonts w:eastAsia="Calibri"/>
                <w:color w:themeColor="text1" w:val="000000"/>
                <w:kern w:val="0"/>
                <w:sz w:val="22"/>
                <w:szCs w:val="22"/>
                <w:lang w:val="en-GB" w:eastAsia="en-US" w:bidi="ar-SA"/>
              </w:rPr>
              <w:t>Al Ain section: PE ongoing:</w:t>
            </w:r>
          </w:p>
          <w:p>
            <w:pPr>
              <w:pStyle w:val="TableText"/>
              <w:widowControl w:val="false"/>
              <w:suppressAutoHyphens w:val="true"/>
              <w:spacing w:before="0" w:after="0"/>
              <w:ind w:start="720"/>
              <w:jc w:val="both"/>
              <w:rPr>
                <w:color w:themeColor="text1" w:val="000000"/>
                <w:lang w:val="en-GB"/>
              </w:rPr>
            </w:pPr>
            <w:r>
              <w:rPr>
                <w:rFonts w:eastAsia="Calibri"/>
                <w:color w:themeColor="text1" w:val="000000"/>
                <w:kern w:val="0"/>
                <w:sz w:val="22"/>
                <w:szCs w:val="22"/>
                <w:lang w:val="en-GB" w:eastAsia="en-US" w:bidi="ar-SA"/>
              </w:rPr>
              <w:t>On going task to design the MEP disciplines (ventilation, Firefighting, Electric supply and drainage) for the alignment typology Al Ain section.</w:t>
            </w:r>
          </w:p>
          <w:p>
            <w:pPr>
              <w:pStyle w:val="TableText"/>
              <w:widowControl w:val="false"/>
              <w:numPr>
                <w:ilvl w:val="0"/>
                <w:numId w:val="4"/>
              </w:numPr>
              <w:suppressAutoHyphens w:val="true"/>
              <w:spacing w:before="0" w:after="0"/>
              <w:ind w:hanging="284" w:start="313"/>
              <w:jc w:val="both"/>
              <w:rPr>
                <w:rFonts w:eastAsia="Calibri"/>
                <w:kern w:val="0"/>
                <w:sz w:val="22"/>
                <w:szCs w:val="22"/>
                <w:lang w:val="en-US" w:eastAsia="en-US" w:bidi="ar-SA"/>
              </w:rPr>
            </w:pPr>
            <w:r>
              <w:rPr>
                <w:rFonts w:eastAsia="Calibri"/>
                <w:kern w:val="0"/>
                <w:sz w:val="22"/>
                <w:szCs w:val="22"/>
                <w:lang w:val="en-GB" w:eastAsia="en-US" w:bidi="ar-SA"/>
              </w:rPr>
              <w:t xml:space="preserve">Al Ain Station MEP. </w:t>
            </w:r>
            <w:r>
              <w:rPr>
                <w:rFonts w:eastAsia="Calibri"/>
                <w:kern w:val="0"/>
                <w:sz w:val="22"/>
                <w:szCs w:val="22"/>
                <w:lang w:val="en-US" w:eastAsia="en-US" w:bidi="ar-SA"/>
              </w:rPr>
              <w:t>PE to be submitted.</w:t>
            </w:r>
          </w:p>
          <w:p>
            <w:pPr>
              <w:pStyle w:val="TableText"/>
              <w:widowControl w:val="false"/>
              <w:numPr>
                <w:ilvl w:val="0"/>
                <w:numId w:val="3"/>
              </w:numPr>
              <w:suppressAutoHyphens w:val="true"/>
              <w:spacing w:before="0" w:after="0"/>
              <w:jc w:val="both"/>
              <w:rPr>
                <w:color w:themeColor="text1" w:val="000000"/>
                <w:lang w:val="en-GB"/>
              </w:rPr>
            </w:pPr>
            <w:r>
              <w:rPr>
                <w:rFonts w:eastAsia="Calibri"/>
                <w:color w:themeColor="text1" w:val="000000"/>
                <w:kern w:val="0"/>
                <w:sz w:val="22"/>
                <w:szCs w:val="22"/>
                <w:lang w:val="en-GB" w:eastAsia="en-US" w:bidi="ar-SA"/>
              </w:rPr>
              <w:t>On going task to design the MEP for the new station typology in Al Ain. It has been submitted on 09/05.</w:t>
            </w:r>
          </w:p>
          <w:p>
            <w:pPr>
              <w:pStyle w:val="TableText"/>
              <w:widowControl w:val="false"/>
              <w:numPr>
                <w:ilvl w:val="0"/>
                <w:numId w:val="2"/>
              </w:numPr>
              <w:suppressAutoHyphens w:val="true"/>
              <w:spacing w:before="0" w:after="0"/>
              <w:ind w:hanging="284" w:start="313"/>
              <w:jc w:val="both"/>
              <w:rPr>
                <w:rFonts w:eastAsia="Calibri"/>
                <w:kern w:val="0"/>
                <w:sz w:val="22"/>
                <w:szCs w:val="22"/>
                <w:lang w:val="en-US" w:eastAsia="en-US" w:bidi="ar-SA"/>
              </w:rPr>
            </w:pPr>
            <w:r>
              <w:rPr>
                <w:rFonts w:eastAsia="Calibri"/>
                <w:kern w:val="0"/>
                <w:sz w:val="22"/>
                <w:szCs w:val="22"/>
                <w:lang w:val="en-GB" w:eastAsia="en-US" w:bidi="ar-SA"/>
              </w:rPr>
              <w:t xml:space="preserve">Al Ain Depot. </w:t>
            </w:r>
          </w:p>
          <w:p>
            <w:pPr>
              <w:pStyle w:val="TableText"/>
              <w:widowControl w:val="false"/>
              <w:numPr>
                <w:ilvl w:val="0"/>
                <w:numId w:val="3"/>
              </w:numPr>
              <w:suppressAutoHyphens w:val="true"/>
              <w:spacing w:before="0" w:after="0"/>
              <w:jc w:val="both"/>
              <w:rPr>
                <w:rFonts w:eastAsia="Dubai"/>
                <w:b/>
              </w:rPr>
            </w:pPr>
            <w:r>
              <w:rPr>
                <w:rFonts w:eastAsia="Calibri"/>
                <w:kern w:val="0"/>
                <w:sz w:val="22"/>
                <w:szCs w:val="22"/>
                <w:lang w:val="en-GB" w:eastAsia="en-US" w:bidi="ar-SA"/>
              </w:rPr>
              <w:t>PE first submission has been submitted on 15/04. Rev Cod. 02 has been received on 30/04.</w:t>
            </w:r>
          </w:p>
        </w:tc>
        <w:tc>
          <w:tcPr>
            <w:tcW w:w="850" w:type="dxa"/>
            <w:tcBorders/>
          </w:tcPr>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Note</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SEI</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SEI</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SEI</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SEI</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SEI</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SEI</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SEI</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SEI</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t>SEI</w:t>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p>
            <w:pPr>
              <w:pStyle w:val="TableText"/>
              <w:widowControl w:val="false"/>
              <w:suppressAutoHyphens w:val="true"/>
              <w:spacing w:before="0" w:after="0"/>
              <w:jc w:val="center"/>
              <w:rPr>
                <w:lang w:val="pt-BR"/>
              </w:rPr>
            </w:pPr>
            <w:r>
              <w:rPr>
                <w:rFonts w:eastAsia="Calibri"/>
                <w:kern w:val="0"/>
                <w:sz w:val="22"/>
                <w:szCs w:val="22"/>
                <w:lang w:val="pt-BR" w:eastAsia="en-US" w:bidi="ar-SA"/>
              </w:rPr>
            </w:r>
          </w:p>
        </w:tc>
        <w:tc>
          <w:tcPr>
            <w:tcW w:w="1278" w:type="dxa"/>
            <w:tcBorders/>
          </w:tcPr>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t>15/05/25</w:t>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t>31/05/25</w:t>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Dubai"/>
                <w:kern w:val="0"/>
                <w:sz w:val="22"/>
                <w:szCs w:val="22"/>
                <w:lang w:val="en-US" w:eastAsia="en-US" w:bidi="ar-SA"/>
              </w:rPr>
              <w:t>15/05/25</w:t>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Dubai"/>
                <w:kern w:val="0"/>
                <w:sz w:val="22"/>
                <w:szCs w:val="22"/>
                <w:lang w:val="en-US" w:eastAsia="en-US" w:bidi="ar-SA"/>
              </w:rPr>
              <w:t>15/05/25</w:t>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t>23/05/25</w:t>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bCs/>
                <w:lang w:val="pt-BR"/>
              </w:rPr>
            </w:pPr>
            <w:r>
              <w:rPr>
                <w:rFonts w:eastAsia="Calibri"/>
                <w:kern w:val="0"/>
                <w:sz w:val="22"/>
                <w:szCs w:val="22"/>
                <w:lang w:val="pt-BR" w:eastAsia="en-US" w:bidi="ar-SA"/>
              </w:rPr>
              <w:t>15</w:t>
            </w:r>
            <w:r>
              <w:rPr>
                <w:rFonts w:eastAsia="Calibri"/>
                <w:bCs/>
                <w:kern w:val="0"/>
                <w:sz w:val="22"/>
                <w:szCs w:val="22"/>
                <w:lang w:val="pt-BR" w:eastAsia="en-US" w:bidi="ar-SA"/>
              </w:rPr>
              <w:t>/05/25</w:t>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kern w:val="0"/>
                <w:sz w:val="22"/>
                <w:szCs w:val="22"/>
                <w:lang w:val="pt-BR" w:eastAsia="en-US" w:bidi="ar-SA"/>
              </w:rPr>
              <w:t>15</w:t>
            </w:r>
            <w:r>
              <w:rPr>
                <w:rFonts w:eastAsia="Calibri"/>
                <w:bCs/>
                <w:kern w:val="0"/>
                <w:sz w:val="22"/>
                <w:szCs w:val="22"/>
                <w:lang w:val="pt-BR" w:eastAsia="en-US" w:bidi="ar-SA"/>
              </w:rPr>
              <w:t>/05/25</w:t>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bCs/>
                <w:lang w:val="pt-BR"/>
              </w:rPr>
            </w:pPr>
            <w:r>
              <w:rPr>
                <w:rFonts w:eastAsia="Calibri"/>
                <w:kern w:val="0"/>
                <w:sz w:val="22"/>
                <w:szCs w:val="22"/>
                <w:lang w:val="pt-BR" w:eastAsia="en-US" w:bidi="ar-SA"/>
              </w:rPr>
              <w:t>31/05/25</w:t>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t>15/06/25</w:t>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lang w:val="pt-BR"/>
              </w:rPr>
            </w:pPr>
            <w:r>
              <w:rPr>
                <w:rFonts w:eastAsia="Calibri"/>
                <w:kern w:val="0"/>
                <w:sz w:val="22"/>
                <w:szCs w:val="22"/>
                <w:lang w:val="pt-BR" w:eastAsia="en-US" w:bidi="ar-SA"/>
              </w:rPr>
            </w:r>
          </w:p>
          <w:p>
            <w:pPr>
              <w:pStyle w:val="TableText"/>
              <w:widowControl/>
              <w:suppressAutoHyphens w:val="true"/>
              <w:spacing w:before="0" w:after="0"/>
              <w:jc w:val="center"/>
              <w:rPr>
                <w:bCs/>
                <w:lang w:val="pt-BR"/>
              </w:rPr>
            </w:pPr>
            <w:r>
              <w:rPr>
                <w:rFonts w:eastAsia="Calibri"/>
                <w:bCs/>
                <w:kern w:val="0"/>
                <w:sz w:val="22"/>
                <w:szCs w:val="22"/>
                <w:lang w:val="pt-BR" w:eastAsia="en-US" w:bidi="ar-SA"/>
              </w:rPr>
            </w:r>
          </w:p>
        </w:tc>
      </w:tr>
      <w:tr>
        <w:trPr>
          <w:trHeight w:val="300" w:hRule="atLeast"/>
        </w:trPr>
        <w:tc>
          <w:tcPr>
            <w:tcW w:w="1400" w:type="dxa"/>
            <w:vMerge w:val="restart"/>
            <w:tcBorders/>
            <w:vAlign w:val="center"/>
          </w:tcPr>
          <w:p>
            <w:pPr>
              <w:pStyle w:val="TableLineNumbering"/>
              <w:widowControl w:val="false"/>
              <w:numPr>
                <w:ilvl w:val="0"/>
                <w:numId w:val="0"/>
              </w:numPr>
              <w:suppressAutoHyphens w:val="true"/>
              <w:spacing w:before="0" w:after="0"/>
              <w:ind w:hanging="360" w:start="360"/>
              <w:jc w:val="start"/>
              <w:rPr>
                <w:kern w:val="0"/>
                <w:lang w:val="en-US" w:eastAsia="en-US" w:bidi="ar-SA"/>
              </w:rPr>
            </w:pPr>
            <w:r>
              <w:rPr>
                <w:kern w:val="0"/>
                <w:lang w:val="en-US" w:eastAsia="en-US" w:bidi="ar-SA"/>
              </w:rPr>
              <w:t>7.</w:t>
            </w:r>
          </w:p>
        </w:tc>
        <w:tc>
          <w:tcPr>
            <w:tcW w:w="1871" w:type="dxa"/>
            <w:vMerge w:val="restart"/>
            <w:tcBorders/>
            <w:vAlign w:val="center"/>
          </w:tcPr>
          <w:p>
            <w:pPr>
              <w:pStyle w:val="TableText"/>
              <w:widowControl w:val="false"/>
              <w:suppressAutoHyphens w:val="true"/>
              <w:spacing w:before="0" w:after="0"/>
              <w:jc w:val="start"/>
              <w:rPr>
                <w:bCs/>
              </w:rPr>
            </w:pPr>
            <w:r>
              <w:rPr>
                <w:rFonts w:eastAsia="Calibri"/>
                <w:caps/>
                <w:kern w:val="0"/>
                <w:sz w:val="22"/>
                <w:szCs w:val="22"/>
                <w:lang w:val="en-GB" w:eastAsia="en-US" w:bidi="ar-SA"/>
              </w:rPr>
              <w:t>Si&amp;A</w:t>
            </w:r>
          </w:p>
        </w:tc>
        <w:tc>
          <w:tcPr>
            <w:tcW w:w="5527" w:type="dxa"/>
            <w:tcBorders/>
          </w:tcPr>
          <w:p>
            <w:pPr>
              <w:pStyle w:val="Normal"/>
              <w:widowControl w:val="false"/>
              <w:suppressAutoHyphens w:val="true"/>
              <w:spacing w:before="0" w:after="0"/>
              <w:jc w:val="both"/>
              <w:rPr>
                <w:rFonts w:eastAsia="Dubai" w:cs="Dubai"/>
                <w:b/>
                <w:bCs/>
                <w:color w:themeColor="text1" w:val="000000"/>
                <w:sz w:val="22"/>
                <w:szCs w:val="22"/>
              </w:rPr>
            </w:pPr>
            <w:r>
              <w:rPr>
                <w:rFonts w:eastAsia="Dubai" w:cs="Dubai"/>
                <w:b/>
                <w:bCs/>
                <w:color w:themeColor="text1" w:val="000000"/>
                <w:kern w:val="0"/>
                <w:sz w:val="22"/>
                <w:szCs w:val="22"/>
                <w:lang w:val="en-US" w:eastAsia="en-US" w:bidi="ar-SA"/>
              </w:rPr>
              <w:t>SAFETY</w:t>
            </w:r>
          </w:p>
          <w:p>
            <w:pPr>
              <w:pStyle w:val="Normal"/>
              <w:widowControl w:val="false"/>
              <w:suppressAutoHyphens w:val="true"/>
              <w:spacing w:before="0" w:after="0"/>
              <w:jc w:val="both"/>
              <w:rPr>
                <w:rFonts w:eastAsia="Dubai" w:cs="Dubai"/>
                <w:color w:themeColor="text1" w:val="000000"/>
                <w:sz w:val="22"/>
                <w:szCs w:val="22"/>
              </w:rPr>
            </w:pPr>
            <w:r>
              <w:rPr>
                <w:rFonts w:eastAsia="Dubai" w:cs="Dubai"/>
                <w:kern w:val="0"/>
                <w:sz w:val="22"/>
                <w:szCs w:val="22"/>
                <w:lang w:val="en-US" w:eastAsia="en-US" w:bidi="ar-SA"/>
              </w:rPr>
              <w:t>P2103-UAE-GHA-RP-04102_AD Preliminary Design Safety Case Rev. AD</w:t>
            </w:r>
            <w:r>
              <w:rPr>
                <w:rFonts w:cs="Dubai"/>
                <w:color w:themeColor="text1" w:val="000000"/>
                <w:kern w:val="0"/>
                <w:sz w:val="22"/>
                <w:szCs w:val="22"/>
                <w:lang w:val="en-US" w:eastAsia="en-US" w:bidi="ar-SA"/>
              </w:rPr>
              <w:t xml:space="preserve"> has been already submitted on the 26</w:t>
            </w:r>
            <w:r>
              <w:rPr>
                <w:rFonts w:cs="Dubai"/>
                <w:color w:themeColor="text1" w:val="000000"/>
                <w:kern w:val="0"/>
                <w:sz w:val="22"/>
                <w:szCs w:val="22"/>
                <w:vertAlign w:val="superscript"/>
                <w:lang w:val="en-US" w:eastAsia="en-US" w:bidi="ar-SA"/>
              </w:rPr>
              <w:t>th</w:t>
            </w:r>
            <w:r>
              <w:rPr>
                <w:rFonts w:cs="Dubai"/>
                <w:color w:themeColor="text1" w:val="000000"/>
                <w:kern w:val="0"/>
                <w:sz w:val="22"/>
                <w:szCs w:val="22"/>
                <w:lang w:val="en-US" w:eastAsia="en-US" w:bidi="ar-SA"/>
              </w:rPr>
              <w:t xml:space="preserve"> of March.</w:t>
            </w:r>
          </w:p>
        </w:tc>
        <w:tc>
          <w:tcPr>
            <w:tcW w:w="850" w:type="dxa"/>
            <w:tcBorders/>
          </w:tcPr>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t>Note</w:t>
            </w:r>
          </w:p>
        </w:tc>
        <w:tc>
          <w:tcPr>
            <w:tcW w:w="1278" w:type="dxa"/>
            <w:tcBorders/>
          </w:tcPr>
          <w:p>
            <w:pPr>
              <w:pStyle w:val="TableText"/>
              <w:widowControl w:val="false"/>
              <w:suppressAutoHyphens w:val="true"/>
              <w:spacing w:lineRule="auto" w:line="259" w:before="0" w:after="0"/>
              <w:jc w:val="center"/>
              <w:rPr>
                <w:bCs/>
              </w:rPr>
            </w:pPr>
            <w:r>
              <w:rPr>
                <w:rFonts w:eastAsia="Calibri"/>
                <w:bCs/>
                <w:kern w:val="0"/>
                <w:sz w:val="22"/>
                <w:szCs w:val="22"/>
                <w:lang w:val="en-US" w:eastAsia="en-US" w:bidi="ar-SA"/>
              </w:rPr>
            </w:r>
          </w:p>
        </w:tc>
      </w:tr>
      <w:tr>
        <w:trPr>
          <w:trHeight w:val="724" w:hRule="atLeast"/>
        </w:trPr>
        <w:tc>
          <w:tcPr>
            <w:tcW w:w="1400" w:type="dxa"/>
            <w:vMerge w:val="continue"/>
            <w:tcBorders/>
          </w:tcPr>
          <w:p>
            <w:pPr>
              <w:pStyle w:val="TableLineNumbering"/>
              <w:widowControl w:val="false"/>
              <w:numPr>
                <w:ilvl w:val="0"/>
                <w:numId w:val="0"/>
              </w:numPr>
              <w:suppressAutoHyphens w:val="true"/>
              <w:spacing w:before="0" w:after="0"/>
              <w:ind w:hanging="360" w:start="360"/>
              <w:jc w:val="start"/>
              <w:rPr>
                <w:kern w:val="0"/>
                <w:lang w:val="en-US" w:eastAsia="en-US" w:bidi="ar-SA"/>
              </w:rPr>
            </w:pPr>
            <w:r>
              <w:rPr>
                <w:kern w:val="0"/>
                <w:lang w:val="en-US" w:eastAsia="en-US" w:bidi="ar-SA"/>
              </w:rPr>
            </w:r>
          </w:p>
        </w:tc>
        <w:tc>
          <w:tcPr>
            <w:tcW w:w="1871" w:type="dxa"/>
            <w:vMerge w:val="continue"/>
            <w:tcBorders/>
          </w:tcPr>
          <w:p>
            <w:pPr>
              <w:pStyle w:val="TableText"/>
              <w:widowControl w:val="false"/>
              <w:suppressAutoHyphens w:val="true"/>
              <w:spacing w:before="0" w:after="0"/>
              <w:jc w:val="start"/>
              <w:rPr>
                <w:bCs/>
              </w:rPr>
            </w:pPr>
            <w:r>
              <w:rPr>
                <w:rFonts w:eastAsia="Calibri"/>
                <w:bCs/>
                <w:kern w:val="0"/>
                <w:sz w:val="22"/>
                <w:szCs w:val="22"/>
                <w:lang w:val="en-US" w:eastAsia="en-US" w:bidi="ar-SA"/>
              </w:rPr>
            </w:r>
          </w:p>
        </w:tc>
        <w:tc>
          <w:tcPr>
            <w:tcW w:w="5527" w:type="dxa"/>
            <w:tcBorders/>
          </w:tcPr>
          <w:p>
            <w:pPr>
              <w:pStyle w:val="Normal"/>
              <w:widowControl/>
              <w:suppressAutoHyphens w:val="true"/>
              <w:spacing w:before="0" w:after="0"/>
              <w:jc w:val="both"/>
              <w:rPr>
                <w:rFonts w:eastAsia="Dubai" w:cs="Dubai"/>
                <w:b/>
                <w:bCs/>
                <w:color w:themeColor="text1" w:val="000000"/>
                <w:sz w:val="22"/>
                <w:szCs w:val="22"/>
              </w:rPr>
            </w:pPr>
            <w:r>
              <w:rPr>
                <w:rFonts w:eastAsia="Dubai" w:cs="Dubai"/>
                <w:b/>
                <w:bCs/>
                <w:color w:themeColor="text1" w:val="000000"/>
                <w:kern w:val="0"/>
                <w:sz w:val="22"/>
                <w:szCs w:val="22"/>
                <w:lang w:val="en-US" w:eastAsia="en-US" w:bidi="ar-SA"/>
              </w:rPr>
              <w:t>System Architecture:</w:t>
            </w:r>
          </w:p>
          <w:p>
            <w:pPr>
              <w:pStyle w:val="Normal"/>
              <w:widowControl/>
              <w:suppressAutoHyphens w:val="true"/>
              <w:spacing w:lineRule="auto" w:line="259" w:before="0" w:after="0"/>
              <w:jc w:val="start"/>
              <w:rPr>
                <w:rFonts w:eastAsia="" w:cs="Dubai" w:eastAsiaTheme="minorEastAsia"/>
                <w:color w:themeColor="text1" w:val="000000"/>
                <w:sz w:val="22"/>
                <w:szCs w:val="22"/>
              </w:rPr>
            </w:pPr>
            <w:r>
              <w:rPr>
                <w:rFonts w:eastAsia="Dubai" w:cs="Dubai"/>
                <w:kern w:val="0"/>
                <w:sz w:val="22"/>
                <w:szCs w:val="22"/>
                <w:lang w:val="en-US" w:eastAsia="en-US" w:bidi="ar-SA"/>
              </w:rPr>
              <w:t xml:space="preserve">P2103-UAE-GER-RP-04002-AH System Architecture Diagram [SAD] has been </w:t>
            </w:r>
            <w:r>
              <w:rPr>
                <w:kern w:val="0"/>
                <w:lang w:val="en-US" w:eastAsia="en-US" w:bidi="ar-SA"/>
              </w:rPr>
              <w:t>approved</w:t>
            </w:r>
            <w:r>
              <w:rPr>
                <w:rFonts w:cs="Dubai"/>
                <w:color w:themeColor="text1" w:val="000000"/>
                <w:kern w:val="0"/>
                <w:sz w:val="22"/>
                <w:szCs w:val="22"/>
                <w:lang w:val="en-US" w:eastAsia="en-US" w:bidi="ar-SA"/>
              </w:rPr>
              <w:t xml:space="preserve"> (code-01) on May 23rd. Rev. 00 has been submitted on May 26th considering some minor comments on rev. AH following a meeting with ER and PMC. </w:t>
            </w:r>
          </w:p>
        </w:tc>
        <w:tc>
          <w:tcPr>
            <w:tcW w:w="850" w:type="dxa"/>
            <w:tcBorders/>
          </w:tcPr>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t>Note</w:t>
            </w:r>
          </w:p>
        </w:tc>
        <w:tc>
          <w:tcPr>
            <w:tcW w:w="1278" w:type="dxa"/>
            <w:tcBorders/>
          </w:tcPr>
          <w:p>
            <w:pPr>
              <w:pStyle w:val="TableText"/>
              <w:widowControl w:val="false"/>
              <w:suppressAutoHyphens w:val="true"/>
              <w:spacing w:before="0" w:after="0"/>
              <w:jc w:val="center"/>
              <w:rPr>
                <w:rFonts w:eastAsia="Calibri"/>
                <w:kern w:val="0"/>
                <w:sz w:val="22"/>
                <w:szCs w:val="22"/>
                <w:lang w:val="en-US" w:eastAsia="en-US" w:bidi="ar-SA"/>
              </w:rPr>
            </w:pPr>
            <w:r>
              <w:rPr>
                <w:rFonts w:eastAsia="Calibri"/>
                <w:kern w:val="0"/>
                <w:sz w:val="22"/>
                <w:szCs w:val="22"/>
                <w:lang w:val="en-US" w:eastAsia="en-US" w:bidi="ar-SA"/>
              </w:rPr>
            </w:r>
          </w:p>
        </w:tc>
      </w:tr>
      <w:tr>
        <w:trPr>
          <w:trHeight w:val="436" w:hRule="atLeast"/>
        </w:trPr>
        <w:tc>
          <w:tcPr>
            <w:tcW w:w="1400" w:type="dxa"/>
            <w:tcBorders/>
            <w:vAlign w:val="center"/>
          </w:tcPr>
          <w:p>
            <w:pPr>
              <w:pStyle w:val="TableLineNumbering"/>
              <w:widowControl w:val="false"/>
              <w:numPr>
                <w:ilvl w:val="0"/>
                <w:numId w:val="0"/>
              </w:numPr>
              <w:suppressAutoHyphens w:val="true"/>
              <w:spacing w:before="0" w:after="0"/>
              <w:ind w:hanging="360" w:start="360"/>
              <w:jc w:val="start"/>
              <w:rPr>
                <w:kern w:val="0"/>
                <w:lang w:val="en-US" w:eastAsia="en-US" w:bidi="ar-SA"/>
              </w:rPr>
            </w:pPr>
            <w:r>
              <w:rPr>
                <w:kern w:val="0"/>
                <w:lang w:val="en-US" w:eastAsia="en-US" w:bidi="ar-SA"/>
              </w:rPr>
              <w:t>8.</w:t>
            </w:r>
          </w:p>
        </w:tc>
        <w:tc>
          <w:tcPr>
            <w:tcW w:w="1871" w:type="dxa"/>
            <w:tcBorders/>
            <w:vAlign w:val="center"/>
          </w:tcPr>
          <w:p>
            <w:pPr>
              <w:pStyle w:val="TableText"/>
              <w:widowControl w:val="false"/>
              <w:suppressAutoHyphens w:val="true"/>
              <w:spacing w:before="0" w:after="0"/>
              <w:jc w:val="start"/>
              <w:rPr>
                <w:bCs/>
              </w:rPr>
            </w:pPr>
            <w:r>
              <w:rPr>
                <w:rFonts w:eastAsia="Calibri"/>
                <w:caps/>
                <w:kern w:val="0"/>
                <w:sz w:val="22"/>
                <w:szCs w:val="22"/>
                <w:lang w:val="en-GB" w:eastAsia="en-US" w:bidi="ar-SA"/>
              </w:rPr>
              <w:t>CAPEX</w:t>
            </w:r>
          </w:p>
        </w:tc>
        <w:tc>
          <w:tcPr>
            <w:tcW w:w="5527" w:type="dxa"/>
            <w:tcBorders/>
          </w:tcPr>
          <w:p>
            <w:pPr>
              <w:pStyle w:val="TableText"/>
              <w:widowControl w:val="false"/>
              <w:suppressAutoHyphens w:val="true"/>
              <w:spacing w:before="0" w:after="0"/>
              <w:jc w:val="both"/>
              <w:rPr>
                <w:rFonts w:eastAsia="Calibri"/>
                <w:b/>
                <w:bCs/>
                <w:color w:themeColor="text1" w:val="000000"/>
                <w:lang w:val="en-GB"/>
              </w:rPr>
            </w:pPr>
            <w:r>
              <w:rPr>
                <w:rFonts w:eastAsia="Calibri"/>
                <w:b/>
                <w:bCs/>
                <w:color w:themeColor="text1" w:val="000000"/>
                <w:kern w:val="0"/>
                <w:sz w:val="22"/>
                <w:szCs w:val="22"/>
                <w:lang w:val="en-GB" w:eastAsia="en-US" w:bidi="ar-SA"/>
              </w:rPr>
              <w:t>Full CAPEX report and excel/presto models</w:t>
            </w:r>
          </w:p>
          <w:p>
            <w:pPr>
              <w:pStyle w:val="TableText"/>
              <w:widowControl w:val="false"/>
              <w:suppressAutoHyphens w:val="true"/>
              <w:spacing w:before="0" w:after="0"/>
              <w:jc w:val="both"/>
              <w:rPr>
                <w:rFonts w:eastAsia="Calibri"/>
                <w:color w:themeColor="text1" w:val="000000"/>
                <w:lang w:val="en-GB"/>
              </w:rPr>
            </w:pPr>
            <w:r>
              <w:rPr>
                <w:rFonts w:eastAsia="Calibri"/>
                <w:color w:themeColor="text1" w:val="000000"/>
                <w:kern w:val="0"/>
                <w:sz w:val="22"/>
                <w:szCs w:val="22"/>
                <w:lang w:val="en-GB" w:eastAsia="en-US" w:bidi="ar-SA"/>
              </w:rPr>
              <w:t>Integrated CAPEX of all sections will be delivered in a single document – under a new code, integrating all sections:</w:t>
            </w:r>
          </w:p>
          <w:p>
            <w:pPr>
              <w:pStyle w:val="TableText"/>
              <w:widowControl w:val="false"/>
              <w:numPr>
                <w:ilvl w:val="0"/>
                <w:numId w:val="22"/>
              </w:numPr>
              <w:suppressAutoHyphens w:val="true"/>
              <w:spacing w:before="0" w:after="0"/>
              <w:jc w:val="both"/>
              <w:rPr>
                <w:rFonts w:eastAsia="Calibri"/>
                <w:color w:themeColor="text1" w:val="000000"/>
                <w:lang w:val="en-GB"/>
              </w:rPr>
            </w:pPr>
            <w:r>
              <w:rPr>
                <w:rFonts w:eastAsia="Calibri"/>
                <w:color w:themeColor="text1" w:val="000000"/>
                <w:kern w:val="0"/>
                <w:sz w:val="22"/>
                <w:szCs w:val="22"/>
                <w:lang w:val="en-GB" w:eastAsia="en-US" w:bidi="ar-SA"/>
              </w:rPr>
              <w:t>Reem to Jubail</w:t>
            </w:r>
          </w:p>
          <w:p>
            <w:pPr>
              <w:pStyle w:val="TableText"/>
              <w:widowControl w:val="false"/>
              <w:numPr>
                <w:ilvl w:val="0"/>
                <w:numId w:val="22"/>
              </w:numPr>
              <w:suppressAutoHyphens w:val="true"/>
              <w:spacing w:before="0" w:after="0"/>
              <w:jc w:val="both"/>
              <w:rPr>
                <w:rFonts w:eastAsia="Calibri"/>
                <w:color w:themeColor="text1" w:val="000000"/>
                <w:lang w:val="en-GB"/>
              </w:rPr>
            </w:pPr>
            <w:r>
              <w:rPr>
                <w:rFonts w:eastAsia="Calibri"/>
                <w:color w:themeColor="text1" w:val="000000"/>
                <w:kern w:val="0"/>
                <w:sz w:val="22"/>
                <w:szCs w:val="22"/>
                <w:lang w:val="en-GB" w:eastAsia="en-US" w:bidi="ar-SA"/>
              </w:rPr>
              <w:t>Abu Dhabi and Dubai sections</w:t>
            </w:r>
          </w:p>
          <w:p>
            <w:pPr>
              <w:pStyle w:val="TableText"/>
              <w:widowControl w:val="false"/>
              <w:numPr>
                <w:ilvl w:val="0"/>
                <w:numId w:val="22"/>
              </w:numPr>
              <w:suppressAutoHyphens w:val="true"/>
              <w:spacing w:before="0" w:after="0"/>
              <w:jc w:val="both"/>
              <w:rPr>
                <w:rFonts w:eastAsia="Calibri"/>
                <w:color w:themeColor="text1" w:val="000000"/>
                <w:lang w:val="en-GB"/>
              </w:rPr>
            </w:pPr>
            <w:r>
              <w:rPr>
                <w:rFonts w:eastAsia="Calibri"/>
                <w:color w:themeColor="text1" w:val="000000"/>
                <w:kern w:val="0"/>
                <w:sz w:val="22"/>
                <w:szCs w:val="22"/>
                <w:lang w:val="en-GB" w:eastAsia="en-US" w:bidi="ar-SA"/>
              </w:rPr>
              <w:t>AUH section Al Reef option</w:t>
            </w:r>
          </w:p>
          <w:p>
            <w:pPr>
              <w:pStyle w:val="TableText"/>
              <w:widowControl w:val="false"/>
              <w:numPr>
                <w:ilvl w:val="0"/>
                <w:numId w:val="22"/>
              </w:numPr>
              <w:suppressAutoHyphens w:val="true"/>
              <w:spacing w:before="0" w:after="0"/>
              <w:jc w:val="both"/>
              <w:rPr>
                <w:rFonts w:eastAsia="Calibri"/>
                <w:color w:themeColor="text1" w:val="000000"/>
                <w:lang w:val="en-GB"/>
              </w:rPr>
            </w:pPr>
            <w:r>
              <w:rPr>
                <w:rFonts w:eastAsia="Calibri"/>
                <w:color w:themeColor="text1" w:val="000000"/>
                <w:kern w:val="0"/>
                <w:sz w:val="22"/>
                <w:szCs w:val="22"/>
                <w:lang w:val="en-GB" w:eastAsia="en-US" w:bidi="ar-SA"/>
              </w:rPr>
              <w:t>Dubai South viaduct alternative</w:t>
            </w:r>
          </w:p>
          <w:p>
            <w:pPr>
              <w:pStyle w:val="TableText"/>
              <w:widowControl w:val="false"/>
              <w:numPr>
                <w:ilvl w:val="0"/>
                <w:numId w:val="22"/>
              </w:numPr>
              <w:suppressAutoHyphens w:val="true"/>
              <w:spacing w:before="0" w:after="0"/>
              <w:jc w:val="both"/>
              <w:rPr>
                <w:rFonts w:eastAsia="Calibri"/>
                <w:color w:themeColor="text1" w:val="000000"/>
                <w:lang w:val="en-GB"/>
              </w:rPr>
            </w:pPr>
            <w:r>
              <w:rPr>
                <w:rFonts w:eastAsia="Calibri"/>
                <w:color w:themeColor="text1" w:val="000000"/>
                <w:kern w:val="0"/>
                <w:sz w:val="22"/>
                <w:szCs w:val="22"/>
                <w:lang w:val="en-GB" w:eastAsia="en-US" w:bidi="ar-SA"/>
              </w:rPr>
              <w:t>Maktoum station tunnel base scope</w:t>
            </w:r>
          </w:p>
          <w:p>
            <w:pPr>
              <w:pStyle w:val="TableText"/>
              <w:widowControl w:val="false"/>
              <w:numPr>
                <w:ilvl w:val="0"/>
                <w:numId w:val="22"/>
              </w:numPr>
              <w:suppressAutoHyphens w:val="true"/>
              <w:spacing w:before="0" w:after="0"/>
              <w:jc w:val="both"/>
              <w:rPr>
                <w:rFonts w:eastAsia="Calibri"/>
                <w:color w:themeColor="text1" w:val="000000"/>
                <w:lang w:val="en-GB"/>
              </w:rPr>
            </w:pPr>
            <w:r>
              <w:rPr>
                <w:rFonts w:eastAsia="Calibri"/>
                <w:color w:themeColor="text1" w:val="000000"/>
                <w:kern w:val="0"/>
                <w:sz w:val="22"/>
                <w:szCs w:val="22"/>
                <w:lang w:val="en-GB" w:eastAsia="en-US" w:bidi="ar-SA"/>
              </w:rPr>
              <w:t>Maktoum station viaduct alternative</w:t>
            </w:r>
          </w:p>
          <w:p>
            <w:pPr>
              <w:pStyle w:val="TableText"/>
              <w:widowControl w:val="false"/>
              <w:numPr>
                <w:ilvl w:val="0"/>
                <w:numId w:val="22"/>
              </w:numPr>
              <w:suppressAutoHyphens w:val="true"/>
              <w:spacing w:before="0" w:after="0"/>
              <w:jc w:val="both"/>
              <w:rPr>
                <w:rFonts w:eastAsia="Calibri"/>
                <w:color w:themeColor="text1" w:val="000000"/>
                <w:lang w:val="en-GB"/>
              </w:rPr>
            </w:pPr>
            <w:r>
              <w:rPr>
                <w:rFonts w:eastAsia="Calibri"/>
                <w:color w:themeColor="text1" w:val="000000"/>
                <w:kern w:val="0"/>
                <w:sz w:val="22"/>
                <w:szCs w:val="22"/>
                <w:lang w:val="en-GB" w:eastAsia="en-US" w:bidi="ar-SA"/>
              </w:rPr>
              <w:t>Sharjah extension option, sections 1 and 2, including the underground station.</w:t>
            </w:r>
          </w:p>
          <w:p>
            <w:pPr>
              <w:pStyle w:val="TableText"/>
              <w:widowControl w:val="false"/>
              <w:suppressAutoHyphens w:val="true"/>
              <w:spacing w:before="0" w:after="0"/>
              <w:jc w:val="both"/>
              <w:rPr>
                <w:rFonts w:eastAsia="Calibri"/>
                <w:color w:themeColor="text1" w:val="000000"/>
                <w:lang w:val="en-GB"/>
              </w:rPr>
            </w:pPr>
            <w:r>
              <w:rPr>
                <w:rFonts w:eastAsia="Calibri"/>
                <w:color w:themeColor="text1" w:val="000000"/>
                <w:kern w:val="0"/>
                <w:sz w:val="22"/>
                <w:szCs w:val="22"/>
                <w:lang w:val="en-GB" w:eastAsia="en-US" w:bidi="ar-SA"/>
              </w:rPr>
              <w:t>Exhibits C1, status as follows:</w:t>
            </w:r>
          </w:p>
          <w:tbl>
            <w:tblPr>
              <w:tblStyle w:val="TableGrid"/>
              <w:tblW w:w="5103" w:type="dxa"/>
              <w:jc w:val="start"/>
              <w:tblInd w:w="0" w:type="dxa"/>
              <w:tblLayout w:type="fixed"/>
              <w:tblCellMar>
                <w:top w:w="0" w:type="dxa"/>
                <w:start w:w="108" w:type="dxa"/>
                <w:bottom w:w="0" w:type="dxa"/>
                <w:end w:w="108" w:type="dxa"/>
              </w:tblCellMar>
              <w:tblLook w:firstRow="1" w:noVBand="1" w:lastRow="0" w:firstColumn="1" w:lastColumn="0" w:noHBand="1" w:val="06a0"/>
            </w:tblPr>
            <w:tblGrid>
              <w:gridCol w:w="2019"/>
              <w:gridCol w:w="783"/>
              <w:gridCol w:w="2301"/>
            </w:tblGrid>
            <w:tr>
              <w:trPr>
                <w:trHeight w:val="295" w:hRule="atLeast"/>
              </w:trPr>
              <w:tc>
                <w:tcPr>
                  <w:tcW w:w="2019" w:type="dxa"/>
                  <w:tcBorders/>
                </w:tcPr>
                <w:p>
                  <w:pPr>
                    <w:pStyle w:val="Normal"/>
                    <w:widowControl/>
                    <w:suppressAutoHyphens w:val="true"/>
                    <w:spacing w:before="0" w:after="0"/>
                    <w:jc w:val="start"/>
                    <w:rPr>
                      <w:rFonts w:eastAsia="Dubai" w:cs="Dubai"/>
                      <w:b/>
                      <w:bCs/>
                      <w:sz w:val="22"/>
                      <w:szCs w:val="22"/>
                    </w:rPr>
                  </w:pPr>
                  <w:r>
                    <w:rPr>
                      <w:rFonts w:eastAsia="Dubai" w:cs="Dubai"/>
                      <w:b/>
                      <w:bCs/>
                      <w:kern w:val="0"/>
                      <w:sz w:val="22"/>
                      <w:szCs w:val="22"/>
                      <w:lang w:val="en-US" w:eastAsia="en-US" w:bidi="ar-SA"/>
                    </w:rPr>
                    <w:t>Exhibits C1</w:t>
                  </w:r>
                </w:p>
              </w:tc>
              <w:tc>
                <w:tcPr>
                  <w:tcW w:w="783" w:type="dxa"/>
                  <w:tcBorders/>
                </w:tcPr>
                <w:p>
                  <w:pPr>
                    <w:pStyle w:val="Normal"/>
                    <w:widowControl/>
                    <w:suppressAutoHyphens w:val="true"/>
                    <w:spacing w:before="0" w:after="0"/>
                    <w:jc w:val="start"/>
                    <w:rPr>
                      <w:rFonts w:eastAsia="Dubai" w:cs="Dubai"/>
                      <w:b/>
                      <w:bCs/>
                      <w:sz w:val="22"/>
                      <w:szCs w:val="22"/>
                    </w:rPr>
                  </w:pPr>
                  <w:r>
                    <w:rPr>
                      <w:rFonts w:eastAsia="Dubai" w:cs="Dubai"/>
                      <w:b/>
                      <w:bCs/>
                      <w:kern w:val="0"/>
                      <w:sz w:val="22"/>
                      <w:szCs w:val="22"/>
                      <w:lang w:val="en-US" w:eastAsia="en-US" w:bidi="ar-SA"/>
                    </w:rPr>
                    <w:t xml:space="preserve">Status </w:t>
                  </w:r>
                </w:p>
              </w:tc>
              <w:tc>
                <w:tcPr>
                  <w:tcW w:w="2301" w:type="dxa"/>
                  <w:tcBorders/>
                </w:tcPr>
                <w:p>
                  <w:pPr>
                    <w:pStyle w:val="Normal"/>
                    <w:widowControl/>
                    <w:suppressAutoHyphens w:val="true"/>
                    <w:spacing w:before="0" w:after="0"/>
                    <w:jc w:val="start"/>
                    <w:rPr>
                      <w:rFonts w:eastAsia="Dubai" w:cs="Dubai"/>
                      <w:b/>
                      <w:bCs/>
                      <w:sz w:val="22"/>
                      <w:szCs w:val="22"/>
                    </w:rPr>
                  </w:pPr>
                  <w:r>
                    <w:rPr>
                      <w:rFonts w:eastAsia="Dubai" w:cs="Dubai"/>
                      <w:b/>
                      <w:bCs/>
                      <w:kern w:val="0"/>
                      <w:sz w:val="22"/>
                      <w:szCs w:val="22"/>
                      <w:lang w:val="en-US" w:eastAsia="en-US" w:bidi="ar-SA"/>
                    </w:rPr>
                    <w:t>Forecast</w:t>
                  </w:r>
                </w:p>
              </w:tc>
            </w:tr>
            <w:tr>
              <w:trPr>
                <w:trHeight w:val="295" w:hRule="atLeast"/>
              </w:trPr>
              <w:tc>
                <w:tcPr>
                  <w:tcW w:w="2019" w:type="dxa"/>
                  <w:tcBorders/>
                </w:tcPr>
                <w:p>
                  <w:pPr>
                    <w:pStyle w:val="Normal"/>
                    <w:widowControl/>
                    <w:suppressAutoHyphens w:val="true"/>
                    <w:spacing w:lineRule="auto" w:line="259" w:before="0" w:after="0"/>
                    <w:jc w:val="start"/>
                    <w:rPr>
                      <w:rFonts w:eastAsia="Dubai" w:cs="Dubai"/>
                      <w:sz w:val="22"/>
                      <w:szCs w:val="22"/>
                    </w:rPr>
                  </w:pPr>
                  <w:r>
                    <w:rPr>
                      <w:rFonts w:eastAsia="Dubai" w:cs="Dubai"/>
                      <w:kern w:val="0"/>
                      <w:sz w:val="22"/>
                      <w:szCs w:val="22"/>
                      <w:lang w:val="en-US" w:eastAsia="en-US" w:bidi="ar-SA"/>
                    </w:rPr>
                    <w:t>EW AD</w:t>
                  </w:r>
                </w:p>
                <w:p>
                  <w:pPr>
                    <w:pStyle w:val="Normal"/>
                    <w:widowControl/>
                    <w:suppressAutoHyphens w:val="true"/>
                    <w:spacing w:lineRule="auto" w:line="259" w:before="0" w:after="0"/>
                    <w:jc w:val="start"/>
                    <w:rPr>
                      <w:rFonts w:eastAsia="Dubai" w:cs="Dubai"/>
                      <w:sz w:val="22"/>
                      <w:szCs w:val="22"/>
                    </w:rPr>
                  </w:pPr>
                  <w:r>
                    <w:rPr>
                      <w:rFonts w:eastAsia="Dubai" w:cs="Dubai"/>
                      <w:kern w:val="0"/>
                      <w:sz w:val="22"/>
                      <w:szCs w:val="22"/>
                      <w:lang w:val="en-US" w:eastAsia="en-US" w:bidi="ar-SA"/>
                    </w:rPr>
                    <w:t>(</w:t>
                  </w:r>
                  <w:r>
                    <w:rPr>
                      <w:rFonts w:eastAsia="Calibri"/>
                      <w:color w:themeColor="text1" w:val="000000"/>
                      <w:kern w:val="0"/>
                      <w:sz w:val="22"/>
                      <w:szCs w:val="22"/>
                      <w:lang w:val="en-GB" w:eastAsia="en-US" w:bidi="ar-SA"/>
                    </w:rPr>
                    <w:t>based on ER Commercial review comments)</w:t>
                  </w:r>
                </w:p>
              </w:tc>
              <w:tc>
                <w:tcPr>
                  <w:tcW w:w="783"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Rev 04</w:t>
                  </w:r>
                </w:p>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Code 1</w:t>
                  </w:r>
                </w:p>
              </w:tc>
              <w:tc>
                <w:tcPr>
                  <w:tcW w:w="2301"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Submitted 25/11.</w:t>
                  </w:r>
                </w:p>
                <w:p>
                  <w:pPr>
                    <w:pStyle w:val="Normal"/>
                    <w:widowControl/>
                    <w:suppressAutoHyphens w:val="true"/>
                    <w:spacing w:before="0" w:after="0"/>
                    <w:jc w:val="start"/>
                    <w:rPr>
                      <w:rFonts w:eastAsia="Dubai" w:cs="Dubai"/>
                      <w:b/>
                      <w:bCs/>
                      <w:sz w:val="22"/>
                      <w:szCs w:val="22"/>
                    </w:rPr>
                  </w:pPr>
                  <w:r>
                    <w:rPr>
                      <w:rFonts w:eastAsia="Dubai" w:cs="Dubai"/>
                      <w:b/>
                      <w:bCs/>
                      <w:kern w:val="0"/>
                      <w:sz w:val="22"/>
                      <w:szCs w:val="22"/>
                      <w:lang w:val="en-US" w:eastAsia="en-US" w:bidi="ar-SA"/>
                    </w:rPr>
                    <w:t>Conformed Contract version sent by email on 16/04/2025</w:t>
                  </w:r>
                </w:p>
              </w:tc>
            </w:tr>
            <w:tr>
              <w:trPr>
                <w:trHeight w:val="295" w:hRule="atLeast"/>
              </w:trPr>
              <w:tc>
                <w:tcPr>
                  <w:tcW w:w="2019"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EW DU</w:t>
                  </w:r>
                </w:p>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w:t>
                  </w:r>
                  <w:r>
                    <w:rPr>
                      <w:rFonts w:eastAsia="Calibri"/>
                      <w:color w:themeColor="text1" w:val="000000"/>
                      <w:kern w:val="0"/>
                      <w:sz w:val="22"/>
                      <w:szCs w:val="22"/>
                      <w:lang w:val="en-GB" w:eastAsia="en-US" w:bidi="ar-SA"/>
                    </w:rPr>
                    <w:t xml:space="preserve">including quantities for DUSUP corridor, and </w:t>
                  </w:r>
                  <w:r>
                    <w:rPr>
                      <w:rFonts w:eastAsia="Calibri"/>
                      <w:color w:themeColor="text1" w:val="000000"/>
                      <w:kern w:val="0"/>
                      <w:sz w:val="22"/>
                      <w:szCs w:val="22"/>
                      <w:lang w:val="en-US" w:eastAsia="en-US" w:bidi="ar-SA"/>
                    </w:rPr>
                    <w:t>alternative alignment in Dubai, not approved by RTA)</w:t>
                  </w:r>
                </w:p>
              </w:tc>
              <w:tc>
                <w:tcPr>
                  <w:tcW w:w="783"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Rev 02</w:t>
                  </w:r>
                </w:p>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Code 1</w:t>
                  </w:r>
                </w:p>
              </w:tc>
              <w:tc>
                <w:tcPr>
                  <w:tcW w:w="2301"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Submitted 24/12.</w:t>
                  </w:r>
                </w:p>
                <w:p>
                  <w:pPr>
                    <w:pStyle w:val="Normal"/>
                    <w:widowControl/>
                    <w:suppressAutoHyphens w:val="true"/>
                    <w:spacing w:before="0" w:after="0"/>
                    <w:jc w:val="start"/>
                    <w:rPr>
                      <w:rFonts w:eastAsia="Dubai" w:cs="Dubai"/>
                      <w:b/>
                      <w:bCs/>
                      <w:sz w:val="22"/>
                      <w:szCs w:val="22"/>
                    </w:rPr>
                  </w:pPr>
                  <w:r>
                    <w:rPr>
                      <w:rFonts w:eastAsia="Dubai" w:cs="Dubai"/>
                      <w:b/>
                      <w:bCs/>
                      <w:kern w:val="0"/>
                      <w:sz w:val="22"/>
                      <w:szCs w:val="22"/>
                      <w:lang w:val="en-US" w:eastAsia="en-US" w:bidi="ar-SA"/>
                    </w:rPr>
                    <w:t>Conformed Contract version sent by email on 15/04/2025</w:t>
                  </w:r>
                </w:p>
              </w:tc>
            </w:tr>
            <w:tr>
              <w:trPr>
                <w:trHeight w:val="295" w:hRule="atLeast"/>
              </w:trPr>
              <w:tc>
                <w:tcPr>
                  <w:tcW w:w="2019" w:type="dxa"/>
                  <w:tcBorders/>
                </w:tcPr>
                <w:p>
                  <w:pPr>
                    <w:pStyle w:val="Normal"/>
                    <w:widowControl/>
                    <w:suppressAutoHyphens w:val="true"/>
                    <w:spacing w:lineRule="auto" w:line="259" w:before="0" w:after="0"/>
                    <w:jc w:val="start"/>
                    <w:rPr>
                      <w:rFonts w:eastAsia="Dubai" w:cs="Dubai"/>
                      <w:sz w:val="22"/>
                      <w:szCs w:val="22"/>
                    </w:rPr>
                  </w:pPr>
                  <w:r>
                    <w:rPr>
                      <w:rFonts w:eastAsia="Dubai" w:cs="Dubai"/>
                      <w:kern w:val="0"/>
                      <w:sz w:val="22"/>
                      <w:szCs w:val="22"/>
                      <w:lang w:val="en-US" w:eastAsia="en-US" w:bidi="ar-SA"/>
                    </w:rPr>
                    <w:t>CW AD</w:t>
                  </w:r>
                </w:p>
                <w:p>
                  <w:pPr>
                    <w:pStyle w:val="Normal"/>
                    <w:widowControl/>
                    <w:suppressAutoHyphens w:val="true"/>
                    <w:spacing w:lineRule="auto" w:line="259" w:before="0" w:after="0"/>
                    <w:jc w:val="start"/>
                    <w:rPr>
                      <w:rFonts w:eastAsia="Dubai" w:cs="Dubai"/>
                      <w:sz w:val="22"/>
                      <w:szCs w:val="22"/>
                    </w:rPr>
                  </w:pPr>
                  <w:r>
                    <w:rPr>
                      <w:rFonts w:eastAsia="Calibri"/>
                      <w:color w:themeColor="text1" w:val="000000"/>
                      <w:kern w:val="0"/>
                      <w:sz w:val="22"/>
                      <w:szCs w:val="22"/>
                      <w:lang w:val="en-US" w:eastAsia="en-US" w:bidi="ar-SA"/>
                    </w:rPr>
                    <w:t>(considering Base Scope+Alternative+Optional alignments + Sectioning, and addressing ER/PMC CRS by email)</w:t>
                  </w:r>
                </w:p>
              </w:tc>
              <w:tc>
                <w:tcPr>
                  <w:tcW w:w="783"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Rev AC</w:t>
                  </w:r>
                </w:p>
                <w:p>
                  <w:pPr>
                    <w:pStyle w:val="Normal"/>
                    <w:widowControl/>
                    <w:suppressAutoHyphens w:val="true"/>
                    <w:spacing w:before="0" w:after="0"/>
                    <w:jc w:val="start"/>
                    <w:rPr>
                      <w:rFonts w:eastAsia="Dubai" w:cs="Dubai"/>
                      <w:b/>
                      <w:bCs/>
                      <w:sz w:val="22"/>
                      <w:szCs w:val="22"/>
                    </w:rPr>
                  </w:pPr>
                  <w:r>
                    <w:rPr>
                      <w:rFonts w:eastAsia="Dubai" w:cs="Dubai"/>
                      <w:kern w:val="0"/>
                      <w:sz w:val="22"/>
                      <w:szCs w:val="22"/>
                      <w:lang w:val="en-US" w:eastAsia="en-US" w:bidi="ar-SA"/>
                    </w:rPr>
                    <w:t>Code 1</w:t>
                  </w:r>
                </w:p>
              </w:tc>
              <w:tc>
                <w:tcPr>
                  <w:tcW w:w="2301"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Issued 07/01</w:t>
                  </w:r>
                </w:p>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DRAFT Tender addendum 29/03.</w:t>
                  </w:r>
                </w:p>
                <w:p>
                  <w:pPr>
                    <w:pStyle w:val="Normal"/>
                    <w:widowControl/>
                    <w:suppressAutoHyphens w:val="true"/>
                    <w:spacing w:before="0" w:after="0"/>
                    <w:jc w:val="start"/>
                    <w:rPr>
                      <w:rFonts w:eastAsia="Dubai" w:cs="Dubai"/>
                      <w:b/>
                      <w:sz w:val="22"/>
                      <w:szCs w:val="22"/>
                      <w:lang w:val="en-GB"/>
                    </w:rPr>
                  </w:pPr>
                  <w:r>
                    <w:rPr>
                      <w:rFonts w:eastAsia="Dubai" w:cs="Dubai"/>
                      <w:b/>
                      <w:bCs/>
                      <w:kern w:val="0"/>
                      <w:sz w:val="22"/>
                      <w:szCs w:val="22"/>
                      <w:lang w:val="en-US" w:eastAsia="en-US" w:bidi="ar-SA"/>
                    </w:rPr>
                    <w:t>FINAL C1 files sent by email on 25/04/2025. Amended TC version and write-ups sent on 26/05.</w:t>
                  </w:r>
                </w:p>
              </w:tc>
            </w:tr>
            <w:tr>
              <w:trPr>
                <w:trHeight w:val="295" w:hRule="atLeast"/>
              </w:trPr>
              <w:tc>
                <w:tcPr>
                  <w:tcW w:w="2019" w:type="dxa"/>
                  <w:tcBorders/>
                </w:tcPr>
                <w:p>
                  <w:pPr>
                    <w:pStyle w:val="Normal"/>
                    <w:widowControl/>
                    <w:suppressAutoHyphens w:val="true"/>
                    <w:spacing w:lineRule="auto" w:line="259" w:before="0" w:after="0"/>
                    <w:jc w:val="start"/>
                    <w:rPr>
                      <w:rFonts w:eastAsia="Dubai" w:cs="Dubai"/>
                      <w:sz w:val="22"/>
                      <w:szCs w:val="22"/>
                    </w:rPr>
                  </w:pPr>
                  <w:r>
                    <w:rPr>
                      <w:rFonts w:eastAsia="Dubai" w:cs="Dubai"/>
                      <w:kern w:val="0"/>
                      <w:sz w:val="22"/>
                      <w:szCs w:val="22"/>
                      <w:lang w:val="en-US" w:eastAsia="en-US" w:bidi="ar-SA"/>
                    </w:rPr>
                    <w:t>CW DU</w:t>
                  </w:r>
                </w:p>
                <w:p>
                  <w:pPr>
                    <w:pStyle w:val="Normal"/>
                    <w:widowControl/>
                    <w:suppressAutoHyphens w:val="true"/>
                    <w:spacing w:lineRule="auto" w:line="259" w:before="0" w:after="0"/>
                    <w:jc w:val="start"/>
                    <w:rPr>
                      <w:rFonts w:eastAsia="Dubai" w:cs="Dubai"/>
                      <w:sz w:val="22"/>
                      <w:szCs w:val="22"/>
                    </w:rPr>
                  </w:pPr>
                  <w:r>
                    <w:rPr>
                      <w:rFonts w:eastAsia="Calibri"/>
                      <w:color w:themeColor="text1" w:val="000000"/>
                      <w:kern w:val="0"/>
                      <w:sz w:val="22"/>
                      <w:szCs w:val="22"/>
                      <w:lang w:val="en-US" w:eastAsia="en-US" w:bidi="ar-SA"/>
                    </w:rPr>
                    <w:t>(considering Base Scope+Alternative+Optional alignments + Sectioning, and addressing CRS comments)</w:t>
                  </w:r>
                </w:p>
              </w:tc>
              <w:tc>
                <w:tcPr>
                  <w:tcW w:w="783"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Rev AB</w:t>
                  </w:r>
                </w:p>
                <w:p>
                  <w:pPr>
                    <w:pStyle w:val="Normal"/>
                    <w:widowControl/>
                    <w:suppressAutoHyphens w:val="true"/>
                    <w:spacing w:before="0" w:after="0"/>
                    <w:jc w:val="start"/>
                    <w:rPr>
                      <w:rFonts w:eastAsia="Dubai" w:cs="Dubai"/>
                      <w:b/>
                      <w:bCs/>
                      <w:sz w:val="22"/>
                      <w:szCs w:val="22"/>
                    </w:rPr>
                  </w:pPr>
                  <w:r>
                    <w:rPr>
                      <w:rFonts w:eastAsia="Dubai" w:cs="Dubai"/>
                      <w:kern w:val="0"/>
                      <w:sz w:val="22"/>
                      <w:szCs w:val="22"/>
                      <w:lang w:val="en-US" w:eastAsia="en-US" w:bidi="ar-SA"/>
                    </w:rPr>
                    <w:t>Code 1</w:t>
                  </w:r>
                </w:p>
              </w:tc>
              <w:tc>
                <w:tcPr>
                  <w:tcW w:w="2301"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Issued 07/01</w:t>
                  </w:r>
                </w:p>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DRAFT Tender addendum 29/03.</w:t>
                  </w:r>
                </w:p>
                <w:p>
                  <w:pPr>
                    <w:pStyle w:val="Normal"/>
                    <w:widowControl/>
                    <w:suppressAutoHyphens w:val="true"/>
                    <w:spacing w:before="0" w:after="0"/>
                    <w:jc w:val="start"/>
                    <w:rPr>
                      <w:rFonts w:eastAsia="Dubai" w:cs="Dubai"/>
                      <w:sz w:val="22"/>
                      <w:szCs w:val="22"/>
                    </w:rPr>
                  </w:pPr>
                  <w:r>
                    <w:rPr>
                      <w:rFonts w:eastAsia="Dubai" w:cs="Dubai"/>
                      <w:b/>
                      <w:bCs/>
                      <w:kern w:val="0"/>
                      <w:sz w:val="22"/>
                      <w:szCs w:val="22"/>
                      <w:lang w:val="en-US" w:eastAsia="en-US" w:bidi="ar-SA"/>
                    </w:rPr>
                    <w:t>FINAL C1 files sent by email on 25/04/2025. Amended TC version and write-ups sent on 26/05.</w:t>
                  </w:r>
                </w:p>
              </w:tc>
            </w:tr>
            <w:tr>
              <w:trPr>
                <w:trHeight w:val="2186" w:hRule="atLeast"/>
              </w:trPr>
              <w:tc>
                <w:tcPr>
                  <w:tcW w:w="2019" w:type="dxa"/>
                  <w:tcBorders/>
                </w:tcPr>
                <w:p>
                  <w:pPr>
                    <w:pStyle w:val="Normal"/>
                    <w:widowControl/>
                    <w:suppressAutoHyphens w:val="true"/>
                    <w:spacing w:lineRule="auto" w:line="259" w:before="0" w:after="0"/>
                    <w:jc w:val="start"/>
                    <w:rPr>
                      <w:rFonts w:eastAsia="Dubai" w:cs="Dubai"/>
                      <w:sz w:val="22"/>
                      <w:szCs w:val="22"/>
                    </w:rPr>
                  </w:pPr>
                  <w:r>
                    <w:rPr>
                      <w:rFonts w:eastAsia="Dubai" w:cs="Dubai"/>
                      <w:kern w:val="0"/>
                      <w:sz w:val="22"/>
                      <w:szCs w:val="22"/>
                      <w:lang w:val="en-US" w:eastAsia="en-US" w:bidi="ar-SA"/>
                    </w:rPr>
                    <w:t>Rail Systems</w:t>
                  </w:r>
                </w:p>
                <w:p>
                  <w:pPr>
                    <w:pStyle w:val="Normal"/>
                    <w:widowControl/>
                    <w:suppressAutoHyphens w:val="true"/>
                    <w:spacing w:lineRule="auto" w:line="259" w:before="0" w:after="0"/>
                    <w:jc w:val="start"/>
                    <w:rPr>
                      <w:rFonts w:eastAsia="Calibri"/>
                      <w:color w:themeColor="text1" w:val="000000"/>
                      <w:sz w:val="22"/>
                      <w:szCs w:val="22"/>
                    </w:rPr>
                  </w:pPr>
                  <w:r>
                    <w:rPr>
                      <w:rFonts w:eastAsia="Calibri"/>
                      <w:color w:themeColor="text1" w:val="000000"/>
                      <w:kern w:val="0"/>
                      <w:sz w:val="22"/>
                      <w:szCs w:val="22"/>
                      <w:lang w:val="en-US" w:eastAsia="en-US" w:bidi="ar-SA"/>
                    </w:rPr>
                    <w:t>(considering Base Scope+Alternative+Optional alignments + Sectioning, and addressing CRS* comments)</w:t>
                  </w:r>
                </w:p>
              </w:tc>
              <w:tc>
                <w:tcPr>
                  <w:tcW w:w="783"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Rev AC</w:t>
                  </w:r>
                </w:p>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Code 3</w:t>
                  </w:r>
                </w:p>
              </w:tc>
              <w:tc>
                <w:tcPr>
                  <w:tcW w:w="2301" w:type="dxa"/>
                  <w:tcBorders/>
                </w:tcPr>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11/02</w:t>
                  </w:r>
                </w:p>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submitted by EPFM.</w:t>
                  </w:r>
                </w:p>
                <w:p>
                  <w:pPr>
                    <w:pStyle w:val="Normal"/>
                    <w:widowControl/>
                    <w:suppressAutoHyphens w:val="true"/>
                    <w:spacing w:before="0" w:after="0"/>
                    <w:jc w:val="start"/>
                    <w:rPr>
                      <w:rFonts w:eastAsia="Dubai" w:cs="Dubai"/>
                      <w:sz w:val="22"/>
                      <w:szCs w:val="22"/>
                    </w:rPr>
                  </w:pPr>
                  <w:r>
                    <w:rPr>
                      <w:rFonts w:eastAsia="Dubai" w:cs="Dubai"/>
                      <w:kern w:val="0"/>
                      <w:sz w:val="22"/>
                      <w:szCs w:val="22"/>
                      <w:lang w:val="en-US" w:eastAsia="en-US" w:bidi="ar-SA"/>
                    </w:rPr>
                    <w:t xml:space="preserve">TA Schedule of Rates (form A3) by email on 16/04/2025. Other forms by email on 22/04 and 06/05. </w:t>
                  </w:r>
                  <w:r>
                    <w:rPr>
                      <w:rFonts w:eastAsia="Dubai" w:cs="Dubai"/>
                      <w:b/>
                      <w:bCs/>
                      <w:kern w:val="0"/>
                      <w:sz w:val="22"/>
                      <w:szCs w:val="22"/>
                      <w:lang w:val="en-US" w:eastAsia="en-US" w:bidi="ar-SA"/>
                    </w:rPr>
                    <w:t>Meeting with ER PQ on 13/05. Forms A1 to A5, adapted to ER PQ template, sent on 25/05. Write-up sent on 21/05.</w:t>
                  </w:r>
                </w:p>
              </w:tc>
            </w:tr>
          </w:tbl>
          <w:p>
            <w:pPr>
              <w:pStyle w:val="TableText"/>
              <w:widowControl w:val="false"/>
              <w:suppressAutoHyphens w:val="true"/>
              <w:spacing w:before="0" w:after="0"/>
              <w:jc w:val="start"/>
              <w:rPr>
                <w:rFonts w:eastAsia="Calibri" w:cs="Calibri"/>
              </w:rPr>
            </w:pPr>
            <w:r>
              <w:rPr>
                <w:rFonts w:eastAsia="Calibri"/>
                <w:color w:themeColor="text1" w:val="000000"/>
                <w:kern w:val="0"/>
                <w:sz w:val="22"/>
                <w:szCs w:val="22"/>
                <w:lang w:val="en-GB" w:eastAsia="en-US" w:bidi="ar-SA"/>
              </w:rPr>
              <w:t xml:space="preserve">* ER head office added </w:t>
            </w:r>
            <w:r>
              <w:rPr>
                <w:rFonts w:eastAsia="Calibri"/>
                <w:kern w:val="0"/>
                <w:sz w:val="22"/>
                <w:szCs w:val="22"/>
                <w:lang w:val="en-GB" w:eastAsia="en-US" w:bidi="ar-SA"/>
              </w:rPr>
              <w:t xml:space="preserve">as PS </w:t>
            </w:r>
            <w:r>
              <w:rPr>
                <w:rFonts w:eastAsia="Calibri"/>
                <w:color w:themeColor="text1" w:val="000000"/>
                <w:kern w:val="0"/>
                <w:sz w:val="22"/>
                <w:szCs w:val="22"/>
                <w:lang w:val="en-GB" w:eastAsia="en-US" w:bidi="ar-SA"/>
              </w:rPr>
              <w:t>in Systems Package.</w:t>
            </w:r>
          </w:p>
        </w:tc>
        <w:tc>
          <w:tcPr>
            <w:tcW w:w="850" w:type="dxa"/>
            <w:tcBorders/>
          </w:tcPr>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GB"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t>Note</w:t>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lang w:val="pt-PT"/>
              </w:rPr>
            </w:pPr>
            <w:r>
              <w:rPr>
                <w:rFonts w:eastAsia="Calibri"/>
                <w:kern w:val="0"/>
                <w:sz w:val="22"/>
                <w:szCs w:val="22"/>
                <w:lang w:val="pt-PT" w:eastAsia="en-US" w:bidi="ar-SA"/>
              </w:rPr>
            </w:r>
          </w:p>
        </w:tc>
        <w:tc>
          <w:tcPr>
            <w:tcW w:w="1278" w:type="dxa"/>
            <w:tcBorders/>
          </w:tcPr>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val="false"/>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suppressAutoHyphens w:val="true"/>
              <w:spacing w:before="0" w:after="0"/>
              <w:jc w:val="center"/>
              <w:rPr>
                <w:color w:themeColor="text1" w:val="000000"/>
                <w:lang w:val="pt-BR"/>
              </w:rPr>
            </w:pPr>
            <w:r>
              <w:rPr>
                <w:rFonts w:eastAsia="Calibri"/>
                <w:color w:themeColor="text1" w:val="000000"/>
                <w:kern w:val="0"/>
                <w:sz w:val="22"/>
                <w:szCs w:val="22"/>
                <w:lang w:val="pt-BR" w:eastAsia="en-US" w:bidi="ar-SA"/>
              </w:rPr>
            </w:r>
          </w:p>
          <w:p>
            <w:pPr>
              <w:pStyle w:val="TableText"/>
              <w:widowControl/>
              <w:suppressAutoHyphens w:val="true"/>
              <w:spacing w:before="0" w:after="0"/>
              <w:jc w:val="center"/>
              <w:rPr>
                <w:bCs/>
              </w:rPr>
            </w:pPr>
            <w:r>
              <w:rPr>
                <w:rFonts w:eastAsia="Calibri"/>
                <w:bCs/>
                <w:kern w:val="0"/>
                <w:sz w:val="22"/>
                <w:szCs w:val="22"/>
                <w:lang w:val="en-US" w:eastAsia="en-US" w:bidi="ar-SA"/>
              </w:rPr>
            </w:r>
          </w:p>
          <w:p>
            <w:pPr>
              <w:pStyle w:val="TableText"/>
              <w:widowControl/>
              <w:suppressAutoHyphens w:val="true"/>
              <w:spacing w:before="0" w:after="0"/>
              <w:jc w:val="center"/>
              <w:rPr>
                <w:bCs/>
              </w:rPr>
            </w:pPr>
            <w:r>
              <w:rPr>
                <w:rFonts w:eastAsia="Calibri"/>
                <w:bCs/>
                <w:kern w:val="0"/>
                <w:sz w:val="22"/>
                <w:szCs w:val="22"/>
                <w:lang w:val="en-US" w:eastAsia="en-US" w:bidi="ar-SA"/>
              </w:rPr>
            </w:r>
          </w:p>
        </w:tc>
      </w:tr>
      <w:tr>
        <w:trPr>
          <w:trHeight w:val="300" w:hRule="atLeast"/>
        </w:trPr>
        <w:tc>
          <w:tcPr>
            <w:tcW w:w="1400" w:type="dxa"/>
            <w:vMerge w:val="restart"/>
            <w:tcBorders/>
            <w:vAlign w:val="center"/>
          </w:tcPr>
          <w:p>
            <w:pPr>
              <w:pStyle w:val="TableLineNumbering"/>
              <w:widowControl w:val="false"/>
              <w:numPr>
                <w:ilvl w:val="0"/>
                <w:numId w:val="0"/>
              </w:numPr>
              <w:suppressAutoHyphens w:val="true"/>
              <w:spacing w:before="0" w:after="0"/>
              <w:ind w:hanging="360" w:start="360"/>
              <w:jc w:val="start"/>
              <w:rPr>
                <w:kern w:val="0"/>
                <w:lang w:val="en-US" w:eastAsia="en-US" w:bidi="ar-SA"/>
              </w:rPr>
            </w:pPr>
            <w:r>
              <w:rPr>
                <w:kern w:val="0"/>
                <w:lang w:val="en-US" w:eastAsia="en-US" w:bidi="ar-SA"/>
              </w:rPr>
              <w:t>9.</w:t>
            </w:r>
          </w:p>
        </w:tc>
        <w:tc>
          <w:tcPr>
            <w:tcW w:w="1871" w:type="dxa"/>
            <w:vMerge w:val="restart"/>
            <w:tcBorders/>
            <w:vAlign w:val="center"/>
          </w:tcPr>
          <w:p>
            <w:pPr>
              <w:pStyle w:val="TableText"/>
              <w:widowControl w:val="false"/>
              <w:suppressAutoHyphens w:val="true"/>
              <w:spacing w:before="0" w:after="0"/>
              <w:jc w:val="start"/>
              <w:rPr>
                <w:bCs/>
                <w:sz w:val="20"/>
                <w:szCs w:val="20"/>
              </w:rPr>
            </w:pPr>
            <w:r>
              <w:rPr>
                <w:rFonts w:eastAsia="Calibri"/>
                <w:caps/>
                <w:kern w:val="0"/>
                <w:sz w:val="22"/>
                <w:szCs w:val="22"/>
                <w:lang w:val="en-US" w:eastAsia="en-US" w:bidi="ar-SA"/>
              </w:rPr>
              <w:t>RAILWAY SYSTEMS</w:t>
            </w:r>
          </w:p>
        </w:tc>
        <w:tc>
          <w:tcPr>
            <w:tcW w:w="5527" w:type="dxa"/>
            <w:tcBorders/>
          </w:tcPr>
          <w:p>
            <w:pPr>
              <w:pStyle w:val="TableText"/>
              <w:widowControl w:val="false"/>
              <w:suppressAutoHyphens w:val="true"/>
              <w:spacing w:before="0" w:after="0"/>
              <w:jc w:val="both"/>
              <w:rPr>
                <w:b/>
                <w:bCs/>
                <w:color w:themeColor="text1" w:val="000000"/>
                <w:lang w:val="en-GB"/>
              </w:rPr>
            </w:pPr>
            <w:r>
              <w:rPr>
                <w:rFonts w:eastAsia="Calibri"/>
                <w:b/>
                <w:bCs/>
                <w:color w:themeColor="text1" w:val="000000"/>
                <w:kern w:val="0"/>
                <w:sz w:val="22"/>
                <w:szCs w:val="22"/>
                <w:lang w:val="en-GB" w:eastAsia="en-US" w:bidi="ar-SA"/>
              </w:rPr>
              <w:t>Technical Specifications (TS) and Drawings</w:t>
            </w:r>
          </w:p>
          <w:p>
            <w:pPr>
              <w:pStyle w:val="TableText"/>
              <w:widowControl/>
              <w:numPr>
                <w:ilvl w:val="0"/>
                <w:numId w:val="31"/>
              </w:numPr>
              <w:suppressAutoHyphens w:val="true"/>
              <w:spacing w:before="0" w:after="0"/>
              <w:ind w:hanging="284" w:start="288"/>
              <w:jc w:val="start"/>
              <w:rPr>
                <w:color w:themeColor="text1" w:val="000000"/>
                <w:lang w:val="en-GB"/>
              </w:rPr>
            </w:pPr>
            <w:r>
              <w:rPr>
                <w:rFonts w:eastAsia="Calibri"/>
                <w:color w:themeColor="text1" w:val="000000"/>
                <w:kern w:val="0"/>
                <w:sz w:val="22"/>
                <w:szCs w:val="22"/>
                <w:lang w:val="en-GB" w:eastAsia="en-US" w:bidi="ar-SA"/>
              </w:rPr>
              <w:t>SEI JV has updated impacted Technical Specifications due to the consideration of FRMCS as a base option for the Railway Mobile Radio (RMR) instead of GSM-R.</w:t>
            </w:r>
          </w:p>
          <w:p>
            <w:pPr>
              <w:pStyle w:val="TableText"/>
              <w:widowControl/>
              <w:numPr>
                <w:ilvl w:val="0"/>
                <w:numId w:val="31"/>
              </w:numPr>
              <w:suppressAutoHyphens w:val="true"/>
              <w:spacing w:before="0" w:after="0"/>
              <w:ind w:hanging="284" w:start="288"/>
              <w:jc w:val="start"/>
              <w:rPr>
                <w:color w:themeColor="text1" w:val="000000"/>
                <w:lang w:val="en-GB"/>
              </w:rPr>
            </w:pPr>
            <w:r>
              <w:rPr>
                <w:rFonts w:eastAsia="Calibri"/>
                <w:color w:themeColor="text1" w:val="000000"/>
                <w:kern w:val="0"/>
                <w:sz w:val="22"/>
                <w:szCs w:val="22"/>
                <w:lang w:val="en-GB" w:eastAsia="en-US" w:bidi="ar-SA"/>
              </w:rPr>
              <w:t>References across the TS and SoW have been updated.</w:t>
            </w:r>
          </w:p>
          <w:p>
            <w:pPr>
              <w:pStyle w:val="TableText"/>
              <w:widowControl/>
              <w:numPr>
                <w:ilvl w:val="0"/>
                <w:numId w:val="31"/>
              </w:numPr>
              <w:suppressAutoHyphens w:val="true"/>
              <w:spacing w:before="0" w:after="0"/>
              <w:ind w:hanging="284" w:start="288"/>
              <w:jc w:val="start"/>
              <w:rPr>
                <w:color w:themeColor="text1" w:val="000000"/>
                <w:lang w:val="en-GB"/>
              </w:rPr>
            </w:pPr>
            <w:r>
              <w:rPr>
                <w:rFonts w:eastAsia="Calibri"/>
                <w:color w:themeColor="text1" w:val="000000"/>
                <w:kern w:val="0"/>
                <w:sz w:val="22"/>
                <w:szCs w:val="22"/>
                <w:lang w:val="en-GB" w:eastAsia="en-US" w:bidi="ar-SA"/>
              </w:rPr>
              <w:t>ER m</w:t>
            </w:r>
            <w:r>
              <w:rPr>
                <w:rFonts w:eastAsia="Calibri"/>
                <w:kern w:val="0"/>
                <w:sz w:val="22"/>
                <w:szCs w:val="22"/>
                <w:lang w:val="en-GB" w:eastAsia="en-US" w:bidi="ar-SA"/>
              </w:rPr>
              <w:t>eeting with TDRA to secure 900MHz and 1900 MHz bands. SEI JV to share slides</w:t>
            </w:r>
          </w:p>
        </w:tc>
        <w:tc>
          <w:tcPr>
            <w:tcW w:w="850" w:type="dxa"/>
            <w:tcBorders/>
          </w:tcPr>
          <w:p>
            <w:pPr>
              <w:pStyle w:val="TableText"/>
              <w:widowControl w:val="false"/>
              <w:suppressAutoHyphens w:val="true"/>
              <w:spacing w:before="0" w:after="0"/>
              <w:jc w:val="center"/>
              <w:rPr>
                <w:lang w:val="en-AE"/>
              </w:rPr>
            </w:pPr>
            <w:r>
              <w:rPr>
                <w:rFonts w:eastAsia="Calibri"/>
                <w:kern w:val="0"/>
                <w:sz w:val="22"/>
                <w:szCs w:val="22"/>
                <w:lang w:val="en-AE" w:eastAsia="en-US" w:bidi="ar-SA"/>
              </w:rPr>
            </w:r>
          </w:p>
          <w:p>
            <w:pPr>
              <w:pStyle w:val="TableText"/>
              <w:widowControl w:val="false"/>
              <w:suppressAutoHyphens w:val="true"/>
              <w:spacing w:before="0" w:after="0"/>
              <w:jc w:val="center"/>
              <w:rPr>
                <w:lang w:val="en-AE"/>
              </w:rPr>
            </w:pPr>
            <w:r>
              <w:rPr>
                <w:rFonts w:eastAsia="Calibri"/>
                <w:kern w:val="0"/>
                <w:sz w:val="22"/>
                <w:szCs w:val="22"/>
                <w:lang w:val="en-AE" w:eastAsia="en-US" w:bidi="ar-SA"/>
              </w:rPr>
              <w:t>Note</w:t>
            </w:r>
          </w:p>
        </w:tc>
        <w:tc>
          <w:tcPr>
            <w:tcW w:w="1278" w:type="dxa"/>
            <w:tcBorders/>
          </w:tcPr>
          <w:p>
            <w:pPr>
              <w:pStyle w:val="TableText"/>
              <w:widowControl w:val="false"/>
              <w:suppressAutoHyphens w:val="true"/>
              <w:spacing w:before="0" w:after="0"/>
              <w:jc w:val="center"/>
              <w:rPr>
                <w:bCs/>
              </w:rPr>
            </w:pPr>
            <w:r>
              <w:rPr>
                <w:rFonts w:eastAsia="Calibri"/>
                <w:bCs/>
                <w:kern w:val="0"/>
                <w:sz w:val="22"/>
                <w:szCs w:val="22"/>
                <w:lang w:val="en-US" w:eastAsia="en-US" w:bidi="ar-SA"/>
              </w:rPr>
            </w:r>
          </w:p>
          <w:p>
            <w:pPr>
              <w:pStyle w:val="TableText"/>
              <w:widowControl w:val="false"/>
              <w:suppressAutoHyphens w:val="true"/>
              <w:spacing w:before="0" w:after="0"/>
              <w:jc w:val="center"/>
              <w:rPr>
                <w:bCs/>
              </w:rPr>
            </w:pPr>
            <w:r>
              <w:rPr>
                <w:rFonts w:eastAsia="Calibri"/>
                <w:bCs/>
                <w:kern w:val="0"/>
                <w:sz w:val="22"/>
                <w:szCs w:val="22"/>
                <w:lang w:val="en-US" w:eastAsia="en-US" w:bidi="ar-SA"/>
              </w:rPr>
            </w:r>
          </w:p>
        </w:tc>
      </w:tr>
      <w:tr>
        <w:trPr>
          <w:trHeight w:val="1749" w:hRule="atLeast"/>
        </w:trPr>
        <w:tc>
          <w:tcPr>
            <w:tcW w:w="1400" w:type="dxa"/>
            <w:vMerge w:val="continue"/>
            <w:tcBorders/>
            <w:vAlign w:val="center"/>
          </w:tcPr>
          <w:p>
            <w:pPr>
              <w:pStyle w:val="TableLineNumbering"/>
              <w:widowControl w:val="false"/>
              <w:numPr>
                <w:ilvl w:val="0"/>
                <w:numId w:val="0"/>
              </w:numPr>
              <w:suppressAutoHyphens w:val="true"/>
              <w:spacing w:before="0" w:after="0"/>
              <w:ind w:hanging="360" w:start="360"/>
              <w:jc w:val="start"/>
              <w:rPr>
                <w:kern w:val="0"/>
                <w:lang w:val="en-US" w:eastAsia="en-US" w:bidi="ar-SA"/>
              </w:rPr>
            </w:pPr>
            <w:r>
              <w:rPr>
                <w:kern w:val="0"/>
                <w:lang w:val="en-US" w:eastAsia="en-US" w:bidi="ar-SA"/>
              </w:rPr>
            </w:r>
          </w:p>
        </w:tc>
        <w:tc>
          <w:tcPr>
            <w:tcW w:w="1871" w:type="dxa"/>
            <w:vMerge w:val="continue"/>
            <w:tcBorders/>
            <w:vAlign w:val="center"/>
          </w:tcPr>
          <w:p>
            <w:pPr>
              <w:pStyle w:val="TableLineNumbering"/>
              <w:widowControl/>
              <w:numPr>
                <w:ilvl w:val="0"/>
                <w:numId w:val="0"/>
              </w:numPr>
              <w:suppressAutoHyphens w:val="true"/>
              <w:spacing w:before="0" w:after="0"/>
              <w:ind w:hanging="360" w:start="720"/>
              <w:jc w:val="start"/>
              <w:rPr>
                <w:caps/>
              </w:rPr>
            </w:pPr>
            <w:r>
              <w:rPr>
                <w:caps/>
                <w:kern w:val="0"/>
                <w:lang w:val="en-US" w:eastAsia="en-US" w:bidi="ar-SA"/>
              </w:rPr>
            </w:r>
          </w:p>
        </w:tc>
        <w:tc>
          <w:tcPr>
            <w:tcW w:w="5527" w:type="dxa"/>
            <w:tcBorders/>
          </w:tcPr>
          <w:p>
            <w:pPr>
              <w:pStyle w:val="TableText"/>
              <w:widowControl w:val="false"/>
              <w:suppressAutoHyphens w:val="true"/>
              <w:spacing w:before="0" w:after="0"/>
              <w:jc w:val="start"/>
              <w:rPr>
                <w:b/>
                <w:bCs/>
                <w:lang w:val="en-GB"/>
              </w:rPr>
            </w:pPr>
            <w:r>
              <w:rPr>
                <w:rFonts w:eastAsia="Calibri"/>
                <w:b/>
                <w:bCs/>
                <w:kern w:val="0"/>
                <w:sz w:val="22"/>
                <w:szCs w:val="22"/>
                <w:lang w:val="en-GB" w:eastAsia="en-US" w:bidi="ar-SA"/>
              </w:rPr>
              <w:t>Power Companies status Update:</w:t>
            </w:r>
          </w:p>
          <w:p>
            <w:pPr>
              <w:pStyle w:val="TableText"/>
              <w:widowControl w:val="false"/>
              <w:suppressAutoHyphens w:val="true"/>
              <w:spacing w:before="0" w:after="0"/>
              <w:jc w:val="start"/>
              <w:rPr>
                <w:lang w:val="en-GB"/>
              </w:rPr>
            </w:pPr>
            <w:r>
              <w:rPr>
                <w:rFonts w:eastAsia="Calibri"/>
                <w:kern w:val="0"/>
                <w:sz w:val="22"/>
                <w:szCs w:val="22"/>
                <w:u w:val="single"/>
                <w:lang w:val="en-GB" w:eastAsia="en-US" w:bidi="ar-SA"/>
              </w:rPr>
              <w:t>TAQA</w:t>
            </w:r>
            <w:r>
              <w:rPr>
                <w:rFonts w:eastAsia="Calibri"/>
                <w:kern w:val="0"/>
                <w:sz w:val="22"/>
                <w:szCs w:val="22"/>
                <w:lang w:val="en-GB" w:eastAsia="en-US" w:bidi="ar-SA"/>
              </w:rPr>
              <w:t>:</w:t>
            </w:r>
          </w:p>
          <w:p>
            <w:pPr>
              <w:pStyle w:val="TableTextBullet"/>
              <w:widowControl/>
              <w:numPr>
                <w:ilvl w:val="0"/>
                <w:numId w:val="32"/>
              </w:numPr>
              <w:suppressAutoHyphens w:val="true"/>
              <w:spacing w:before="0" w:after="0"/>
              <w:jc w:val="start"/>
              <w:rPr>
                <w:lang w:val="en-GB"/>
              </w:rPr>
            </w:pPr>
            <w:r>
              <w:rPr>
                <w:rFonts w:eastAsia="Calibri"/>
                <w:kern w:val="0"/>
                <w:sz w:val="22"/>
                <w:szCs w:val="22"/>
                <w:lang w:val="en-GB" w:eastAsia="en-US" w:bidi="ar-SA"/>
              </w:rPr>
              <w:t>TS locations agreed and new applications forms shared a month ago for ER/PMC to manage. TAQA to officially confirm voltage levels and required power will be supplied.</w:t>
            </w:r>
          </w:p>
          <w:p>
            <w:pPr>
              <w:pStyle w:val="TableTextBullet"/>
              <w:widowControl/>
              <w:numPr>
                <w:ilvl w:val="0"/>
                <w:numId w:val="32"/>
              </w:numPr>
              <w:suppressAutoHyphens w:val="true"/>
              <w:spacing w:before="0" w:after="0"/>
              <w:jc w:val="start"/>
              <w:rPr>
                <w:lang w:val="en-GB"/>
              </w:rPr>
            </w:pPr>
            <w:r>
              <w:rPr>
                <w:rFonts w:eastAsia="Calibri"/>
                <w:kern w:val="0"/>
                <w:sz w:val="22"/>
                <w:szCs w:val="22"/>
                <w:lang w:val="en-GB" w:eastAsia="en-US" w:bidi="ar-SA"/>
              </w:rPr>
              <w:t>Additional information (Phase Unbalance Study 400kV TAQA, updated SLD for TAQA...) submitted through EPFM.</w:t>
            </w:r>
          </w:p>
          <w:p>
            <w:pPr>
              <w:pStyle w:val="TableTextBullet"/>
              <w:widowControl/>
              <w:numPr>
                <w:ilvl w:val="0"/>
                <w:numId w:val="32"/>
              </w:numPr>
              <w:suppressAutoHyphens w:val="true"/>
              <w:spacing w:before="0" w:after="0"/>
              <w:jc w:val="start"/>
              <w:rPr>
                <w:lang w:val="en-GB"/>
              </w:rPr>
            </w:pPr>
            <w:r>
              <w:rPr>
                <w:rFonts w:eastAsia="Calibri"/>
                <w:kern w:val="0"/>
                <w:sz w:val="22"/>
                <w:szCs w:val="22"/>
                <w:lang w:val="en-GB" w:eastAsia="en-US" w:bidi="ar-SA"/>
              </w:rPr>
              <w:t>MV TCs locations and power supply last version delivered Dec. 2024.</w:t>
            </w:r>
          </w:p>
          <w:p>
            <w:pPr>
              <w:pStyle w:val="TableText"/>
              <w:widowControl w:val="false"/>
              <w:suppressAutoHyphens w:val="true"/>
              <w:spacing w:before="0" w:after="0"/>
              <w:jc w:val="start"/>
              <w:rPr>
                <w:u w:val="single"/>
                <w:lang w:val="en-GB"/>
              </w:rPr>
            </w:pPr>
            <w:r>
              <w:rPr>
                <w:rFonts w:eastAsia="Calibri"/>
                <w:kern w:val="0"/>
                <w:sz w:val="22"/>
                <w:szCs w:val="22"/>
                <w:u w:val="single"/>
                <w:lang w:val="en-GB" w:eastAsia="en-US" w:bidi="ar-SA"/>
              </w:rPr>
              <w:t>DEWA:</w:t>
            </w:r>
          </w:p>
          <w:p>
            <w:pPr>
              <w:pStyle w:val="TableTextBullet"/>
              <w:widowControl/>
              <w:numPr>
                <w:ilvl w:val="0"/>
                <w:numId w:val="32"/>
              </w:numPr>
              <w:suppressAutoHyphens w:val="true"/>
              <w:spacing w:before="0" w:after="0"/>
              <w:jc w:val="start"/>
              <w:rPr>
                <w:lang w:val="en-GB"/>
              </w:rPr>
            </w:pPr>
            <w:r>
              <w:rPr>
                <w:rFonts w:eastAsia="Calibri"/>
                <w:kern w:val="0"/>
                <w:sz w:val="22"/>
                <w:szCs w:val="22"/>
                <w:lang w:val="en-GB" w:eastAsia="en-US" w:bidi="ar-SA"/>
              </w:rPr>
              <w:t>TS locations agreed (officially submitted from ER to DEWA after agreement reached). Voltage levels and demanded power confirmed. </w:t>
            </w:r>
          </w:p>
          <w:p>
            <w:pPr>
              <w:pStyle w:val="TableTextBullet"/>
              <w:widowControl/>
              <w:numPr>
                <w:ilvl w:val="0"/>
                <w:numId w:val="32"/>
              </w:numPr>
              <w:suppressAutoHyphens w:val="true"/>
              <w:spacing w:before="0" w:after="0"/>
              <w:jc w:val="start"/>
              <w:rPr>
                <w:lang w:val="en-GB"/>
              </w:rPr>
            </w:pPr>
            <w:r>
              <w:rPr>
                <w:rFonts w:eastAsia="Calibri"/>
                <w:kern w:val="0"/>
                <w:sz w:val="22"/>
                <w:szCs w:val="22"/>
                <w:lang w:val="en-GB" w:eastAsia="en-US" w:bidi="ar-SA"/>
              </w:rPr>
              <w:t>MV TCs locations and power supply last version delivered Dec. 2024.</w:t>
            </w:r>
          </w:p>
          <w:p>
            <w:pPr>
              <w:pStyle w:val="TableText"/>
              <w:widowControl w:val="false"/>
              <w:suppressAutoHyphens w:val="true"/>
              <w:spacing w:before="0" w:after="0"/>
              <w:jc w:val="start"/>
              <w:rPr>
                <w:u w:val="single"/>
                <w:lang w:val="en-GB"/>
              </w:rPr>
            </w:pPr>
            <w:r>
              <w:rPr>
                <w:rFonts w:eastAsia="Calibri"/>
                <w:kern w:val="0"/>
                <w:sz w:val="22"/>
                <w:szCs w:val="22"/>
                <w:u w:val="single"/>
                <w:lang w:val="en-GB" w:eastAsia="en-US" w:bidi="ar-SA"/>
              </w:rPr>
              <w:t>SEWA</w:t>
            </w:r>
          </w:p>
          <w:p>
            <w:pPr>
              <w:pStyle w:val="TableTextBullet"/>
              <w:widowControl/>
              <w:numPr>
                <w:ilvl w:val="0"/>
                <w:numId w:val="32"/>
              </w:numPr>
              <w:suppressAutoHyphens w:val="true"/>
              <w:spacing w:before="0" w:after="0"/>
              <w:jc w:val="start"/>
              <w:rPr>
                <w:lang w:val="en-GB"/>
              </w:rPr>
            </w:pPr>
            <w:r>
              <w:rPr>
                <w:rFonts w:eastAsia="Calibri"/>
                <w:kern w:val="0"/>
                <w:sz w:val="22"/>
                <w:szCs w:val="22"/>
                <w:lang w:val="en-GB" w:eastAsia="en-US" w:bidi="ar-SA"/>
              </w:rPr>
              <w:t>TS location not agreed (Sharjah), although system configuration and requests initially presented and favourable engagement perceived. Voltage levels and demanded power presented but not confirmed.</w:t>
            </w:r>
          </w:p>
          <w:p>
            <w:pPr>
              <w:pStyle w:val="TableTextBullet"/>
              <w:widowControl/>
              <w:numPr>
                <w:ilvl w:val="0"/>
                <w:numId w:val="16"/>
              </w:numPr>
              <w:suppressAutoHyphens w:val="true"/>
              <w:spacing w:before="0" w:after="0"/>
              <w:jc w:val="start"/>
              <w:rPr>
                <w:rFonts w:eastAsia="Calibri"/>
                <w:kern w:val="0"/>
                <w:sz w:val="22"/>
                <w:szCs w:val="22"/>
                <w:lang w:val="en-US" w:eastAsia="en-US" w:bidi="ar-SA"/>
              </w:rPr>
            </w:pPr>
            <w:r>
              <w:rPr>
                <w:rFonts w:eastAsia="Calibri"/>
                <w:kern w:val="0"/>
                <w:sz w:val="22"/>
                <w:szCs w:val="22"/>
                <w:lang w:val="en-US" w:eastAsia="en-US" w:bidi="ar-SA"/>
              </w:rPr>
              <w:t>Letter on border exemption shared on 22</w:t>
            </w:r>
            <w:r>
              <w:rPr>
                <w:rFonts w:eastAsia="Calibri"/>
                <w:kern w:val="0"/>
                <w:sz w:val="22"/>
                <w:szCs w:val="22"/>
                <w:vertAlign w:val="superscript"/>
                <w:lang w:val="en-US" w:eastAsia="en-US" w:bidi="ar-SA"/>
              </w:rPr>
              <w:t>nd</w:t>
            </w:r>
            <w:r>
              <w:rPr>
                <w:rFonts w:eastAsia="Calibri"/>
                <w:kern w:val="0"/>
                <w:sz w:val="22"/>
                <w:szCs w:val="22"/>
                <w:lang w:val="en-US" w:eastAsia="en-US" w:bidi="ar-SA"/>
              </w:rPr>
              <w:t xml:space="preserve"> with ER, feedback received yesterday to amend it.</w:t>
            </w:r>
          </w:p>
        </w:tc>
        <w:tc>
          <w:tcPr>
            <w:tcW w:w="850" w:type="dxa"/>
            <w:tcBorders/>
          </w:tcPr>
          <w:p>
            <w:pPr>
              <w:pStyle w:val="TableText"/>
              <w:widowControl/>
              <w:suppressAutoHyphens w:val="true"/>
              <w:spacing w:before="0" w:after="0"/>
              <w:jc w:val="center"/>
              <w:rPr>
                <w:lang w:val="pt-PT"/>
              </w:rPr>
            </w:pPr>
            <w:r>
              <w:rPr>
                <w:rFonts w:eastAsia="Calibri"/>
                <w:kern w:val="0"/>
                <w:sz w:val="22"/>
                <w:szCs w:val="22"/>
                <w:lang w:val="pt-PT" w:eastAsia="en-US" w:bidi="ar-SA"/>
              </w:rPr>
              <w:t>Note</w:t>
            </w:r>
          </w:p>
          <w:p>
            <w:pPr>
              <w:pStyle w:val="TableText"/>
              <w:widowControl/>
              <w:suppressAutoHyphens w:val="true"/>
              <w:spacing w:before="0" w:after="0"/>
              <w:jc w:val="center"/>
              <w:rPr>
                <w:lang w:val="pt-PT"/>
              </w:rPr>
            </w:pPr>
            <w:r>
              <w:rPr>
                <w:rFonts w:eastAsia="Calibri"/>
                <w:kern w:val="0"/>
                <w:sz w:val="22"/>
                <w:szCs w:val="22"/>
                <w:lang w:val="pt-PT" w:eastAsia="en-US" w:bidi="ar-SA"/>
              </w:rPr>
            </w:r>
          </w:p>
          <w:p>
            <w:pPr>
              <w:pStyle w:val="TableText"/>
              <w:widowControl/>
              <w:suppressAutoHyphens w:val="true"/>
              <w:spacing w:before="0" w:after="0"/>
              <w:jc w:val="center"/>
              <w:rPr>
                <w:lang w:val="pt-PT"/>
              </w:rPr>
            </w:pPr>
            <w:r>
              <w:rPr>
                <w:rFonts w:eastAsia="Calibri"/>
                <w:kern w:val="0"/>
                <w:sz w:val="22"/>
                <w:szCs w:val="22"/>
                <w:lang w:val="pt-PT" w:eastAsia="en-US" w:bidi="ar-SA"/>
              </w:rPr>
            </w:r>
          </w:p>
          <w:p>
            <w:pPr>
              <w:pStyle w:val="TableText"/>
              <w:widowControl/>
              <w:suppressAutoHyphens w:val="true"/>
              <w:spacing w:before="0" w:after="0"/>
              <w:jc w:val="center"/>
              <w:rPr>
                <w:lang w:val="pt-PT"/>
              </w:rPr>
            </w:pPr>
            <w:r>
              <w:rPr>
                <w:rFonts w:eastAsia="Calibri"/>
                <w:kern w:val="0"/>
                <w:sz w:val="22"/>
                <w:szCs w:val="22"/>
                <w:lang w:val="pt-PT" w:eastAsia="en-US" w:bidi="ar-SA"/>
              </w:rPr>
            </w:r>
          </w:p>
          <w:p>
            <w:pPr>
              <w:pStyle w:val="TableText"/>
              <w:widowControl/>
              <w:suppressAutoHyphens w:val="true"/>
              <w:spacing w:before="0" w:after="0"/>
              <w:jc w:val="center"/>
              <w:rPr>
                <w:lang w:val="pt-PT"/>
              </w:rPr>
            </w:pPr>
            <w:r>
              <w:rPr>
                <w:rFonts w:eastAsia="Calibri"/>
                <w:kern w:val="0"/>
                <w:sz w:val="22"/>
                <w:szCs w:val="22"/>
                <w:lang w:val="pt-PT" w:eastAsia="en-US" w:bidi="ar-SA"/>
              </w:rPr>
            </w:r>
          </w:p>
          <w:p>
            <w:pPr>
              <w:pStyle w:val="TableText"/>
              <w:widowControl/>
              <w:suppressAutoHyphens w:val="true"/>
              <w:spacing w:before="0" w:after="0"/>
              <w:jc w:val="center"/>
              <w:rPr>
                <w:lang w:val="pt-PT"/>
              </w:rPr>
            </w:pPr>
            <w:r>
              <w:rPr>
                <w:rFonts w:eastAsia="Calibri"/>
                <w:kern w:val="0"/>
                <w:sz w:val="22"/>
                <w:szCs w:val="22"/>
                <w:lang w:val="pt-PT" w:eastAsia="en-US" w:bidi="ar-SA"/>
              </w:rPr>
            </w:r>
          </w:p>
          <w:p>
            <w:pPr>
              <w:pStyle w:val="TableText"/>
              <w:widowControl/>
              <w:suppressAutoHyphens w:val="true"/>
              <w:spacing w:before="0" w:after="0"/>
              <w:jc w:val="center"/>
              <w:rPr>
                <w:lang w:val="pt-PT"/>
              </w:rPr>
            </w:pPr>
            <w:r>
              <w:rPr>
                <w:rFonts w:eastAsia="Calibri"/>
                <w:kern w:val="0"/>
                <w:sz w:val="22"/>
                <w:szCs w:val="22"/>
                <w:lang w:val="pt-PT" w:eastAsia="en-US" w:bidi="ar-SA"/>
              </w:rPr>
            </w:r>
          </w:p>
          <w:p>
            <w:pPr>
              <w:pStyle w:val="TableText"/>
              <w:widowControl/>
              <w:suppressAutoHyphens w:val="true"/>
              <w:spacing w:before="0" w:after="0"/>
              <w:jc w:val="center"/>
              <w:rPr>
                <w:lang w:val="pt-PT"/>
              </w:rPr>
            </w:pPr>
            <w:r>
              <w:rPr>
                <w:rFonts w:eastAsia="Calibri"/>
                <w:kern w:val="0"/>
                <w:sz w:val="22"/>
                <w:szCs w:val="22"/>
                <w:lang w:val="pt-PT" w:eastAsia="en-US" w:bidi="ar-SA"/>
              </w:rPr>
            </w:r>
          </w:p>
          <w:p>
            <w:pPr>
              <w:pStyle w:val="TableText"/>
              <w:widowControl/>
              <w:suppressAutoHyphens w:val="true"/>
              <w:spacing w:before="0" w:after="0"/>
              <w:jc w:val="center"/>
              <w:rPr>
                <w:lang w:val="pt-PT"/>
              </w:rPr>
            </w:pPr>
            <w:r>
              <w:rPr>
                <w:rFonts w:eastAsia="Calibri"/>
                <w:kern w:val="0"/>
                <w:sz w:val="22"/>
                <w:szCs w:val="22"/>
                <w:lang w:val="pt-PT" w:eastAsia="en-US" w:bidi="ar-SA"/>
              </w:rPr>
            </w:r>
          </w:p>
          <w:p>
            <w:pPr>
              <w:pStyle w:val="TableText"/>
              <w:widowControl/>
              <w:suppressAutoHyphens w:val="true"/>
              <w:spacing w:before="0" w:after="0"/>
              <w:jc w:val="center"/>
              <w:rPr>
                <w:lang w:val="pt-PT"/>
              </w:rPr>
            </w:pPr>
            <w:r>
              <w:rPr>
                <w:rFonts w:eastAsia="Calibri"/>
                <w:kern w:val="0"/>
                <w:sz w:val="22"/>
                <w:szCs w:val="22"/>
                <w:lang w:val="pt-PT" w:eastAsia="en-US" w:bidi="ar-SA"/>
              </w:rPr>
            </w:r>
          </w:p>
          <w:p>
            <w:pPr>
              <w:pStyle w:val="TableText"/>
              <w:widowControl/>
              <w:suppressAutoHyphens w:val="true"/>
              <w:spacing w:before="0" w:after="0"/>
              <w:jc w:val="center"/>
              <w:rPr>
                <w:lang w:val="pt-PT"/>
              </w:rPr>
            </w:pPr>
            <w:r>
              <w:rPr>
                <w:rFonts w:eastAsia="Calibri"/>
                <w:kern w:val="0"/>
                <w:sz w:val="22"/>
                <w:szCs w:val="22"/>
                <w:lang w:val="pt-PT" w:eastAsia="en-US" w:bidi="ar-SA"/>
              </w:rPr>
            </w:r>
          </w:p>
          <w:p>
            <w:pPr>
              <w:pStyle w:val="TableText"/>
              <w:widowControl/>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t>SEI</w:t>
            </w:r>
          </w:p>
        </w:tc>
        <w:tc>
          <w:tcPr>
            <w:tcW w:w="1278" w:type="dxa"/>
            <w:tcBorders/>
          </w:tcPr>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val="false"/>
              <w:suppressAutoHyphens w:val="true"/>
              <w:spacing w:before="0" w:after="0"/>
              <w:jc w:val="center"/>
              <w:rPr>
                <w:color w:themeColor="text1" w:val="000000"/>
                <w:lang w:val="pt-PT"/>
              </w:rPr>
            </w:pPr>
            <w:r>
              <w:rPr>
                <w:rFonts w:eastAsia="Calibri"/>
                <w:color w:themeColor="text1" w:val="000000"/>
                <w:kern w:val="0"/>
                <w:sz w:val="22"/>
                <w:szCs w:val="22"/>
                <w:lang w:val="pt-PT"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t>ASAP</w:t>
            </w:r>
          </w:p>
        </w:tc>
      </w:tr>
      <w:tr>
        <w:trPr>
          <w:trHeight w:val="3601" w:hRule="atLeast"/>
        </w:trPr>
        <w:tc>
          <w:tcPr>
            <w:tcW w:w="1400" w:type="dxa"/>
            <w:vMerge w:val="continue"/>
            <w:tcBorders/>
            <w:vAlign w:val="center"/>
          </w:tcPr>
          <w:p>
            <w:pPr>
              <w:pStyle w:val="TableLineNumbering"/>
              <w:widowControl w:val="false"/>
              <w:numPr>
                <w:ilvl w:val="0"/>
                <w:numId w:val="0"/>
              </w:numPr>
              <w:suppressAutoHyphens w:val="true"/>
              <w:spacing w:before="0" w:after="0"/>
              <w:ind w:hanging="360" w:start="360"/>
              <w:jc w:val="start"/>
              <w:rPr>
                <w:kern w:val="0"/>
                <w:lang w:val="en-US" w:eastAsia="en-US" w:bidi="ar-SA"/>
              </w:rPr>
            </w:pPr>
            <w:r>
              <w:rPr>
                <w:kern w:val="0"/>
                <w:lang w:val="en-US" w:eastAsia="en-US" w:bidi="ar-SA"/>
              </w:rPr>
            </w:r>
          </w:p>
        </w:tc>
        <w:tc>
          <w:tcPr>
            <w:tcW w:w="1871" w:type="dxa"/>
            <w:vMerge w:val="continue"/>
            <w:tcBorders/>
            <w:vAlign w:val="center"/>
          </w:tcPr>
          <w:p>
            <w:pPr>
              <w:pStyle w:val="TableLineNumbering"/>
              <w:widowControl/>
              <w:numPr>
                <w:ilvl w:val="0"/>
                <w:numId w:val="0"/>
              </w:numPr>
              <w:suppressAutoHyphens w:val="true"/>
              <w:spacing w:before="0" w:after="0"/>
              <w:ind w:hanging="360" w:start="720"/>
              <w:jc w:val="start"/>
              <w:rPr>
                <w:caps/>
              </w:rPr>
            </w:pPr>
            <w:r>
              <w:rPr>
                <w:caps/>
                <w:kern w:val="0"/>
                <w:lang w:val="en-US" w:eastAsia="en-US" w:bidi="ar-SA"/>
              </w:rPr>
            </w:r>
          </w:p>
        </w:tc>
        <w:tc>
          <w:tcPr>
            <w:tcW w:w="5527" w:type="dxa"/>
            <w:tcBorders/>
          </w:tcPr>
          <w:p>
            <w:pPr>
              <w:pStyle w:val="TableText"/>
              <w:widowControl w:val="false"/>
              <w:suppressAutoHyphens w:val="true"/>
              <w:spacing w:before="0" w:after="0"/>
              <w:jc w:val="start"/>
              <w:rPr>
                <w:color w:themeColor="text1" w:val="000000"/>
                <w:lang w:val="en-GB"/>
              </w:rPr>
            </w:pPr>
            <w:r>
              <w:rPr>
                <w:rFonts w:eastAsia="Calibri"/>
                <w:b/>
                <w:bCs/>
                <w:color w:themeColor="text1" w:val="000000"/>
                <w:kern w:val="0"/>
                <w:sz w:val="22"/>
                <w:szCs w:val="22"/>
                <w:lang w:val="en-GB" w:eastAsia="en-US" w:bidi="ar-SA"/>
              </w:rPr>
              <w:t>Cybersecurity and Security</w:t>
            </w:r>
            <w:r>
              <w:rPr>
                <w:rFonts w:eastAsia="Calibri"/>
                <w:color w:themeColor="text1" w:val="000000"/>
                <w:kern w:val="0"/>
                <w:sz w:val="22"/>
                <w:szCs w:val="22"/>
                <w:lang w:val="en-GB" w:eastAsia="en-US" w:bidi="ar-SA"/>
              </w:rPr>
              <w:t>:</w:t>
            </w:r>
          </w:p>
          <w:p>
            <w:pPr>
              <w:pStyle w:val="TableTextBullet"/>
              <w:widowControl/>
              <w:numPr>
                <w:ilvl w:val="0"/>
                <w:numId w:val="16"/>
              </w:numPr>
              <w:suppressAutoHyphens w:val="true"/>
              <w:spacing w:before="0" w:after="0"/>
              <w:ind w:hanging="284" w:start="397"/>
              <w:jc w:val="start"/>
              <w:rPr>
                <w:lang w:val="en-GB"/>
              </w:rPr>
            </w:pPr>
            <w:r>
              <w:rPr>
                <w:rFonts w:eastAsia="Calibri"/>
                <w:kern w:val="0"/>
                <w:sz w:val="22"/>
                <w:szCs w:val="22"/>
                <w:lang w:val="en-GB" w:eastAsia="en-US" w:bidi="ar-SA"/>
              </w:rPr>
              <w:t>Cyber Security TS version 02 came with code 1. v03 will be shared asap (GSM-R update of references).</w:t>
            </w:r>
          </w:p>
          <w:p>
            <w:pPr>
              <w:pStyle w:val="TableTextBullet"/>
              <w:widowControl/>
              <w:numPr>
                <w:ilvl w:val="0"/>
                <w:numId w:val="16"/>
              </w:numPr>
              <w:suppressAutoHyphens w:val="true"/>
              <w:spacing w:before="0" w:after="0"/>
              <w:ind w:hanging="284" w:start="397"/>
              <w:jc w:val="start"/>
              <w:rPr>
                <w:lang w:val="en-GB"/>
              </w:rPr>
            </w:pPr>
            <w:r>
              <w:rPr>
                <w:rFonts w:eastAsia="Calibri"/>
                <w:kern w:val="0"/>
                <w:sz w:val="22"/>
                <w:szCs w:val="22"/>
                <w:lang w:val="en-GB" w:eastAsia="en-US" w:bidi="ar-SA"/>
              </w:rPr>
              <w:t>Security Systems TS updated and shared with ER/PMC with the fencing and CCTV requirements agreed with ER Security.</w:t>
            </w:r>
          </w:p>
          <w:p>
            <w:pPr>
              <w:pStyle w:val="TableTextBullet"/>
              <w:widowControl/>
              <w:numPr>
                <w:ilvl w:val="0"/>
                <w:numId w:val="16"/>
              </w:numPr>
              <w:suppressAutoHyphens w:val="true"/>
              <w:spacing w:before="0" w:after="0"/>
              <w:ind w:hanging="284" w:start="397"/>
              <w:jc w:val="start"/>
              <w:rPr>
                <w:lang w:val="en-GB"/>
              </w:rPr>
            </w:pPr>
            <w:r>
              <w:rPr>
                <w:rFonts w:eastAsia="Calibri"/>
                <w:kern w:val="0"/>
                <w:sz w:val="22"/>
                <w:szCs w:val="22"/>
                <w:lang w:val="en-GB" w:eastAsia="en-US" w:bidi="ar-SA"/>
              </w:rPr>
              <w:t>STRA (ver AC) received code 2, SEI JV to resubmit addressing the comments. Slides required by Abu Dhabi Police shared yesterday with ER for action</w:t>
            </w:r>
          </w:p>
        </w:tc>
        <w:tc>
          <w:tcPr>
            <w:tcW w:w="850" w:type="dxa"/>
            <w:tcBorders/>
          </w:tcPr>
          <w:p>
            <w:pPr>
              <w:pStyle w:val="TableText"/>
              <w:widowControl/>
              <w:suppressAutoHyphens w:val="true"/>
              <w:spacing w:before="0" w:after="0"/>
              <w:jc w:val="center"/>
              <w:rPr>
                <w:lang w:val="en-AE"/>
              </w:rPr>
            </w:pPr>
            <w:r>
              <w:rPr>
                <w:rFonts w:eastAsia="Calibri"/>
                <w:kern w:val="0"/>
                <w:sz w:val="22"/>
                <w:szCs w:val="22"/>
                <w:lang w:val="en-AE" w:eastAsia="en-US" w:bidi="ar-SA"/>
              </w:rPr>
            </w:r>
          </w:p>
          <w:p>
            <w:pPr>
              <w:pStyle w:val="TableText"/>
              <w:widowControl/>
              <w:suppressAutoHyphens w:val="true"/>
              <w:spacing w:before="0" w:after="0"/>
              <w:jc w:val="center"/>
              <w:rPr>
                <w:lang w:val="en-AE"/>
              </w:rPr>
            </w:pPr>
            <w:r>
              <w:rPr>
                <w:rFonts w:eastAsia="Calibri"/>
                <w:kern w:val="0"/>
                <w:sz w:val="22"/>
                <w:szCs w:val="22"/>
                <w:lang w:val="en-AE" w:eastAsia="en-US" w:bidi="ar-SA"/>
              </w:rPr>
              <w:t>ER/PMC</w:t>
            </w:r>
          </w:p>
          <w:p>
            <w:pPr>
              <w:pStyle w:val="TableText"/>
              <w:widowControl/>
              <w:suppressAutoHyphens w:val="true"/>
              <w:spacing w:before="0" w:after="0"/>
              <w:jc w:val="center"/>
              <w:rPr>
                <w:lang w:val="en-AE"/>
              </w:rPr>
            </w:pPr>
            <w:r>
              <w:rPr>
                <w:rFonts w:eastAsia="Calibri"/>
                <w:kern w:val="0"/>
                <w:sz w:val="22"/>
                <w:szCs w:val="22"/>
                <w:lang w:val="en-AE" w:eastAsia="en-US" w:bidi="ar-SA"/>
              </w:rPr>
            </w:r>
          </w:p>
          <w:p>
            <w:pPr>
              <w:pStyle w:val="TableText"/>
              <w:widowControl/>
              <w:suppressAutoHyphens w:val="true"/>
              <w:spacing w:before="0" w:after="0"/>
              <w:jc w:val="center"/>
              <w:rPr>
                <w:lang w:val="en-AE"/>
              </w:rPr>
            </w:pPr>
            <w:r>
              <w:rPr>
                <w:rFonts w:eastAsia="Calibri"/>
                <w:kern w:val="0"/>
                <w:sz w:val="22"/>
                <w:szCs w:val="22"/>
                <w:lang w:val="en-AE" w:eastAsia="en-US" w:bidi="ar-SA"/>
              </w:rPr>
              <w:t>ER/PMC</w:t>
            </w:r>
          </w:p>
          <w:p>
            <w:pPr>
              <w:pStyle w:val="TableText"/>
              <w:widowControl/>
              <w:suppressAutoHyphens w:val="true"/>
              <w:spacing w:before="0" w:after="0"/>
              <w:jc w:val="center"/>
              <w:rPr>
                <w:lang w:val="en-AE"/>
              </w:rPr>
            </w:pPr>
            <w:r>
              <w:rPr>
                <w:rFonts w:eastAsia="Calibri"/>
                <w:kern w:val="0"/>
                <w:sz w:val="22"/>
                <w:szCs w:val="22"/>
                <w:lang w:val="en-AE" w:eastAsia="en-US" w:bidi="ar-SA"/>
              </w:rPr>
            </w:r>
          </w:p>
          <w:p>
            <w:pPr>
              <w:pStyle w:val="TableText"/>
              <w:widowControl/>
              <w:suppressAutoHyphens w:val="true"/>
              <w:spacing w:before="0" w:after="0"/>
              <w:jc w:val="center"/>
              <w:rPr>
                <w:color w:themeColor="text1" w:val="000000"/>
                <w:lang w:val="en-GB"/>
              </w:rPr>
            </w:pPr>
            <w:r>
              <w:rPr>
                <w:rFonts w:eastAsia="Calibri"/>
                <w:kern w:val="0"/>
                <w:sz w:val="22"/>
                <w:szCs w:val="22"/>
                <w:lang w:val="en-AE" w:eastAsia="en-US" w:bidi="ar-SA"/>
              </w:rPr>
              <w:t>ER/PMC</w:t>
            </w:r>
          </w:p>
        </w:tc>
        <w:tc>
          <w:tcPr>
            <w:tcW w:w="1278" w:type="dxa"/>
            <w:tcBorders/>
          </w:tcPr>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t>ASAP</w:t>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t>ASAP</w:t>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AE"/>
              </w:rPr>
            </w:pPr>
            <w:r>
              <w:rPr>
                <w:rFonts w:eastAsia="Calibri"/>
                <w:color w:themeColor="text1" w:val="000000"/>
                <w:kern w:val="0"/>
                <w:sz w:val="22"/>
                <w:szCs w:val="22"/>
                <w:lang w:val="en-AE" w:eastAsia="en-US" w:bidi="ar-SA"/>
              </w:rPr>
            </w:r>
          </w:p>
          <w:p>
            <w:pPr>
              <w:pStyle w:val="TableText"/>
              <w:widowControl w:val="false"/>
              <w:suppressAutoHyphens w:val="true"/>
              <w:spacing w:before="0" w:after="0"/>
              <w:jc w:val="center"/>
              <w:rPr>
                <w:color w:themeColor="text1" w:val="000000"/>
                <w:lang w:val="en-GB"/>
              </w:rPr>
            </w:pPr>
            <w:r>
              <w:rPr>
                <w:rFonts w:eastAsia="Calibri"/>
                <w:color w:themeColor="text1" w:val="000000"/>
                <w:kern w:val="0"/>
                <w:sz w:val="22"/>
                <w:szCs w:val="22"/>
                <w:lang w:val="en-AE" w:eastAsia="en-US" w:bidi="ar-SA"/>
              </w:rPr>
              <w:t>ASAP</w:t>
            </w:r>
          </w:p>
        </w:tc>
      </w:tr>
      <w:tr>
        <w:trPr>
          <w:trHeight w:val="562" w:hRule="atLeast"/>
        </w:trPr>
        <w:tc>
          <w:tcPr>
            <w:tcW w:w="1400" w:type="dxa"/>
            <w:tcBorders/>
            <w:vAlign w:val="center"/>
          </w:tcPr>
          <w:p>
            <w:pPr>
              <w:pStyle w:val="TableLineNumbering"/>
              <w:widowControl w:val="false"/>
              <w:numPr>
                <w:ilvl w:val="0"/>
                <w:numId w:val="0"/>
              </w:numPr>
              <w:suppressAutoHyphens w:val="true"/>
              <w:spacing w:before="0" w:after="0"/>
              <w:ind w:hanging="360" w:start="360"/>
              <w:jc w:val="start"/>
              <w:rPr>
                <w:kern w:val="0"/>
                <w:lang w:val="en-US" w:eastAsia="en-US" w:bidi="ar-SA"/>
              </w:rPr>
            </w:pPr>
            <w:r>
              <w:rPr>
                <w:kern w:val="0"/>
                <w:sz w:val="22"/>
                <w:szCs w:val="22"/>
                <w:lang w:val="en-US" w:eastAsia="en-US" w:bidi="ar-SA"/>
              </w:rPr>
              <w:t>10</w:t>
            </w:r>
          </w:p>
        </w:tc>
        <w:tc>
          <w:tcPr>
            <w:tcW w:w="1871" w:type="dxa"/>
            <w:tcBorders/>
            <w:vAlign w:val="center"/>
          </w:tcPr>
          <w:p>
            <w:pPr>
              <w:pStyle w:val="TableText"/>
              <w:widowControl w:val="false"/>
              <w:suppressAutoHyphens w:val="true"/>
              <w:spacing w:before="0" w:after="0"/>
              <w:jc w:val="start"/>
              <w:rPr>
                <w:bCs/>
              </w:rPr>
            </w:pPr>
            <w:r>
              <w:rPr>
                <w:rFonts w:eastAsia="Calibri"/>
                <w:caps/>
                <w:kern w:val="0"/>
                <w:sz w:val="22"/>
                <w:szCs w:val="22"/>
                <w:lang w:val="en-GB" w:eastAsia="en-US" w:bidi="ar-SA"/>
              </w:rPr>
              <w:t>AOB</w:t>
            </w:r>
          </w:p>
        </w:tc>
        <w:tc>
          <w:tcPr>
            <w:tcW w:w="5527" w:type="dxa"/>
            <w:tcBorders/>
          </w:tcPr>
          <w:p>
            <w:pPr>
              <w:pStyle w:val="TableText"/>
              <w:widowControl w:val="false"/>
              <w:suppressAutoHyphens w:val="true"/>
              <w:spacing w:before="0" w:after="0"/>
              <w:jc w:val="start"/>
              <w:rPr>
                <w:color w:themeColor="text1" w:val="000000"/>
                <w:lang w:val="en-GB"/>
              </w:rPr>
            </w:pPr>
            <w:r>
              <w:rPr>
                <w:rFonts w:eastAsia="Calibri"/>
                <w:color w:themeColor="text1" w:val="000000"/>
                <w:kern w:val="0"/>
                <w:sz w:val="22"/>
                <w:szCs w:val="22"/>
                <w:lang w:val="en-US" w:eastAsia="en-US" w:bidi="ar-SA"/>
              </w:rPr>
              <w:t>Performance Bond &amp; Legal Form to be provided by SEI.</w:t>
            </w:r>
          </w:p>
        </w:tc>
        <w:tc>
          <w:tcPr>
            <w:tcW w:w="850" w:type="dxa"/>
            <w:tcBorders/>
          </w:tcPr>
          <w:p>
            <w:pPr>
              <w:pStyle w:val="TableText"/>
              <w:widowControl w:val="false"/>
              <w:suppressAutoHyphens w:val="true"/>
              <w:spacing w:before="0" w:after="0"/>
              <w:jc w:val="center"/>
              <w:rPr>
                <w:bCs/>
                <w:lang w:val="en-AE"/>
              </w:rPr>
            </w:pPr>
            <w:r>
              <w:rPr>
                <w:rFonts w:eastAsia="Calibri"/>
                <w:bCs/>
                <w:kern w:val="0"/>
                <w:sz w:val="22"/>
                <w:szCs w:val="22"/>
                <w:lang w:val="en-AE" w:eastAsia="en-US" w:bidi="ar-SA"/>
              </w:rPr>
              <w:t>SEI</w:t>
            </w:r>
          </w:p>
        </w:tc>
        <w:tc>
          <w:tcPr>
            <w:tcW w:w="1278" w:type="dxa"/>
            <w:tcBorders/>
          </w:tcPr>
          <w:p>
            <w:pPr>
              <w:pStyle w:val="TableText"/>
              <w:widowControl w:val="false"/>
              <w:suppressAutoHyphens w:val="true"/>
              <w:spacing w:before="0" w:after="0"/>
              <w:jc w:val="center"/>
              <w:rPr>
                <w:bCs/>
              </w:rPr>
            </w:pPr>
            <w:r>
              <w:rPr>
                <w:rFonts w:eastAsia="Calibri"/>
                <w:bCs/>
                <w:kern w:val="0"/>
                <w:sz w:val="22"/>
                <w:szCs w:val="22"/>
                <w:lang w:val="en-US" w:eastAsia="en-US" w:bidi="ar-SA"/>
              </w:rPr>
              <w:t>ASAP</w:t>
            </w:r>
          </w:p>
        </w:tc>
      </w:tr>
      <w:tr>
        <w:trPr>
          <w:trHeight w:val="300" w:hRule="atLeast"/>
        </w:trPr>
        <w:tc>
          <w:tcPr>
            <w:tcW w:w="3271" w:type="dxa"/>
            <w:gridSpan w:val="2"/>
            <w:tcBorders/>
            <w:shd w:color="auto" w:fill="D9D9D9" w:themeFill="background1" w:themeFillShade="d9" w:val="clear"/>
            <w:vAlign w:val="center"/>
          </w:tcPr>
          <w:p>
            <w:pPr>
              <w:pStyle w:val="TableField"/>
              <w:widowControl w:val="false"/>
              <w:suppressAutoHyphens w:val="true"/>
              <w:spacing w:before="0" w:after="0"/>
              <w:rPr>
                <w:rFonts w:eastAsia="Calibri"/>
              </w:rPr>
            </w:pPr>
            <w:r>
              <w:rPr>
                <w:rFonts w:eastAsia="Calibri"/>
                <w:kern w:val="0"/>
                <w:lang w:val="en-US" w:eastAsia="en-US" w:bidi="ar-SA"/>
              </w:rPr>
              <w:t>Prepared by:</w:t>
            </w:r>
          </w:p>
        </w:tc>
        <w:tc>
          <w:tcPr>
            <w:tcW w:w="7655" w:type="dxa"/>
            <w:gridSpan w:val="3"/>
            <w:tcBorders/>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US" w:eastAsia="en-US" w:bidi="ar-SA"/>
              </w:rPr>
              <w:t>Vicky Chou</w:t>
            </w:r>
          </w:p>
        </w:tc>
      </w:tr>
      <w:tr>
        <w:trPr>
          <w:trHeight w:val="300" w:hRule="atLeast"/>
        </w:trPr>
        <w:tc>
          <w:tcPr>
            <w:tcW w:w="3271" w:type="dxa"/>
            <w:gridSpan w:val="2"/>
            <w:tcBorders/>
            <w:shd w:color="auto" w:fill="D9D9D9" w:themeFill="background1" w:themeFillShade="d9" w:val="clear"/>
            <w:vAlign w:val="center"/>
          </w:tcPr>
          <w:p>
            <w:pPr>
              <w:pStyle w:val="TableField"/>
              <w:widowControl w:val="false"/>
              <w:suppressAutoHyphens w:val="true"/>
              <w:spacing w:before="0" w:after="0"/>
              <w:rPr>
                <w:rFonts w:eastAsia="Calibri"/>
              </w:rPr>
            </w:pPr>
            <w:r>
              <w:rPr>
                <w:rFonts w:eastAsia="Calibri"/>
                <w:kern w:val="0"/>
                <w:lang w:val="en-US" w:eastAsia="en-US" w:bidi="ar-SA"/>
              </w:rPr>
              <w:t>Reviewed, &amp;</w:t>
            </w:r>
          </w:p>
          <w:p>
            <w:pPr>
              <w:pStyle w:val="TableField"/>
              <w:widowControl w:val="false"/>
              <w:suppressAutoHyphens w:val="true"/>
              <w:spacing w:before="0" w:after="0"/>
              <w:rPr>
                <w:rFonts w:eastAsia="Calibri"/>
              </w:rPr>
            </w:pPr>
            <w:r>
              <w:rPr>
                <w:rFonts w:eastAsia="Calibri"/>
                <w:kern w:val="0"/>
                <w:lang w:val="en-US" w:eastAsia="en-US" w:bidi="ar-SA"/>
              </w:rPr>
              <w:t xml:space="preserve"> </w:t>
            </w:r>
            <w:r>
              <w:rPr>
                <w:rFonts w:eastAsia="Calibri"/>
                <w:kern w:val="0"/>
                <w:lang w:val="en-US" w:eastAsia="en-US" w:bidi="ar-SA"/>
              </w:rPr>
              <w:t>approved by:</w:t>
            </w:r>
          </w:p>
        </w:tc>
        <w:tc>
          <w:tcPr>
            <w:tcW w:w="7655" w:type="dxa"/>
            <w:gridSpan w:val="3"/>
            <w:tcBorders/>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US" w:eastAsia="en-US" w:bidi="ar-SA"/>
              </w:rPr>
              <w:t>Javier Valero</w:t>
            </w:r>
          </w:p>
        </w:tc>
      </w:tr>
      <w:tr>
        <w:trPr>
          <w:trHeight w:val="300" w:hRule="atLeast"/>
        </w:trPr>
        <w:tc>
          <w:tcPr>
            <w:tcW w:w="3271" w:type="dxa"/>
            <w:gridSpan w:val="2"/>
            <w:tcBorders/>
            <w:shd w:color="auto" w:fill="D9D9D9" w:themeFill="background1" w:themeFillShade="d9" w:val="clear"/>
            <w:vAlign w:val="center"/>
          </w:tcPr>
          <w:p>
            <w:pPr>
              <w:pStyle w:val="TableField"/>
              <w:widowControl w:val="false"/>
              <w:suppressAutoHyphens w:val="true"/>
              <w:spacing w:before="0" w:after="0"/>
              <w:rPr>
                <w:rFonts w:eastAsia="Calibri"/>
              </w:rPr>
            </w:pPr>
            <w:r>
              <w:rPr>
                <w:rFonts w:eastAsia="Calibri"/>
                <w:kern w:val="0"/>
                <w:lang w:val="en-US" w:eastAsia="en-US" w:bidi="ar-SA"/>
              </w:rPr>
              <w:t>Next Meeting:</w:t>
            </w:r>
          </w:p>
        </w:tc>
        <w:tc>
          <w:tcPr>
            <w:tcW w:w="7655" w:type="dxa"/>
            <w:gridSpan w:val="3"/>
            <w:tcBorders/>
            <w:vAlign w:val="center"/>
          </w:tcPr>
          <w:p>
            <w:pPr>
              <w:pStyle w:val="TableText"/>
              <w:widowControl w:val="false"/>
              <w:suppressAutoHyphens w:val="true"/>
              <w:spacing w:before="0" w:after="0"/>
              <w:jc w:val="start"/>
              <w:rPr>
                <w:rFonts w:eastAsia="Calibri"/>
                <w:kern w:val="0"/>
                <w:sz w:val="22"/>
                <w:szCs w:val="22"/>
                <w:lang w:val="en-US" w:eastAsia="en-US" w:bidi="ar-SA"/>
              </w:rPr>
            </w:pPr>
            <w:r>
              <w:rPr>
                <w:rFonts w:eastAsia="Calibri"/>
                <w:kern w:val="0"/>
                <w:sz w:val="22"/>
                <w:szCs w:val="22"/>
                <w:lang w:val="en-US" w:eastAsia="en-US" w:bidi="ar-SA"/>
              </w:rPr>
              <w:t>10/06/2025</w:t>
            </w:r>
          </w:p>
        </w:tc>
      </w:tr>
    </w:tbl>
    <w:p>
      <w:pPr>
        <w:pStyle w:val="TableText"/>
        <w:rPr/>
      </w:pPr>
      <w:r>
        <w:rPr/>
      </w:r>
    </w:p>
    <w:sectPr>
      <w:headerReference w:type="even" r:id="rId2"/>
      <w:headerReference w:type="default" r:id="rId3"/>
      <w:headerReference w:type="first" r:id="rId4"/>
      <w:footerReference w:type="even" r:id="rId5"/>
      <w:footerReference w:type="default" r:id="rId6"/>
      <w:footerReference w:type="first" r:id="rId7"/>
      <w:type w:val="nextPage"/>
      <w:pgSz w:w="11906" w:h="16838"/>
      <w:pgMar w:left="1080" w:right="1080" w:gutter="0" w:header="720" w:top="1440" w:footer="163" w:bottom="1103"/>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characterSet="windows-1252"/>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00" w:characterSet="windows-1252"/>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Calibri">
    <w:charset w:val="00" w:characterSet="windows-1252"/>
    <w:family w:val="roman"/>
    <w:pitch w:val="variable"/>
    <w:embedRegular r:id="rId14" w:fontKey="{0E014A78-CABC-4EF0-12AC-5CD89AEFDE0E}"/>
  </w:font>
  <w:font w:name="Dubai">
    <w:charset w:val="00" w:characterSet="windows-1252"/>
    <w:family w:val="swiss"/>
    <w:pitch w:val="variable"/>
    <w:embedRegular r:id="rId15" w:fontKey="{0F014A78-CABC-4EF0-12AC-5CD89AEFDE0F}"/>
    <w:embedBold r:id="rId16" w:fontKey="{10014A78-CABC-4EF0-12AC-5CD89AEFDE10}"/>
  </w:font>
  <w:font w:name="Calibri Light">
    <w:charset w:val="00" w:characterSet="windows-1252"/>
    <w:family w:val="swiss"/>
    <w:pitch w:val="variable"/>
    <w:embedRegular r:id="rId17" w:fontKey="{11014A78-CABC-4EF0-12AC-5CD89AEFDE11}"/>
  </w:font>
  <w:font w:name="Segoe UI">
    <w:charset w:val="00" w:characterSet="windows-1252"/>
    <w:family w:val="swiss"/>
    <w:pitch w:val="variable"/>
    <w:embedRegular r:id="rId18" w:fontKey="{12014A78-CABC-4EF0-12AC-5CD89AEFDE12}"/>
    <w:embedBold r:id="rId19" w:fontKey="{13014A78-CABC-4EF0-12AC-5CD89AEFDE13}"/>
    <w:embedItalic r:id="rId20" w:fontKey="{14014A78-CABC-4EF0-12AC-5CD89AEFDE14}"/>
    <w:embedBoldItalic r:id="rId21" w:fontKey="{15014A78-CABC-4EF0-12AC-5CD89AEFDE15}"/>
  </w:font>
  <w:font w:name="Calibri Light">
    <w:charset w:val="00" w:characterSet="windows-1252"/>
    <w:family w:val="roman"/>
    <w:pitch w:val="variable"/>
  </w:font>
  <w:font w:name="Liberation Sans">
    <w:altName w:val="Arial"/>
    <w:charset w:val="00" w:characterSet="windows-1252"/>
    <w:family w:val="swiss"/>
    <w:pitch w:val="variable"/>
    <w:embedRegular r:id="rId22" w:fontKey="{16014A78-CABC-4EF0-12AC-5CD89AEFDE16}"/>
    <w:embedBold r:id="rId23" w:fontKey="{17014A78-CABC-4EF0-12AC-5CD89AEFDE17}"/>
    <w:embedItalic r:id="rId24" w:fontKey="{18014A78-CABC-4EF0-12AC-5CD89AEFDE18}"/>
    <w:embedBoldItalic r:id="rId25" w:fontKey="{19014A78-CABC-4EF0-12AC-5CD89AEFDE19}"/>
  </w:font>
  <w:font w:name="PT Sans">
    <w:charset w:val="00" w:characterSet="windows-1252"/>
    <w:family w:val="swiss"/>
    <w:pitch w:val="variable"/>
  </w:font>
  <w:font w:name="Calibri">
    <w:charset w:val="00" w:characterSet="windows-1252"/>
    <w:family w:val="swiss"/>
    <w:pitch w:val="variable"/>
    <w:embedRegular r:id="rId26" w:fontKey="{1A014A78-CABC-4EF0-12AC-5CD89AEFDE1A}"/>
    <w:embedBold r:id="rId27" w:fontKey="{1B014A78-CABC-4EF0-12AC-5CD89AEFDE1B}"/>
    <w:embedItalic r:id="rId28" w:fontKey="{1C014A78-CABC-4EF0-12AC-5CD89AEFDE1C}"/>
    <w:embedBoldItalic r:id="rId14" w:fontKey="{0E014A78-CABC-4EF0-12AC-5CD89AEFDE0E}"/>
  </w:font>
  <w:font w:name="Aptos">
    <w:charset w:val="00" w:characterSet="windows-1252"/>
    <w:family w:val="swiss"/>
    <w:pitch w:val="variable"/>
  </w:font>
  <w:font w:name="Aptos">
    <w:charset w:val="01"/>
    <w:family w:val="auto"/>
    <w:pitch w:val="default"/>
  </w:font>
  <w:font w:name="Courier New">
    <w:charset w:val="01"/>
    <w:family w:val="modern"/>
    <w:pitch w:val="fixed"/>
    <w:embedRegular r:id="rId29" w:fontKey="{1D014A78-CABC-4EF0-12AC-5CD89AEFDE1D}"/>
    <w:embedBold r:id="rId30" w:fontKey="{1E014A78-CABC-4EF0-12AC-5CD89AEFDE1E}"/>
    <w:embedItalic r:id="rId31" w:fontKey="{1F014A78-CABC-4EF0-12AC-5CD89AEFDE1F}"/>
    <w:embedBoldItalic r:id="rId32" w:fontKey="{20014A78-CABC-4EF0-12AC-5CD89AEFDE20}"/>
  </w:font>
  <w:font w:name="Wingdings">
    <w:charset w:val="02"/>
    <w:family w:val="auto"/>
    <w:pitch w:val="variable"/>
    <w:embedRegular r:id="rId33" w:fontKey="{21014A78-CABC-4EF0-12AC-5CD89AEFDE21}"/>
  </w:font>
  <w:font w:name="Dubai">
    <w:charset w:val="01"/>
    <w:family w:val="swiss"/>
    <w:pitch w:val="variable"/>
    <w:embedRegular r:id="rId15" w:fontKey="{0F014A78-CABC-4EF0-12AC-5CD89AEFDE0F}"/>
    <w:embedBold r:id="rId16" w:fontKey="{10014A78-CABC-4EF0-12AC-5CD89AEFDE10}"/>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ind w:start="-540" w:end="-610"/>
      <w:jc w:val="both"/>
      <w:rPr>
        <w:sz w:val="16"/>
        <w:szCs w:val="16"/>
      </w:rPr>
    </w:pPr>
    <w:r>
      <w:rPr>
        <w:sz w:val="16"/>
        <w:szCs w:val="16"/>
      </w:rPr>
    </w:r>
    <w:bookmarkStart w:id="0" w:name="_Hlk101265176"/>
    <w:bookmarkStart w:id="1" w:name="_Hlk101265176"/>
    <w:bookmarkEnd w:id="1"/>
  </w:p>
  <w:tbl>
    <w:tblPr>
      <w:tblStyle w:val="TableGrid"/>
      <w:tblW w:w="5000" w:type="pct"/>
      <w:jc w:val="start"/>
      <w:tblInd w:w="-709" w:type="dxa"/>
      <w:tblLayout w:type="fixed"/>
      <w:tblCellMar>
        <w:top w:w="0" w:type="dxa"/>
        <w:start w:w="108" w:type="dxa"/>
        <w:bottom w:w="0" w:type="dxa"/>
        <w:end w:w="108" w:type="dxa"/>
      </w:tblCellMar>
      <w:tblLook w:firstRow="1" w:noVBand="1" w:lastRow="0" w:firstColumn="1" w:lastColumn="0" w:noHBand="0" w:val="04a0"/>
    </w:tblPr>
    <w:tblGrid>
      <w:gridCol w:w="4109"/>
      <w:gridCol w:w="1739"/>
      <w:gridCol w:w="3898"/>
    </w:tblGrid>
    <w:tr>
      <w:trPr/>
      <w:tc>
        <w:tcPr>
          <w:tcW w:w="4109" w:type="dxa"/>
          <w:tcBorders>
            <w:start w:val="nil"/>
            <w:bottom w:val="nil"/>
            <w:end w:val="nil"/>
          </w:tcBorders>
          <w:vAlign w:val="center"/>
        </w:tcPr>
        <w:p>
          <w:pPr>
            <w:pStyle w:val="Footer"/>
            <w:widowControl w:val="false"/>
            <w:suppressAutoHyphens w:val="true"/>
            <w:spacing w:before="0" w:after="0"/>
            <w:jc w:val="start"/>
            <w:rPr>
              <w:kern w:val="0"/>
              <w:lang w:val="en-US" w:eastAsia="en-US" w:bidi="ar-SA"/>
            </w:rPr>
          </w:pPr>
          <w:r>
            <w:rPr>
              <w:kern w:val="0"/>
              <w:lang w:val="en-US" w:eastAsia="en-US" w:bidi="ar-SA"/>
            </w:rPr>
          </w:r>
        </w:p>
      </w:tc>
      <w:tc>
        <w:tcPr>
          <w:tcW w:w="1739" w:type="dxa"/>
          <w:tcBorders>
            <w:start w:val="nil"/>
            <w:bottom w:val="nil"/>
            <w:end w:val="nil"/>
          </w:tcBorders>
          <w:vAlign w:val="center"/>
        </w:tcPr>
        <w:p>
          <w:pPr>
            <w:pStyle w:val="Footer"/>
            <w:widowControl w:val="false"/>
            <w:suppressAutoHyphens w:val="true"/>
            <w:spacing w:before="0" w:after="0"/>
            <w:jc w:val="center"/>
            <w:rPr>
              <w:kern w:val="0"/>
              <w:lang w:val="en-US" w:eastAsia="en-US" w:bidi="ar-SA"/>
            </w:rPr>
          </w:pPr>
          <w:r>
            <w:rPr>
              <w:kern w:val="0"/>
              <w:lang w:val="en-US" w:eastAsia="en-US" w:bidi="ar-SA"/>
            </w:rPr>
            <w:t xml:space="preserve">Page </w:t>
          </w:r>
          <w:r>
            <w:rPr>
              <w:b/>
              <w:bCs/>
              <w:kern w:val="0"/>
              <w:lang w:val="en-US" w:eastAsia="en-US" w:bidi="ar-SA"/>
            </w:rPr>
            <w:fldChar w:fldCharType="begin"/>
          </w:r>
          <w:r>
            <w:rPr>
              <w:b/>
              <w:kern w:val="0"/>
              <w:bCs/>
              <w:lang w:val="en-US" w:eastAsia="en-US" w:bidi="ar-SA"/>
            </w:rPr>
            <w:instrText xml:space="preserve"> PAGE </w:instrText>
          </w:r>
          <w:r>
            <w:rPr>
              <w:b/>
              <w:kern w:val="0"/>
              <w:bCs/>
              <w:lang w:val="en-US" w:eastAsia="en-US" w:bidi="ar-SA"/>
            </w:rPr>
            <w:fldChar w:fldCharType="separate"/>
          </w:r>
          <w:r>
            <w:rPr>
              <w:b/>
              <w:kern w:val="0"/>
              <w:bCs/>
              <w:lang w:val="en-US" w:eastAsia="en-US" w:bidi="ar-SA"/>
            </w:rPr>
            <w:t>24</w:t>
          </w:r>
          <w:r>
            <w:rPr>
              <w:b/>
              <w:kern w:val="0"/>
              <w:bCs/>
              <w:lang w:val="en-US" w:eastAsia="en-US" w:bidi="ar-SA"/>
            </w:rPr>
            <w:fldChar w:fldCharType="end"/>
          </w:r>
          <w:r>
            <w:rPr>
              <w:kern w:val="0"/>
              <w:lang w:val="en-US" w:eastAsia="en-US" w:bidi="ar-SA"/>
            </w:rPr>
            <w:t xml:space="preserve"> of </w:t>
          </w:r>
          <w:r>
            <w:rPr>
              <w:kern w:val="0"/>
              <w:lang w:val="en-US" w:eastAsia="en-US" w:bidi="ar-SA"/>
            </w:rPr>
            <w:fldChar w:fldCharType="begin"/>
          </w:r>
          <w:r>
            <w:rPr>
              <w:kern w:val="0"/>
              <w:lang w:val="en-US" w:eastAsia="en-US" w:bidi="ar-SA"/>
            </w:rPr>
            <w:instrText xml:space="preserve"> NUMPAGES </w:instrText>
          </w:r>
          <w:r>
            <w:rPr>
              <w:kern w:val="0"/>
              <w:lang w:val="en-US" w:eastAsia="en-US" w:bidi="ar-SA"/>
            </w:rPr>
            <w:fldChar w:fldCharType="separate"/>
          </w:r>
          <w:r>
            <w:rPr>
              <w:kern w:val="0"/>
              <w:lang w:val="en-US" w:eastAsia="en-US" w:bidi="ar-SA"/>
            </w:rPr>
            <w:t>28</w:t>
          </w:r>
          <w:r>
            <w:rPr>
              <w:kern w:val="0"/>
              <w:lang w:val="en-US" w:eastAsia="en-US" w:bidi="ar-SA"/>
            </w:rPr>
            <w:fldChar w:fldCharType="end"/>
          </w:r>
        </w:p>
      </w:tc>
      <w:tc>
        <w:tcPr>
          <w:tcW w:w="3898" w:type="dxa"/>
          <w:tcBorders>
            <w:start w:val="nil"/>
            <w:bottom w:val="nil"/>
            <w:end w:val="nil"/>
          </w:tcBorders>
          <w:vAlign w:val="center"/>
        </w:tcPr>
        <w:p>
          <w:pPr>
            <w:pStyle w:val="Footer"/>
            <w:widowControl w:val="false"/>
            <w:suppressAutoHyphens w:val="true"/>
            <w:spacing w:before="0" w:after="0"/>
            <w:rPr>
              <w:kern w:val="0"/>
              <w:lang w:val="en-US" w:eastAsia="en-US" w:bidi="ar-SA"/>
            </w:rPr>
          </w:pPr>
          <w:r>
            <w:rPr>
              <w:kern w:val="0"/>
              <w:lang w:val="en-US" w:eastAsia="en-US" w:bidi="ar-SA"/>
            </w:rPr>
          </w:r>
        </w:p>
      </w:tc>
    </w:tr>
  </w:tbl>
  <w:p>
    <w:pPr>
      <w:pStyle w:val="Footer"/>
      <w:jc w:val="start"/>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ind w:start="-540" w:end="-610"/>
      <w:jc w:val="both"/>
      <w:rPr>
        <w:sz w:val="16"/>
        <w:szCs w:val="16"/>
      </w:rPr>
    </w:pPr>
    <w:r>
      <w:rPr>
        <w:sz w:val="16"/>
        <w:szCs w:val="16"/>
      </w:rPr>
    </w:r>
    <w:bookmarkStart w:id="2" w:name="_Hlk101265176"/>
    <w:bookmarkStart w:id="3" w:name="_Hlk101265176"/>
    <w:bookmarkEnd w:id="3"/>
  </w:p>
  <w:tbl>
    <w:tblPr>
      <w:tblStyle w:val="TableGrid"/>
      <w:tblW w:w="5000" w:type="pct"/>
      <w:jc w:val="start"/>
      <w:tblInd w:w="-709" w:type="dxa"/>
      <w:tblLayout w:type="fixed"/>
      <w:tblCellMar>
        <w:top w:w="0" w:type="dxa"/>
        <w:start w:w="108" w:type="dxa"/>
        <w:bottom w:w="0" w:type="dxa"/>
        <w:end w:w="108" w:type="dxa"/>
      </w:tblCellMar>
      <w:tblLook w:firstRow="1" w:noVBand="1" w:lastRow="0" w:firstColumn="1" w:lastColumn="0" w:noHBand="0" w:val="04a0"/>
    </w:tblPr>
    <w:tblGrid>
      <w:gridCol w:w="4109"/>
      <w:gridCol w:w="1739"/>
      <w:gridCol w:w="3898"/>
    </w:tblGrid>
    <w:tr>
      <w:trPr/>
      <w:tc>
        <w:tcPr>
          <w:tcW w:w="4109" w:type="dxa"/>
          <w:tcBorders>
            <w:start w:val="nil"/>
            <w:bottom w:val="nil"/>
            <w:end w:val="nil"/>
          </w:tcBorders>
          <w:vAlign w:val="center"/>
        </w:tcPr>
        <w:p>
          <w:pPr>
            <w:pStyle w:val="Footer"/>
            <w:widowControl w:val="false"/>
            <w:suppressAutoHyphens w:val="true"/>
            <w:spacing w:before="0" w:after="0"/>
            <w:jc w:val="start"/>
            <w:rPr>
              <w:kern w:val="0"/>
              <w:lang w:val="en-US" w:eastAsia="en-US" w:bidi="ar-SA"/>
            </w:rPr>
          </w:pPr>
          <w:r>
            <w:rPr>
              <w:kern w:val="0"/>
              <w:lang w:val="en-US" w:eastAsia="en-US" w:bidi="ar-SA"/>
            </w:rPr>
          </w:r>
        </w:p>
      </w:tc>
      <w:tc>
        <w:tcPr>
          <w:tcW w:w="1739" w:type="dxa"/>
          <w:tcBorders>
            <w:start w:val="nil"/>
            <w:bottom w:val="nil"/>
            <w:end w:val="nil"/>
          </w:tcBorders>
          <w:vAlign w:val="center"/>
        </w:tcPr>
        <w:p>
          <w:pPr>
            <w:pStyle w:val="Footer"/>
            <w:widowControl w:val="false"/>
            <w:suppressAutoHyphens w:val="true"/>
            <w:spacing w:before="0" w:after="0"/>
            <w:jc w:val="center"/>
            <w:rPr>
              <w:kern w:val="0"/>
              <w:lang w:val="en-US" w:eastAsia="en-US" w:bidi="ar-SA"/>
            </w:rPr>
          </w:pPr>
          <w:r>
            <w:rPr>
              <w:kern w:val="0"/>
              <w:lang w:val="en-US" w:eastAsia="en-US" w:bidi="ar-SA"/>
            </w:rPr>
            <w:t xml:space="preserve">Page </w:t>
          </w:r>
          <w:r>
            <w:rPr>
              <w:b/>
              <w:bCs/>
              <w:kern w:val="0"/>
              <w:lang w:val="en-US" w:eastAsia="en-US" w:bidi="ar-SA"/>
            </w:rPr>
            <w:fldChar w:fldCharType="begin"/>
          </w:r>
          <w:r>
            <w:rPr>
              <w:b/>
              <w:kern w:val="0"/>
              <w:bCs/>
              <w:lang w:val="en-US" w:eastAsia="en-US" w:bidi="ar-SA"/>
            </w:rPr>
            <w:instrText xml:space="preserve"> PAGE </w:instrText>
          </w:r>
          <w:r>
            <w:rPr>
              <w:b/>
              <w:kern w:val="0"/>
              <w:bCs/>
              <w:lang w:val="en-US" w:eastAsia="en-US" w:bidi="ar-SA"/>
            </w:rPr>
            <w:fldChar w:fldCharType="separate"/>
          </w:r>
          <w:r>
            <w:rPr>
              <w:b/>
              <w:kern w:val="0"/>
              <w:bCs/>
              <w:lang w:val="en-US" w:eastAsia="en-US" w:bidi="ar-SA"/>
            </w:rPr>
            <w:t>24</w:t>
          </w:r>
          <w:r>
            <w:rPr>
              <w:b/>
              <w:kern w:val="0"/>
              <w:bCs/>
              <w:lang w:val="en-US" w:eastAsia="en-US" w:bidi="ar-SA"/>
            </w:rPr>
            <w:fldChar w:fldCharType="end"/>
          </w:r>
          <w:r>
            <w:rPr>
              <w:kern w:val="0"/>
              <w:lang w:val="en-US" w:eastAsia="en-US" w:bidi="ar-SA"/>
            </w:rPr>
            <w:t xml:space="preserve"> of </w:t>
          </w:r>
          <w:r>
            <w:rPr>
              <w:kern w:val="0"/>
              <w:lang w:val="en-US" w:eastAsia="en-US" w:bidi="ar-SA"/>
            </w:rPr>
            <w:fldChar w:fldCharType="begin"/>
          </w:r>
          <w:r>
            <w:rPr>
              <w:kern w:val="0"/>
              <w:lang w:val="en-US" w:eastAsia="en-US" w:bidi="ar-SA"/>
            </w:rPr>
            <w:instrText xml:space="preserve"> NUMPAGES </w:instrText>
          </w:r>
          <w:r>
            <w:rPr>
              <w:kern w:val="0"/>
              <w:lang w:val="en-US" w:eastAsia="en-US" w:bidi="ar-SA"/>
            </w:rPr>
            <w:fldChar w:fldCharType="separate"/>
          </w:r>
          <w:r>
            <w:rPr>
              <w:kern w:val="0"/>
              <w:lang w:val="en-US" w:eastAsia="en-US" w:bidi="ar-SA"/>
            </w:rPr>
            <w:t>28</w:t>
          </w:r>
          <w:r>
            <w:rPr>
              <w:kern w:val="0"/>
              <w:lang w:val="en-US" w:eastAsia="en-US" w:bidi="ar-SA"/>
            </w:rPr>
            <w:fldChar w:fldCharType="end"/>
          </w:r>
        </w:p>
      </w:tc>
      <w:tc>
        <w:tcPr>
          <w:tcW w:w="3898" w:type="dxa"/>
          <w:tcBorders>
            <w:start w:val="nil"/>
            <w:bottom w:val="nil"/>
            <w:end w:val="nil"/>
          </w:tcBorders>
          <w:vAlign w:val="center"/>
        </w:tcPr>
        <w:p>
          <w:pPr>
            <w:pStyle w:val="Footer"/>
            <w:widowControl w:val="false"/>
            <w:suppressAutoHyphens w:val="true"/>
            <w:spacing w:before="0" w:after="0"/>
            <w:rPr>
              <w:kern w:val="0"/>
              <w:lang w:val="en-US" w:eastAsia="en-US" w:bidi="ar-SA"/>
            </w:rPr>
          </w:pPr>
          <w:r>
            <w:rPr>
              <w:kern w:val="0"/>
              <w:lang w:val="en-US" w:eastAsia="en-US" w:bidi="ar-SA"/>
            </w:rPr>
          </w:r>
        </w:p>
      </w:tc>
    </w:tr>
  </w:tbl>
  <w:p>
    <w:pPr>
      <w:pStyle w:val="Footer"/>
      <w:jc w:val="start"/>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ind w:start="-720"/>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ind w:start="-720"/>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Heading1"/>
      <w:numFmt w:val="decimal"/>
      <w:lvlText w:val="%1."/>
      <w:lvlJc w:val="start"/>
      <w:pPr>
        <w:tabs>
          <w:tab w:val="num" w:pos="0"/>
        </w:tabs>
        <w:ind w:start="720" w:hanging="360"/>
      </w:pPr>
      <w:rPr/>
    </w:lvl>
    <w:lvl w:ilvl="1">
      <w:start w:val="1"/>
      <w:pStyle w:val="Heading2"/>
      <w:numFmt w:val="decimal"/>
      <w:lvlText w:val="%1.%2"/>
      <w:lvlJc w:val="start"/>
      <w:pPr>
        <w:tabs>
          <w:tab w:val="num" w:pos="0"/>
        </w:tabs>
        <w:ind w:start="1926" w:hanging="576"/>
      </w:pPr>
      <w:rPr/>
    </w:lvl>
    <w:lvl w:ilvl="2">
      <w:start w:val="1"/>
      <w:pStyle w:val="Heading3"/>
      <w:numFmt w:val="decimal"/>
      <w:lvlText w:val="%1.%2.%3"/>
      <w:lvlJc w:val="start"/>
      <w:pPr>
        <w:tabs>
          <w:tab w:val="num" w:pos="0"/>
        </w:tabs>
        <w:ind w:start="1440" w:hanging="720"/>
      </w:pPr>
      <w:rPr/>
    </w:lvl>
    <w:lvl w:ilvl="3">
      <w:start w:val="1"/>
      <w:pStyle w:val="Heading4"/>
      <w:numFmt w:val="decimal"/>
      <w:lvlText w:val="%1.%2.%3.%4"/>
      <w:lvlJc w:val="start"/>
      <w:pPr>
        <w:tabs>
          <w:tab w:val="num" w:pos="0"/>
        </w:tabs>
        <w:ind w:start="1584" w:hanging="864"/>
      </w:pPr>
      <w:rPr/>
    </w:lvl>
    <w:lvl w:ilvl="4">
      <w:start w:val="1"/>
      <w:pStyle w:val="Heading5"/>
      <w:numFmt w:val="decimal"/>
      <w:lvlText w:val="%1.%2.%3.%4.%5"/>
      <w:lvlJc w:val="start"/>
      <w:pPr>
        <w:tabs>
          <w:tab w:val="num" w:pos="0"/>
        </w:tabs>
        <w:ind w:start="1728" w:hanging="1008"/>
      </w:pPr>
      <w:rPr/>
    </w:lvl>
    <w:lvl w:ilvl="5">
      <w:start w:val="1"/>
      <w:pStyle w:val="Heading6"/>
      <w:numFmt w:val="decimal"/>
      <w:lvlText w:val="%1.%2.%3.%4.%5.%6"/>
      <w:lvlJc w:val="start"/>
      <w:pPr>
        <w:tabs>
          <w:tab w:val="num" w:pos="0"/>
        </w:tabs>
        <w:ind w:start="1872" w:hanging="1152"/>
      </w:pPr>
      <w:rPr/>
    </w:lvl>
    <w:lvl w:ilvl="6">
      <w:start w:val="1"/>
      <w:pStyle w:val="Heading7"/>
      <w:numFmt w:val="decimal"/>
      <w:lvlText w:val="%1.%2.%3.%4.%5.%6.%7"/>
      <w:lvlJc w:val="start"/>
      <w:pPr>
        <w:tabs>
          <w:tab w:val="num" w:pos="0"/>
        </w:tabs>
        <w:ind w:start="2016" w:hanging="1296"/>
      </w:pPr>
      <w:rPr/>
    </w:lvl>
    <w:lvl w:ilvl="7">
      <w:start w:val="1"/>
      <w:pStyle w:val="Heading8"/>
      <w:numFmt w:val="decimal"/>
      <w:lvlText w:val="%1.%2.%3.%4.%5.%6.%7.%8"/>
      <w:lvlJc w:val="start"/>
      <w:pPr>
        <w:tabs>
          <w:tab w:val="num" w:pos="0"/>
        </w:tabs>
        <w:ind w:start="2160" w:hanging="1440"/>
      </w:pPr>
      <w:rPr/>
    </w:lvl>
    <w:lvl w:ilvl="8">
      <w:start w:val="1"/>
      <w:pStyle w:val="Heading9"/>
      <w:numFmt w:val="decimal"/>
      <w:lvlText w:val="%1.%2.%3.%4.%5.%6.%7.%8.%9"/>
      <w:lvlJc w:val="start"/>
      <w:pPr>
        <w:tabs>
          <w:tab w:val="num" w:pos="0"/>
        </w:tabs>
        <w:ind w:start="2304" w:hanging="1584"/>
      </w:pPr>
      <w:rPr/>
    </w:lvl>
  </w:abstractNum>
  <w:abstractNum w:abstractNumId="2">
    <w:lvl w:ilvl="0">
      <w:start w:val="1"/>
      <w:numFmt w:val="bullet"/>
      <w:lvlText w:val="-"/>
      <w:lvlJc w:val="start"/>
      <w:pPr>
        <w:tabs>
          <w:tab w:val="num" w:pos="0"/>
        </w:tabs>
        <w:ind w:start="720" w:hanging="360"/>
      </w:pPr>
      <w:rPr>
        <w:rFonts w:ascii="Aptos" w:hAnsi="Aptos" w:cs="Aptos"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abstractNum w:abstractNumId="3">
    <w:lvl w:ilvl="0">
      <w:start w:val="1"/>
      <w:numFmt w:val="bullet"/>
      <w:lvlText w:val="-"/>
      <w:lvlJc w:val="start"/>
      <w:pPr>
        <w:tabs>
          <w:tab w:val="num" w:pos="0"/>
        </w:tabs>
        <w:ind w:start="720" w:hanging="360"/>
      </w:pPr>
      <w:rPr>
        <w:rFonts w:ascii="Aptos" w:hAnsi="Aptos" w:cs="Aptos"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abstractNum w:abstractNumId="4">
    <w:lvl w:ilvl="0">
      <w:start w:val="1"/>
      <w:numFmt w:val="bullet"/>
      <w:lvlText w:val="-"/>
      <w:lvlJc w:val="start"/>
      <w:pPr>
        <w:tabs>
          <w:tab w:val="num" w:pos="0"/>
        </w:tabs>
        <w:ind w:start="720" w:hanging="360"/>
      </w:pPr>
      <w:rPr>
        <w:rFonts w:ascii="Aptos" w:hAnsi="Aptos" w:cs="Aptos"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abstractNum w:abstractNumId="5">
    <w:lvl w:ilvl="0">
      <w:start w:val="1"/>
      <w:numFmt w:val="bullet"/>
      <w:lvlText w:val="-"/>
      <w:lvlJc w:val="start"/>
      <w:pPr>
        <w:tabs>
          <w:tab w:val="num" w:pos="0"/>
        </w:tabs>
        <w:ind w:start="720" w:hanging="360"/>
      </w:pPr>
      <w:rPr>
        <w:rFonts w:ascii="Aptos" w:hAnsi="Aptos" w:cs="Aptos"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abstractNum w:abstractNumId="6">
    <w:lvl w:ilvl="0">
      <w:start w:val="1"/>
      <w:numFmt w:val="bullet"/>
      <w:lvlText w:val="-"/>
      <w:lvlJc w:val="start"/>
      <w:pPr>
        <w:tabs>
          <w:tab w:val="num" w:pos="0"/>
        </w:tabs>
        <w:ind w:start="360" w:hanging="360"/>
      </w:pPr>
      <w:rPr>
        <w:rFonts w:ascii="Aptos" w:hAnsi="Aptos" w:cs="Aptos" w:hint="default"/>
      </w:rPr>
    </w:lvl>
    <w:lvl w:ilvl="1">
      <w:start w:val="1"/>
      <w:numFmt w:val="bullet"/>
      <w:lvlText w:val="o"/>
      <w:lvlJc w:val="start"/>
      <w:pPr>
        <w:tabs>
          <w:tab w:val="num" w:pos="0"/>
        </w:tabs>
        <w:ind w:start="1080" w:hanging="360"/>
      </w:pPr>
      <w:rPr>
        <w:rFonts w:ascii="Courier New" w:hAnsi="Courier New" w:cs="Courier New" w:hint="default"/>
      </w:rPr>
    </w:lvl>
    <w:lvl w:ilvl="2">
      <w:start w:val="1"/>
      <w:numFmt w:val="bullet"/>
      <w:lvlText w:val=""/>
      <w:lvlJc w:val="start"/>
      <w:pPr>
        <w:tabs>
          <w:tab w:val="num" w:pos="0"/>
        </w:tabs>
        <w:ind w:start="1800" w:hanging="360"/>
      </w:pPr>
      <w:rPr>
        <w:rFonts w:ascii="Wingdings" w:hAnsi="Wingdings" w:cs="Wingdings" w:hint="default"/>
      </w:rPr>
    </w:lvl>
    <w:lvl w:ilvl="3">
      <w:start w:val="1"/>
      <w:numFmt w:val="bullet"/>
      <w:lvlText w:val=""/>
      <w:lvlJc w:val="start"/>
      <w:pPr>
        <w:tabs>
          <w:tab w:val="num" w:pos="0"/>
        </w:tabs>
        <w:ind w:start="2520" w:hanging="360"/>
      </w:pPr>
      <w:rPr>
        <w:rFonts w:ascii="Symbol" w:hAnsi="Symbol" w:cs="Symbol" w:hint="default"/>
      </w:rPr>
    </w:lvl>
    <w:lvl w:ilvl="4">
      <w:start w:val="1"/>
      <w:numFmt w:val="bullet"/>
      <w:lvlText w:val="o"/>
      <w:lvlJc w:val="start"/>
      <w:pPr>
        <w:tabs>
          <w:tab w:val="num" w:pos="0"/>
        </w:tabs>
        <w:ind w:start="3240" w:hanging="360"/>
      </w:pPr>
      <w:rPr>
        <w:rFonts w:ascii="Courier New" w:hAnsi="Courier New" w:cs="Courier New" w:hint="default"/>
      </w:rPr>
    </w:lvl>
    <w:lvl w:ilvl="5">
      <w:start w:val="1"/>
      <w:numFmt w:val="bullet"/>
      <w:lvlText w:val=""/>
      <w:lvlJc w:val="start"/>
      <w:pPr>
        <w:tabs>
          <w:tab w:val="num" w:pos="0"/>
        </w:tabs>
        <w:ind w:start="3960" w:hanging="360"/>
      </w:pPr>
      <w:rPr>
        <w:rFonts w:ascii="Wingdings" w:hAnsi="Wingdings" w:cs="Wingdings" w:hint="default"/>
      </w:rPr>
    </w:lvl>
    <w:lvl w:ilvl="6">
      <w:start w:val="1"/>
      <w:numFmt w:val="bullet"/>
      <w:lvlText w:val=""/>
      <w:lvlJc w:val="start"/>
      <w:pPr>
        <w:tabs>
          <w:tab w:val="num" w:pos="0"/>
        </w:tabs>
        <w:ind w:start="4680" w:hanging="360"/>
      </w:pPr>
      <w:rPr>
        <w:rFonts w:ascii="Symbol" w:hAnsi="Symbol" w:cs="Symbol" w:hint="default"/>
      </w:rPr>
    </w:lvl>
    <w:lvl w:ilvl="7">
      <w:start w:val="1"/>
      <w:numFmt w:val="bullet"/>
      <w:lvlText w:val="o"/>
      <w:lvlJc w:val="start"/>
      <w:pPr>
        <w:tabs>
          <w:tab w:val="num" w:pos="0"/>
        </w:tabs>
        <w:ind w:start="5400" w:hanging="360"/>
      </w:pPr>
      <w:rPr>
        <w:rFonts w:ascii="Courier New" w:hAnsi="Courier New" w:cs="Courier New" w:hint="default"/>
      </w:rPr>
    </w:lvl>
    <w:lvl w:ilvl="8">
      <w:start w:val="1"/>
      <w:numFmt w:val="bullet"/>
      <w:lvlText w:val=""/>
      <w:lvlJc w:val="start"/>
      <w:pPr>
        <w:tabs>
          <w:tab w:val="num" w:pos="0"/>
        </w:tabs>
        <w:ind w:start="6120" w:hanging="360"/>
      </w:pPr>
      <w:rPr>
        <w:rFonts w:ascii="Wingdings" w:hAnsi="Wingdings" w:cs="Wingdings" w:hint="default"/>
      </w:rPr>
    </w:lvl>
  </w:abstractNum>
  <w:abstractNum w:abstractNumId="7">
    <w:lvl w:ilvl="0">
      <w:start w:val="1"/>
      <w:numFmt w:val="bullet"/>
      <w:lvlText w:val="-"/>
      <w:lvlJc w:val="start"/>
      <w:pPr>
        <w:tabs>
          <w:tab w:val="num" w:pos="0"/>
        </w:tabs>
        <w:ind w:start="720" w:hanging="360"/>
      </w:pPr>
      <w:rPr>
        <w:rFonts w:ascii="Aptos" w:hAnsi="Aptos" w:cs="Aptos"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abstractNum w:abstractNumId="8">
    <w:lvl w:ilvl="0">
      <w:start w:val="1"/>
      <w:numFmt w:val="bullet"/>
      <w:lvlText w:val="-"/>
      <w:lvlJc w:val="start"/>
      <w:pPr>
        <w:tabs>
          <w:tab w:val="num" w:pos="0"/>
        </w:tabs>
        <w:ind w:start="720" w:hanging="360"/>
      </w:pPr>
      <w:rPr>
        <w:rFonts w:ascii="Aptos" w:hAnsi="Aptos" w:cs="Aptos"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abstractNum w:abstractNumId="9">
    <w:lvl w:ilvl="0">
      <w:start w:val="1"/>
      <w:numFmt w:val="bullet"/>
      <w:lvlText w:val="-"/>
      <w:lvlJc w:val="start"/>
      <w:pPr>
        <w:tabs>
          <w:tab w:val="num" w:pos="0"/>
        </w:tabs>
        <w:ind w:start="720" w:hanging="360"/>
      </w:pPr>
      <w:rPr>
        <w:rFonts w:ascii="Aptos" w:hAnsi="Aptos" w:cs="Aptos"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abstractNum w:abstractNumId="10">
    <w:lvl w:ilvl="0">
      <w:start w:val="1"/>
      <w:numFmt w:val="bullet"/>
      <w:lvlText w:val="-"/>
      <w:lvlJc w:val="start"/>
      <w:pPr>
        <w:tabs>
          <w:tab w:val="num" w:pos="0"/>
        </w:tabs>
        <w:ind w:start="720" w:hanging="360"/>
      </w:pPr>
      <w:rPr>
        <w:rFonts w:ascii="Aptos" w:hAnsi="Aptos" w:cs="Aptos"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abstractNum w:abstractNumId="11">
    <w:lvl w:ilvl="0">
      <w:start w:val="1"/>
      <w:numFmt w:val="bullet"/>
      <w:lvlText w:val="-"/>
      <w:lvlJc w:val="start"/>
      <w:pPr>
        <w:tabs>
          <w:tab w:val="num" w:pos="0"/>
        </w:tabs>
        <w:ind w:start="720" w:hanging="360"/>
      </w:pPr>
      <w:rPr>
        <w:rFonts w:ascii="Aptos" w:hAnsi="Aptos" w:cs="Aptos"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abstractNum w:abstractNumId="12">
    <w:lvl w:ilvl="0">
      <w:start w:val="1"/>
      <w:numFmt w:val="bullet"/>
      <w:lvlText w:val="-"/>
      <w:lvlJc w:val="start"/>
      <w:pPr>
        <w:tabs>
          <w:tab w:val="num" w:pos="0"/>
        </w:tabs>
        <w:ind w:start="720" w:hanging="360"/>
      </w:pPr>
      <w:rPr>
        <w:rFonts w:ascii="Aptos" w:hAnsi="Aptos" w:cs="Aptos"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abstractNum w:abstractNumId="13">
    <w:lvl w:ilvl="0">
      <w:start w:val="1"/>
      <w:numFmt w:val="bullet"/>
      <w:lvlText w:val="-"/>
      <w:lvlJc w:val="start"/>
      <w:pPr>
        <w:tabs>
          <w:tab w:val="num" w:pos="0"/>
        </w:tabs>
        <w:ind w:start="360" w:hanging="360"/>
      </w:pPr>
      <w:rPr>
        <w:rFonts w:ascii="Aptos" w:hAnsi="Aptos" w:cs="Aptos" w:hint="default"/>
      </w:rPr>
    </w:lvl>
    <w:lvl w:ilvl="1">
      <w:start w:val="1"/>
      <w:numFmt w:val="bullet"/>
      <w:lvlText w:val="o"/>
      <w:lvlJc w:val="start"/>
      <w:pPr>
        <w:tabs>
          <w:tab w:val="num" w:pos="0"/>
        </w:tabs>
        <w:ind w:start="1080" w:hanging="360"/>
      </w:pPr>
      <w:rPr>
        <w:rFonts w:ascii="Courier New" w:hAnsi="Courier New" w:cs="Courier New" w:hint="default"/>
      </w:rPr>
    </w:lvl>
    <w:lvl w:ilvl="2">
      <w:start w:val="1"/>
      <w:numFmt w:val="bullet"/>
      <w:lvlText w:val=""/>
      <w:lvlJc w:val="start"/>
      <w:pPr>
        <w:tabs>
          <w:tab w:val="num" w:pos="0"/>
        </w:tabs>
        <w:ind w:start="1800" w:hanging="360"/>
      </w:pPr>
      <w:rPr>
        <w:rFonts w:ascii="Wingdings" w:hAnsi="Wingdings" w:cs="Wingdings" w:hint="default"/>
      </w:rPr>
    </w:lvl>
    <w:lvl w:ilvl="3">
      <w:start w:val="1"/>
      <w:numFmt w:val="bullet"/>
      <w:lvlText w:val=""/>
      <w:lvlJc w:val="start"/>
      <w:pPr>
        <w:tabs>
          <w:tab w:val="num" w:pos="0"/>
        </w:tabs>
        <w:ind w:start="2520" w:hanging="360"/>
      </w:pPr>
      <w:rPr>
        <w:rFonts w:ascii="Symbol" w:hAnsi="Symbol" w:cs="Symbol" w:hint="default"/>
      </w:rPr>
    </w:lvl>
    <w:lvl w:ilvl="4">
      <w:start w:val="1"/>
      <w:numFmt w:val="bullet"/>
      <w:lvlText w:val="o"/>
      <w:lvlJc w:val="start"/>
      <w:pPr>
        <w:tabs>
          <w:tab w:val="num" w:pos="0"/>
        </w:tabs>
        <w:ind w:start="3240" w:hanging="360"/>
      </w:pPr>
      <w:rPr>
        <w:rFonts w:ascii="Courier New" w:hAnsi="Courier New" w:cs="Courier New" w:hint="default"/>
      </w:rPr>
    </w:lvl>
    <w:lvl w:ilvl="5">
      <w:start w:val="1"/>
      <w:numFmt w:val="bullet"/>
      <w:lvlText w:val=""/>
      <w:lvlJc w:val="start"/>
      <w:pPr>
        <w:tabs>
          <w:tab w:val="num" w:pos="0"/>
        </w:tabs>
        <w:ind w:start="3960" w:hanging="360"/>
      </w:pPr>
      <w:rPr>
        <w:rFonts w:ascii="Wingdings" w:hAnsi="Wingdings" w:cs="Wingdings" w:hint="default"/>
      </w:rPr>
    </w:lvl>
    <w:lvl w:ilvl="6">
      <w:start w:val="1"/>
      <w:numFmt w:val="bullet"/>
      <w:lvlText w:val=""/>
      <w:lvlJc w:val="start"/>
      <w:pPr>
        <w:tabs>
          <w:tab w:val="num" w:pos="0"/>
        </w:tabs>
        <w:ind w:start="4680" w:hanging="360"/>
      </w:pPr>
      <w:rPr>
        <w:rFonts w:ascii="Symbol" w:hAnsi="Symbol" w:cs="Symbol" w:hint="default"/>
      </w:rPr>
    </w:lvl>
    <w:lvl w:ilvl="7">
      <w:start w:val="1"/>
      <w:numFmt w:val="bullet"/>
      <w:lvlText w:val="o"/>
      <w:lvlJc w:val="start"/>
      <w:pPr>
        <w:tabs>
          <w:tab w:val="num" w:pos="0"/>
        </w:tabs>
        <w:ind w:start="5400" w:hanging="360"/>
      </w:pPr>
      <w:rPr>
        <w:rFonts w:ascii="Courier New" w:hAnsi="Courier New" w:cs="Courier New" w:hint="default"/>
      </w:rPr>
    </w:lvl>
    <w:lvl w:ilvl="8">
      <w:start w:val="1"/>
      <w:numFmt w:val="bullet"/>
      <w:lvlText w:val=""/>
      <w:lvlJc w:val="start"/>
      <w:pPr>
        <w:tabs>
          <w:tab w:val="num" w:pos="0"/>
        </w:tabs>
        <w:ind w:start="6120" w:hanging="360"/>
      </w:pPr>
      <w:rPr>
        <w:rFonts w:ascii="Wingdings" w:hAnsi="Wingdings" w:cs="Wingdings" w:hint="default"/>
      </w:rPr>
    </w:lvl>
  </w:abstractNum>
  <w:abstractNum w:abstractNumId="14">
    <w:lvl w:ilvl="0">
      <w:start w:val="1"/>
      <w:numFmt w:val="bullet"/>
      <w:lvlText w:val="-"/>
      <w:lvlJc w:val="start"/>
      <w:pPr>
        <w:tabs>
          <w:tab w:val="num" w:pos="0"/>
        </w:tabs>
        <w:ind w:start="720" w:hanging="360"/>
      </w:pPr>
      <w:rPr>
        <w:rFonts w:ascii="Aptos" w:hAnsi="Aptos" w:cs="Aptos"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abstractNum w:abstractNumId="15">
    <w:lvl w:ilvl="0">
      <w:start w:val="1"/>
      <w:numFmt w:val="bullet"/>
      <w:lvlText w:val=""/>
      <w:lvlJc w:val="start"/>
      <w:pPr>
        <w:tabs>
          <w:tab w:val="num" w:pos="0"/>
        </w:tabs>
        <w:ind w:start="720" w:hanging="360"/>
      </w:pPr>
      <w:rPr>
        <w:rFonts w:ascii="Symbol" w:hAnsi="Symbol" w:cs="Symbol"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abstractNum w:abstractNumId="16">
    <w:lvl w:ilvl="0">
      <w:start w:val="1"/>
      <w:numFmt w:val="bullet"/>
      <w:lvlText w:val=""/>
      <w:lvlJc w:val="start"/>
      <w:pPr>
        <w:tabs>
          <w:tab w:val="num" w:pos="0"/>
        </w:tabs>
        <w:ind w:start="360" w:hanging="360"/>
      </w:pPr>
      <w:rPr>
        <w:rFonts w:ascii="Symbol" w:hAnsi="Symbol" w:cs="Symbol" w:hint="default"/>
      </w:rPr>
    </w:lvl>
    <w:lvl w:ilvl="1">
      <w:start w:val="1"/>
      <w:numFmt w:val="bullet"/>
      <w:lvlText w:val="o"/>
      <w:lvlJc w:val="start"/>
      <w:pPr>
        <w:tabs>
          <w:tab w:val="num" w:pos="0"/>
        </w:tabs>
        <w:ind w:start="1080" w:hanging="360"/>
      </w:pPr>
      <w:rPr>
        <w:rFonts w:ascii="Courier New" w:hAnsi="Courier New" w:cs="Courier New" w:hint="default"/>
      </w:rPr>
    </w:lvl>
    <w:lvl w:ilvl="2">
      <w:start w:val="1"/>
      <w:numFmt w:val="bullet"/>
      <w:lvlText w:val=""/>
      <w:lvlJc w:val="start"/>
      <w:pPr>
        <w:tabs>
          <w:tab w:val="num" w:pos="0"/>
        </w:tabs>
        <w:ind w:start="1800" w:hanging="360"/>
      </w:pPr>
      <w:rPr>
        <w:rFonts w:ascii="Wingdings" w:hAnsi="Wingdings" w:cs="Wingdings" w:hint="default"/>
      </w:rPr>
    </w:lvl>
    <w:lvl w:ilvl="3">
      <w:start w:val="1"/>
      <w:numFmt w:val="bullet"/>
      <w:lvlText w:val=""/>
      <w:lvlJc w:val="start"/>
      <w:pPr>
        <w:tabs>
          <w:tab w:val="num" w:pos="0"/>
        </w:tabs>
        <w:ind w:start="2520" w:hanging="360"/>
      </w:pPr>
      <w:rPr>
        <w:rFonts w:ascii="Symbol" w:hAnsi="Symbol" w:cs="Symbol" w:hint="default"/>
      </w:rPr>
    </w:lvl>
    <w:lvl w:ilvl="4">
      <w:start w:val="1"/>
      <w:numFmt w:val="bullet"/>
      <w:lvlText w:val="o"/>
      <w:lvlJc w:val="start"/>
      <w:pPr>
        <w:tabs>
          <w:tab w:val="num" w:pos="0"/>
        </w:tabs>
        <w:ind w:start="3240" w:hanging="360"/>
      </w:pPr>
      <w:rPr>
        <w:rFonts w:ascii="Courier New" w:hAnsi="Courier New" w:cs="Courier New" w:hint="default"/>
      </w:rPr>
    </w:lvl>
    <w:lvl w:ilvl="5">
      <w:start w:val="1"/>
      <w:numFmt w:val="bullet"/>
      <w:lvlText w:val=""/>
      <w:lvlJc w:val="start"/>
      <w:pPr>
        <w:tabs>
          <w:tab w:val="num" w:pos="0"/>
        </w:tabs>
        <w:ind w:start="3960" w:hanging="360"/>
      </w:pPr>
      <w:rPr>
        <w:rFonts w:ascii="Wingdings" w:hAnsi="Wingdings" w:cs="Wingdings" w:hint="default"/>
      </w:rPr>
    </w:lvl>
    <w:lvl w:ilvl="6">
      <w:start w:val="1"/>
      <w:numFmt w:val="bullet"/>
      <w:lvlText w:val=""/>
      <w:lvlJc w:val="start"/>
      <w:pPr>
        <w:tabs>
          <w:tab w:val="num" w:pos="0"/>
        </w:tabs>
        <w:ind w:start="4680" w:hanging="360"/>
      </w:pPr>
      <w:rPr>
        <w:rFonts w:ascii="Symbol" w:hAnsi="Symbol" w:cs="Symbol" w:hint="default"/>
      </w:rPr>
    </w:lvl>
    <w:lvl w:ilvl="7">
      <w:start w:val="1"/>
      <w:numFmt w:val="bullet"/>
      <w:lvlText w:val="o"/>
      <w:lvlJc w:val="start"/>
      <w:pPr>
        <w:tabs>
          <w:tab w:val="num" w:pos="0"/>
        </w:tabs>
        <w:ind w:start="5400" w:hanging="360"/>
      </w:pPr>
      <w:rPr>
        <w:rFonts w:ascii="Courier New" w:hAnsi="Courier New" w:cs="Courier New" w:hint="default"/>
      </w:rPr>
    </w:lvl>
    <w:lvl w:ilvl="8">
      <w:start w:val="1"/>
      <w:numFmt w:val="bullet"/>
      <w:lvlText w:val=""/>
      <w:lvlJc w:val="start"/>
      <w:pPr>
        <w:tabs>
          <w:tab w:val="num" w:pos="0"/>
        </w:tabs>
        <w:ind w:start="6120" w:hanging="360"/>
      </w:pPr>
      <w:rPr>
        <w:rFonts w:ascii="Wingdings" w:hAnsi="Wingdings" w:cs="Wingdings" w:hint="default"/>
      </w:rPr>
    </w:lvl>
  </w:abstractNum>
  <w:abstractNum w:abstractNumId="17">
    <w:lvl w:ilvl="0">
      <w:start w:val="1"/>
      <w:numFmt w:val="decimal"/>
      <w:lvlText w:val="%1."/>
      <w:lvlJc w:val="start"/>
      <w:pPr>
        <w:tabs>
          <w:tab w:val="num" w:pos="0"/>
        </w:tabs>
        <w:ind w:start="0" w:hanging="360"/>
      </w:pPr>
      <w:rPr>
        <w:b/>
        <w:bCs w:val="false"/>
      </w:rPr>
    </w:lvl>
    <w:lvl w:ilvl="1">
      <w:start w:val="1"/>
      <w:numFmt w:val="lowerLetter"/>
      <w:lvlText w:val="%2."/>
      <w:lvlJc w:val="start"/>
      <w:pPr>
        <w:tabs>
          <w:tab w:val="num" w:pos="0"/>
        </w:tabs>
        <w:ind w:start="720" w:hanging="360"/>
      </w:pPr>
      <w:rPr/>
    </w:lvl>
    <w:lvl w:ilvl="2">
      <w:start w:val="1"/>
      <w:numFmt w:val="lowerRoman"/>
      <w:lvlText w:val="%3."/>
      <w:lvlJc w:val="end"/>
      <w:pPr>
        <w:tabs>
          <w:tab w:val="num" w:pos="0"/>
        </w:tabs>
        <w:ind w:start="1440" w:hanging="180"/>
      </w:pPr>
      <w:rPr/>
    </w:lvl>
    <w:lvl w:ilvl="3">
      <w:start w:val="1"/>
      <w:numFmt w:val="decimal"/>
      <w:lvlText w:val="%4."/>
      <w:lvlJc w:val="start"/>
      <w:pPr>
        <w:tabs>
          <w:tab w:val="num" w:pos="0"/>
        </w:tabs>
        <w:ind w:start="2160" w:hanging="360"/>
      </w:pPr>
      <w:rPr/>
    </w:lvl>
    <w:lvl w:ilvl="4">
      <w:start w:val="1"/>
      <w:numFmt w:val="lowerLetter"/>
      <w:lvlText w:val="%5."/>
      <w:lvlJc w:val="start"/>
      <w:pPr>
        <w:tabs>
          <w:tab w:val="num" w:pos="0"/>
        </w:tabs>
        <w:ind w:start="2880" w:hanging="360"/>
      </w:pPr>
      <w:rPr/>
    </w:lvl>
    <w:lvl w:ilvl="5">
      <w:start w:val="1"/>
      <w:numFmt w:val="lowerRoman"/>
      <w:lvlText w:val="%6."/>
      <w:lvlJc w:val="end"/>
      <w:pPr>
        <w:tabs>
          <w:tab w:val="num" w:pos="0"/>
        </w:tabs>
        <w:ind w:start="3600" w:hanging="180"/>
      </w:pPr>
      <w:rPr/>
    </w:lvl>
    <w:lvl w:ilvl="6">
      <w:start w:val="1"/>
      <w:numFmt w:val="decimal"/>
      <w:lvlText w:val="%7."/>
      <w:lvlJc w:val="start"/>
      <w:pPr>
        <w:tabs>
          <w:tab w:val="num" w:pos="0"/>
        </w:tabs>
        <w:ind w:start="4320" w:hanging="360"/>
      </w:pPr>
      <w:rPr/>
    </w:lvl>
    <w:lvl w:ilvl="7">
      <w:start w:val="1"/>
      <w:numFmt w:val="lowerLetter"/>
      <w:lvlText w:val="%8."/>
      <w:lvlJc w:val="start"/>
      <w:pPr>
        <w:tabs>
          <w:tab w:val="num" w:pos="0"/>
        </w:tabs>
        <w:ind w:start="5040" w:hanging="360"/>
      </w:pPr>
      <w:rPr/>
    </w:lvl>
    <w:lvl w:ilvl="8">
      <w:start w:val="1"/>
      <w:numFmt w:val="lowerRoman"/>
      <w:lvlText w:val="%9."/>
      <w:lvlJc w:val="end"/>
      <w:pPr>
        <w:tabs>
          <w:tab w:val="num" w:pos="0"/>
        </w:tabs>
        <w:ind w:start="5760" w:hanging="180"/>
      </w:pPr>
      <w:rPr/>
    </w:lvl>
  </w:abstractNum>
  <w:abstractNum w:abstractNumId="18">
    <w:lvl w:ilvl="0">
      <w:start w:val="1"/>
      <w:numFmt w:val="decimal"/>
      <w:lvlText w:val="%1."/>
      <w:lvlJc w:val="start"/>
      <w:pPr>
        <w:tabs>
          <w:tab w:val="num" w:pos="0"/>
        </w:tabs>
        <w:ind w:start="0" w:hanging="360"/>
      </w:pPr>
      <w:rPr>
        <w:b/>
        <w:bCs w:val="false"/>
      </w:rPr>
    </w:lvl>
    <w:lvl w:ilvl="1">
      <w:start w:val="1"/>
      <w:numFmt w:val="lowerLetter"/>
      <w:lvlText w:val="%2."/>
      <w:lvlJc w:val="start"/>
      <w:pPr>
        <w:tabs>
          <w:tab w:val="num" w:pos="0"/>
        </w:tabs>
        <w:ind w:start="720" w:hanging="360"/>
      </w:pPr>
      <w:rPr/>
    </w:lvl>
    <w:lvl w:ilvl="2">
      <w:start w:val="1"/>
      <w:numFmt w:val="lowerRoman"/>
      <w:lvlText w:val="%3."/>
      <w:lvlJc w:val="end"/>
      <w:pPr>
        <w:tabs>
          <w:tab w:val="num" w:pos="0"/>
        </w:tabs>
        <w:ind w:start="1440" w:hanging="180"/>
      </w:pPr>
      <w:rPr/>
    </w:lvl>
    <w:lvl w:ilvl="3">
      <w:start w:val="1"/>
      <w:numFmt w:val="decimal"/>
      <w:lvlText w:val="%4."/>
      <w:lvlJc w:val="start"/>
      <w:pPr>
        <w:tabs>
          <w:tab w:val="num" w:pos="0"/>
        </w:tabs>
        <w:ind w:start="2160" w:hanging="360"/>
      </w:pPr>
      <w:rPr/>
    </w:lvl>
    <w:lvl w:ilvl="4">
      <w:start w:val="1"/>
      <w:numFmt w:val="lowerLetter"/>
      <w:lvlText w:val="%5."/>
      <w:lvlJc w:val="start"/>
      <w:pPr>
        <w:tabs>
          <w:tab w:val="num" w:pos="0"/>
        </w:tabs>
        <w:ind w:start="2880" w:hanging="360"/>
      </w:pPr>
      <w:rPr/>
    </w:lvl>
    <w:lvl w:ilvl="5">
      <w:start w:val="1"/>
      <w:numFmt w:val="lowerRoman"/>
      <w:lvlText w:val="%6."/>
      <w:lvlJc w:val="end"/>
      <w:pPr>
        <w:tabs>
          <w:tab w:val="num" w:pos="0"/>
        </w:tabs>
        <w:ind w:start="3600" w:hanging="180"/>
      </w:pPr>
      <w:rPr/>
    </w:lvl>
    <w:lvl w:ilvl="6">
      <w:start w:val="1"/>
      <w:numFmt w:val="decimal"/>
      <w:lvlText w:val="%7."/>
      <w:lvlJc w:val="start"/>
      <w:pPr>
        <w:tabs>
          <w:tab w:val="num" w:pos="0"/>
        </w:tabs>
        <w:ind w:start="4320" w:hanging="360"/>
      </w:pPr>
      <w:rPr/>
    </w:lvl>
    <w:lvl w:ilvl="7">
      <w:start w:val="1"/>
      <w:numFmt w:val="lowerLetter"/>
      <w:lvlText w:val="%8."/>
      <w:lvlJc w:val="start"/>
      <w:pPr>
        <w:tabs>
          <w:tab w:val="num" w:pos="0"/>
        </w:tabs>
        <w:ind w:start="5040" w:hanging="360"/>
      </w:pPr>
      <w:rPr/>
    </w:lvl>
    <w:lvl w:ilvl="8">
      <w:start w:val="1"/>
      <w:numFmt w:val="lowerRoman"/>
      <w:lvlText w:val="%9."/>
      <w:lvlJc w:val="end"/>
      <w:pPr>
        <w:tabs>
          <w:tab w:val="num" w:pos="0"/>
        </w:tabs>
        <w:ind w:start="5760" w:hanging="180"/>
      </w:pPr>
      <w:rPr/>
    </w:lvl>
  </w:abstractNum>
  <w:abstractNum w:abstractNumId="19">
    <w:lvl w:ilvl="0">
      <w:start w:val="1"/>
      <w:numFmt w:val="decimal"/>
      <w:lvlText w:val="%1."/>
      <w:lvlJc w:val="start"/>
      <w:pPr>
        <w:tabs>
          <w:tab w:val="num" w:pos="720"/>
        </w:tabs>
        <w:ind w:start="720" w:hanging="360"/>
      </w:pPr>
      <w:rPr>
        <w:sz w:val="20"/>
      </w:rPr>
    </w:lvl>
    <w:lvl w:ilvl="1">
      <w:start w:val="1"/>
      <w:numFmt w:val="bullet"/>
      <w:lvlText w:val=""/>
      <w:lvlJc w:val="start"/>
      <w:pPr>
        <w:tabs>
          <w:tab w:val="num" w:pos="1440"/>
        </w:tabs>
        <w:ind w:start="1440" w:hanging="360"/>
      </w:pPr>
      <w:rPr>
        <w:rFonts w:ascii="Symbol" w:hAnsi="Symbol" w:cs="Symbol" w:hint="default"/>
        <w:sz w:val="20"/>
      </w:rPr>
    </w:lvl>
    <w:lvl w:ilvl="2">
      <w:start w:val="1"/>
      <w:numFmt w:val="bullet"/>
      <w:lvlText w:val=""/>
      <w:lvlJc w:val="start"/>
      <w:pPr>
        <w:tabs>
          <w:tab w:val="num" w:pos="2160"/>
        </w:tabs>
        <w:ind w:start="2160" w:hanging="360"/>
      </w:pPr>
      <w:rPr>
        <w:rFonts w:ascii="Symbol" w:hAnsi="Symbol" w:cs="Symbol" w:hint="default"/>
        <w:sz w:val="20"/>
      </w:rPr>
    </w:lvl>
    <w:lvl w:ilvl="3">
      <w:start w:val="1"/>
      <w:numFmt w:val="bullet"/>
      <w:lvlText w:val=""/>
      <w:lvlJc w:val="start"/>
      <w:pPr>
        <w:tabs>
          <w:tab w:val="num" w:pos="2880"/>
        </w:tabs>
        <w:ind w:start="2880" w:hanging="360"/>
      </w:pPr>
      <w:rPr>
        <w:rFonts w:ascii="Symbol" w:hAnsi="Symbol" w:cs="Symbol" w:hint="default"/>
        <w:sz w:val="20"/>
      </w:rPr>
    </w:lvl>
    <w:lvl w:ilvl="4">
      <w:start w:val="1"/>
      <w:numFmt w:val="bullet"/>
      <w:lvlText w:val=""/>
      <w:lvlJc w:val="start"/>
      <w:pPr>
        <w:tabs>
          <w:tab w:val="num" w:pos="3600"/>
        </w:tabs>
        <w:ind w:start="3600" w:hanging="360"/>
      </w:pPr>
      <w:rPr>
        <w:rFonts w:ascii="Symbol" w:hAnsi="Symbol" w:cs="Symbol" w:hint="default"/>
        <w:sz w:val="20"/>
      </w:rPr>
    </w:lvl>
    <w:lvl w:ilvl="5">
      <w:start w:val="1"/>
      <w:numFmt w:val="bullet"/>
      <w:lvlText w:val=""/>
      <w:lvlJc w:val="start"/>
      <w:pPr>
        <w:tabs>
          <w:tab w:val="num" w:pos="4320"/>
        </w:tabs>
        <w:ind w:start="4320" w:hanging="360"/>
      </w:pPr>
      <w:rPr>
        <w:rFonts w:ascii="Symbol" w:hAnsi="Symbol" w:cs="Symbol" w:hint="default"/>
        <w:sz w:val="20"/>
      </w:rPr>
    </w:lvl>
    <w:lvl w:ilvl="6">
      <w:start w:val="1"/>
      <w:numFmt w:val="bullet"/>
      <w:lvlText w:val=""/>
      <w:lvlJc w:val="start"/>
      <w:pPr>
        <w:tabs>
          <w:tab w:val="num" w:pos="5040"/>
        </w:tabs>
        <w:ind w:start="5040" w:hanging="360"/>
      </w:pPr>
      <w:rPr>
        <w:rFonts w:ascii="Symbol" w:hAnsi="Symbol" w:cs="Symbol" w:hint="default"/>
        <w:sz w:val="20"/>
      </w:rPr>
    </w:lvl>
    <w:lvl w:ilvl="7">
      <w:start w:val="1"/>
      <w:numFmt w:val="bullet"/>
      <w:lvlText w:val=""/>
      <w:lvlJc w:val="start"/>
      <w:pPr>
        <w:tabs>
          <w:tab w:val="num" w:pos="5760"/>
        </w:tabs>
        <w:ind w:start="5760" w:hanging="360"/>
      </w:pPr>
      <w:rPr>
        <w:rFonts w:ascii="Symbol" w:hAnsi="Symbol" w:cs="Symbol" w:hint="default"/>
        <w:sz w:val="20"/>
      </w:rPr>
    </w:lvl>
    <w:lvl w:ilvl="8">
      <w:start w:val="1"/>
      <w:numFmt w:val="bullet"/>
      <w:lvlText w:val=""/>
      <w:lvlJc w:val="start"/>
      <w:pPr>
        <w:tabs>
          <w:tab w:val="num" w:pos="6480"/>
        </w:tabs>
        <w:ind w:start="6480" w:hanging="360"/>
      </w:pPr>
      <w:rPr>
        <w:rFonts w:ascii="Symbol" w:hAnsi="Symbol" w:cs="Symbol" w:hint="default"/>
        <w:sz w:val="20"/>
      </w:rPr>
    </w:lvl>
  </w:abstractNum>
  <w:abstractNum w:abstractNumId="20">
    <w:lvl w:ilvl="0">
      <w:start w:val="1"/>
      <w:numFmt w:val="bullet"/>
      <w:lvlText w:val="-"/>
      <w:lvlJc w:val="start"/>
      <w:pPr>
        <w:tabs>
          <w:tab w:val="num" w:pos="0"/>
        </w:tabs>
        <w:ind w:start="360" w:hanging="360"/>
      </w:pPr>
      <w:rPr>
        <w:rFonts w:ascii="Aptos" w:hAnsi="Aptos" w:cs="Aptos" w:hint="default"/>
      </w:rPr>
    </w:lvl>
    <w:lvl w:ilvl="1">
      <w:start w:val="1"/>
      <w:numFmt w:val="bullet"/>
      <w:lvlText w:val="o"/>
      <w:lvlJc w:val="start"/>
      <w:pPr>
        <w:tabs>
          <w:tab w:val="num" w:pos="0"/>
        </w:tabs>
        <w:ind w:start="1080" w:hanging="360"/>
      </w:pPr>
      <w:rPr>
        <w:rFonts w:ascii="Courier New" w:hAnsi="Courier New" w:cs="Courier New" w:hint="default"/>
      </w:rPr>
    </w:lvl>
    <w:lvl w:ilvl="2">
      <w:start w:val="1"/>
      <w:numFmt w:val="bullet"/>
      <w:lvlText w:val=""/>
      <w:lvlJc w:val="start"/>
      <w:pPr>
        <w:tabs>
          <w:tab w:val="num" w:pos="0"/>
        </w:tabs>
        <w:ind w:start="1800" w:hanging="360"/>
      </w:pPr>
      <w:rPr>
        <w:rFonts w:ascii="Wingdings" w:hAnsi="Wingdings" w:cs="Wingdings" w:hint="default"/>
      </w:rPr>
    </w:lvl>
    <w:lvl w:ilvl="3">
      <w:start w:val="1"/>
      <w:numFmt w:val="bullet"/>
      <w:lvlText w:val=""/>
      <w:lvlJc w:val="start"/>
      <w:pPr>
        <w:tabs>
          <w:tab w:val="num" w:pos="0"/>
        </w:tabs>
        <w:ind w:start="2520" w:hanging="360"/>
      </w:pPr>
      <w:rPr>
        <w:rFonts w:ascii="Symbol" w:hAnsi="Symbol" w:cs="Symbol" w:hint="default"/>
      </w:rPr>
    </w:lvl>
    <w:lvl w:ilvl="4">
      <w:start w:val="1"/>
      <w:numFmt w:val="bullet"/>
      <w:lvlText w:val="o"/>
      <w:lvlJc w:val="start"/>
      <w:pPr>
        <w:tabs>
          <w:tab w:val="num" w:pos="0"/>
        </w:tabs>
        <w:ind w:start="3240" w:hanging="360"/>
      </w:pPr>
      <w:rPr>
        <w:rFonts w:ascii="Courier New" w:hAnsi="Courier New" w:cs="Courier New" w:hint="default"/>
      </w:rPr>
    </w:lvl>
    <w:lvl w:ilvl="5">
      <w:start w:val="1"/>
      <w:numFmt w:val="bullet"/>
      <w:lvlText w:val=""/>
      <w:lvlJc w:val="start"/>
      <w:pPr>
        <w:tabs>
          <w:tab w:val="num" w:pos="0"/>
        </w:tabs>
        <w:ind w:start="3960" w:hanging="360"/>
      </w:pPr>
      <w:rPr>
        <w:rFonts w:ascii="Wingdings" w:hAnsi="Wingdings" w:cs="Wingdings" w:hint="default"/>
      </w:rPr>
    </w:lvl>
    <w:lvl w:ilvl="6">
      <w:start w:val="1"/>
      <w:numFmt w:val="bullet"/>
      <w:lvlText w:val=""/>
      <w:lvlJc w:val="start"/>
      <w:pPr>
        <w:tabs>
          <w:tab w:val="num" w:pos="0"/>
        </w:tabs>
        <w:ind w:start="4680" w:hanging="360"/>
      </w:pPr>
      <w:rPr>
        <w:rFonts w:ascii="Symbol" w:hAnsi="Symbol" w:cs="Symbol" w:hint="default"/>
      </w:rPr>
    </w:lvl>
    <w:lvl w:ilvl="7">
      <w:start w:val="1"/>
      <w:numFmt w:val="bullet"/>
      <w:lvlText w:val="o"/>
      <w:lvlJc w:val="start"/>
      <w:pPr>
        <w:tabs>
          <w:tab w:val="num" w:pos="0"/>
        </w:tabs>
        <w:ind w:start="5400" w:hanging="360"/>
      </w:pPr>
      <w:rPr>
        <w:rFonts w:ascii="Courier New" w:hAnsi="Courier New" w:cs="Courier New" w:hint="default"/>
      </w:rPr>
    </w:lvl>
    <w:lvl w:ilvl="8">
      <w:start w:val="1"/>
      <w:numFmt w:val="bullet"/>
      <w:lvlText w:val=""/>
      <w:lvlJc w:val="start"/>
      <w:pPr>
        <w:tabs>
          <w:tab w:val="num" w:pos="0"/>
        </w:tabs>
        <w:ind w:start="6120" w:hanging="360"/>
      </w:pPr>
      <w:rPr>
        <w:rFonts w:ascii="Wingdings" w:hAnsi="Wingdings" w:cs="Wingdings" w:hint="default"/>
      </w:rPr>
    </w:lvl>
  </w:abstractNum>
  <w:abstractNum w:abstractNumId="21">
    <w:lvl w:ilvl="0">
      <w:start w:val="1"/>
      <w:numFmt w:val="bullet"/>
      <w:lvlText w:val="o"/>
      <w:lvlJc w:val="start"/>
      <w:pPr>
        <w:tabs>
          <w:tab w:val="num" w:pos="0"/>
        </w:tabs>
        <w:ind w:start="1800" w:hanging="360"/>
      </w:pPr>
      <w:rPr>
        <w:rFonts w:ascii="Courier New" w:hAnsi="Courier New" w:cs="Courier New" w:hint="default"/>
      </w:rPr>
    </w:lvl>
    <w:lvl w:ilvl="1">
      <w:start w:val="1"/>
      <w:numFmt w:val="bullet"/>
      <w:lvlText w:val="o"/>
      <w:lvlJc w:val="start"/>
      <w:pPr>
        <w:tabs>
          <w:tab w:val="num" w:pos="0"/>
        </w:tabs>
        <w:ind w:start="2520" w:hanging="360"/>
      </w:pPr>
      <w:rPr>
        <w:rFonts w:ascii="Courier New" w:hAnsi="Courier New" w:cs="Courier New" w:hint="default"/>
      </w:rPr>
    </w:lvl>
    <w:lvl w:ilvl="2">
      <w:start w:val="1"/>
      <w:numFmt w:val="bullet"/>
      <w:lvlText w:val=""/>
      <w:lvlJc w:val="start"/>
      <w:pPr>
        <w:tabs>
          <w:tab w:val="num" w:pos="0"/>
        </w:tabs>
        <w:ind w:start="3240" w:hanging="360"/>
      </w:pPr>
      <w:rPr>
        <w:rFonts w:ascii="Wingdings" w:hAnsi="Wingdings" w:cs="Wingdings" w:hint="default"/>
      </w:rPr>
    </w:lvl>
    <w:lvl w:ilvl="3">
      <w:start w:val="1"/>
      <w:numFmt w:val="bullet"/>
      <w:lvlText w:val=""/>
      <w:lvlJc w:val="start"/>
      <w:pPr>
        <w:tabs>
          <w:tab w:val="num" w:pos="0"/>
        </w:tabs>
        <w:ind w:start="3960" w:hanging="360"/>
      </w:pPr>
      <w:rPr>
        <w:rFonts w:ascii="Symbol" w:hAnsi="Symbol" w:cs="Symbol" w:hint="default"/>
      </w:rPr>
    </w:lvl>
    <w:lvl w:ilvl="4">
      <w:start w:val="1"/>
      <w:numFmt w:val="bullet"/>
      <w:lvlText w:val="o"/>
      <w:lvlJc w:val="start"/>
      <w:pPr>
        <w:tabs>
          <w:tab w:val="num" w:pos="0"/>
        </w:tabs>
        <w:ind w:start="4680" w:hanging="360"/>
      </w:pPr>
      <w:rPr>
        <w:rFonts w:ascii="Courier New" w:hAnsi="Courier New" w:cs="Courier New" w:hint="default"/>
      </w:rPr>
    </w:lvl>
    <w:lvl w:ilvl="5">
      <w:start w:val="1"/>
      <w:numFmt w:val="bullet"/>
      <w:lvlText w:val=""/>
      <w:lvlJc w:val="start"/>
      <w:pPr>
        <w:tabs>
          <w:tab w:val="num" w:pos="0"/>
        </w:tabs>
        <w:ind w:start="5400" w:hanging="360"/>
      </w:pPr>
      <w:rPr>
        <w:rFonts w:ascii="Wingdings" w:hAnsi="Wingdings" w:cs="Wingdings" w:hint="default"/>
      </w:rPr>
    </w:lvl>
    <w:lvl w:ilvl="6">
      <w:start w:val="1"/>
      <w:numFmt w:val="bullet"/>
      <w:lvlText w:val=""/>
      <w:lvlJc w:val="start"/>
      <w:pPr>
        <w:tabs>
          <w:tab w:val="num" w:pos="0"/>
        </w:tabs>
        <w:ind w:start="6120" w:hanging="360"/>
      </w:pPr>
      <w:rPr>
        <w:rFonts w:ascii="Symbol" w:hAnsi="Symbol" w:cs="Symbol" w:hint="default"/>
      </w:rPr>
    </w:lvl>
    <w:lvl w:ilvl="7">
      <w:start w:val="1"/>
      <w:numFmt w:val="bullet"/>
      <w:lvlText w:val="o"/>
      <w:lvlJc w:val="start"/>
      <w:pPr>
        <w:tabs>
          <w:tab w:val="num" w:pos="0"/>
        </w:tabs>
        <w:ind w:start="6840" w:hanging="360"/>
      </w:pPr>
      <w:rPr>
        <w:rFonts w:ascii="Courier New" w:hAnsi="Courier New" w:cs="Courier New" w:hint="default"/>
      </w:rPr>
    </w:lvl>
    <w:lvl w:ilvl="8">
      <w:start w:val="1"/>
      <w:numFmt w:val="bullet"/>
      <w:lvlText w:val=""/>
      <w:lvlJc w:val="start"/>
      <w:pPr>
        <w:tabs>
          <w:tab w:val="num" w:pos="0"/>
        </w:tabs>
        <w:ind w:start="7560" w:hanging="360"/>
      </w:pPr>
      <w:rPr>
        <w:rFonts w:ascii="Wingdings" w:hAnsi="Wingdings" w:cs="Wingdings" w:hint="default"/>
      </w:rPr>
    </w:lvl>
  </w:abstractNum>
  <w:abstractNum w:abstractNumId="22">
    <w:lvl w:ilvl="0">
      <w:start w:val="1"/>
      <w:numFmt w:val="bullet"/>
      <w:lvlText w:val=""/>
      <w:lvlJc w:val="start"/>
      <w:pPr>
        <w:tabs>
          <w:tab w:val="num" w:pos="0"/>
        </w:tabs>
        <w:ind w:start="720" w:hanging="360"/>
      </w:pPr>
      <w:rPr>
        <w:rFonts w:ascii="Symbol" w:hAnsi="Symbol" w:cs="Symbol"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abstractNum w:abstractNumId="23">
    <w:lvl w:ilvl="0">
      <w:start w:val="1"/>
      <w:numFmt w:val="bullet"/>
      <w:lvlText w:val="-"/>
      <w:lvlJc w:val="start"/>
      <w:pPr>
        <w:tabs>
          <w:tab w:val="num" w:pos="0"/>
        </w:tabs>
        <w:ind w:start="720" w:hanging="360"/>
      </w:pPr>
      <w:rPr>
        <w:rFonts w:ascii="Aptos" w:hAnsi="Aptos" w:cs="Aptos"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abstractNum w:abstractNumId="24">
    <w:lvl w:ilvl="0">
      <w:start w:val="1"/>
      <w:numFmt w:val="bullet"/>
      <w:lvlText w:val="-"/>
      <w:lvlJc w:val="start"/>
      <w:pPr>
        <w:tabs>
          <w:tab w:val="num" w:pos="0"/>
        </w:tabs>
        <w:ind w:start="720" w:hanging="360"/>
      </w:pPr>
      <w:rPr>
        <w:rFonts w:ascii="Aptos" w:hAnsi="Aptos" w:cs="Aptos"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abstractNum w:abstractNumId="25">
    <w:lvl w:ilvl="0">
      <w:start w:val="1"/>
      <w:numFmt w:val="bullet"/>
      <w:lvlText w:val="-"/>
      <w:lvlJc w:val="start"/>
      <w:pPr>
        <w:tabs>
          <w:tab w:val="num" w:pos="0"/>
        </w:tabs>
        <w:ind w:start="720" w:hanging="360"/>
      </w:pPr>
      <w:rPr>
        <w:rFonts w:ascii="Aptos" w:hAnsi="Aptos" w:cs="Aptos"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abstractNum w:abstractNumId="26">
    <w:lvl w:ilvl="0">
      <w:start w:val="1"/>
      <w:numFmt w:val="bullet"/>
      <w:lvlText w:val="o"/>
      <w:lvlJc w:val="start"/>
      <w:pPr>
        <w:tabs>
          <w:tab w:val="num" w:pos="0"/>
        </w:tabs>
        <w:ind w:start="720" w:hanging="360"/>
      </w:pPr>
      <w:rPr>
        <w:rFonts w:ascii="Courier New" w:hAnsi="Courier New" w:cs="Courier New"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abstractNum w:abstractNumId="27">
    <w:lvl w:ilvl="0">
      <w:start w:val="1"/>
      <w:numFmt w:val="bullet"/>
      <w:lvlText w:val="-"/>
      <w:lvlJc w:val="start"/>
      <w:pPr>
        <w:tabs>
          <w:tab w:val="num" w:pos="0"/>
        </w:tabs>
        <w:ind w:start="720" w:hanging="360"/>
      </w:pPr>
      <w:rPr>
        <w:rFonts w:ascii="Aptos" w:hAnsi="Aptos" w:cs="Aptos"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abstractNum w:abstractNumId="28">
    <w:lvl w:ilvl="0">
      <w:start w:val="1"/>
      <w:numFmt w:val="bullet"/>
      <w:lvlText w:val=""/>
      <w:lvlJc w:val="start"/>
      <w:pPr>
        <w:tabs>
          <w:tab w:val="num" w:pos="0"/>
        </w:tabs>
        <w:ind w:start="720" w:hanging="360"/>
      </w:pPr>
      <w:rPr>
        <w:rFonts w:ascii="Symbol" w:hAnsi="Symbol" w:cs="Symbol"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abstractNum w:abstractNumId="29">
    <w:lvl w:ilvl="0">
      <w:start w:val="1"/>
      <w:numFmt w:val="bullet"/>
      <w:lvlText w:val=""/>
      <w:lvlJc w:val="start"/>
      <w:pPr>
        <w:tabs>
          <w:tab w:val="num" w:pos="0"/>
        </w:tabs>
        <w:ind w:start="1080" w:hanging="360"/>
      </w:pPr>
      <w:rPr>
        <w:rFonts w:ascii="Symbol" w:hAnsi="Symbol" w:cs="Symbol" w:hint="default"/>
      </w:rPr>
    </w:lvl>
    <w:lvl w:ilvl="1">
      <w:start w:val="1"/>
      <w:numFmt w:val="bullet"/>
      <w:lvlText w:val="o"/>
      <w:lvlJc w:val="start"/>
      <w:pPr>
        <w:tabs>
          <w:tab w:val="num" w:pos="0"/>
        </w:tabs>
        <w:ind w:start="1800" w:hanging="360"/>
      </w:pPr>
      <w:rPr>
        <w:rFonts w:ascii="Courier New" w:hAnsi="Courier New" w:cs="Courier New" w:hint="default"/>
      </w:rPr>
    </w:lvl>
    <w:lvl w:ilvl="2">
      <w:start w:val="1"/>
      <w:numFmt w:val="bullet"/>
      <w:lvlText w:val=""/>
      <w:lvlJc w:val="start"/>
      <w:pPr>
        <w:tabs>
          <w:tab w:val="num" w:pos="0"/>
        </w:tabs>
        <w:ind w:start="2520" w:hanging="360"/>
      </w:pPr>
      <w:rPr>
        <w:rFonts w:ascii="Wingdings" w:hAnsi="Wingdings" w:cs="Wingdings" w:hint="default"/>
      </w:rPr>
    </w:lvl>
    <w:lvl w:ilvl="3">
      <w:start w:val="1"/>
      <w:numFmt w:val="bullet"/>
      <w:lvlText w:val=""/>
      <w:lvlJc w:val="start"/>
      <w:pPr>
        <w:tabs>
          <w:tab w:val="num" w:pos="0"/>
        </w:tabs>
        <w:ind w:start="3240" w:hanging="360"/>
      </w:pPr>
      <w:rPr>
        <w:rFonts w:ascii="Symbol" w:hAnsi="Symbol" w:cs="Symbol" w:hint="default"/>
      </w:rPr>
    </w:lvl>
    <w:lvl w:ilvl="4">
      <w:start w:val="1"/>
      <w:numFmt w:val="bullet"/>
      <w:lvlText w:val="o"/>
      <w:lvlJc w:val="start"/>
      <w:pPr>
        <w:tabs>
          <w:tab w:val="num" w:pos="0"/>
        </w:tabs>
        <w:ind w:start="3960" w:hanging="360"/>
      </w:pPr>
      <w:rPr>
        <w:rFonts w:ascii="Courier New" w:hAnsi="Courier New" w:cs="Courier New" w:hint="default"/>
      </w:rPr>
    </w:lvl>
    <w:lvl w:ilvl="5">
      <w:start w:val="1"/>
      <w:numFmt w:val="bullet"/>
      <w:lvlText w:val=""/>
      <w:lvlJc w:val="start"/>
      <w:pPr>
        <w:tabs>
          <w:tab w:val="num" w:pos="0"/>
        </w:tabs>
        <w:ind w:start="4680" w:hanging="360"/>
      </w:pPr>
      <w:rPr>
        <w:rFonts w:ascii="Wingdings" w:hAnsi="Wingdings" w:cs="Wingdings" w:hint="default"/>
      </w:rPr>
    </w:lvl>
    <w:lvl w:ilvl="6">
      <w:start w:val="1"/>
      <w:numFmt w:val="bullet"/>
      <w:lvlText w:val=""/>
      <w:lvlJc w:val="start"/>
      <w:pPr>
        <w:tabs>
          <w:tab w:val="num" w:pos="0"/>
        </w:tabs>
        <w:ind w:start="5400" w:hanging="360"/>
      </w:pPr>
      <w:rPr>
        <w:rFonts w:ascii="Symbol" w:hAnsi="Symbol" w:cs="Symbol" w:hint="default"/>
      </w:rPr>
    </w:lvl>
    <w:lvl w:ilvl="7">
      <w:start w:val="1"/>
      <w:numFmt w:val="bullet"/>
      <w:lvlText w:val="o"/>
      <w:lvlJc w:val="start"/>
      <w:pPr>
        <w:tabs>
          <w:tab w:val="num" w:pos="0"/>
        </w:tabs>
        <w:ind w:start="6120" w:hanging="360"/>
      </w:pPr>
      <w:rPr>
        <w:rFonts w:ascii="Courier New" w:hAnsi="Courier New" w:cs="Courier New" w:hint="default"/>
      </w:rPr>
    </w:lvl>
    <w:lvl w:ilvl="8">
      <w:start w:val="1"/>
      <w:numFmt w:val="bullet"/>
      <w:lvlText w:val=""/>
      <w:lvlJc w:val="start"/>
      <w:pPr>
        <w:tabs>
          <w:tab w:val="num" w:pos="0"/>
        </w:tabs>
        <w:ind w:start="6840" w:hanging="360"/>
      </w:pPr>
      <w:rPr>
        <w:rFonts w:ascii="Wingdings" w:hAnsi="Wingdings" w:cs="Wingdings" w:hint="default"/>
      </w:rPr>
    </w:lvl>
  </w:abstractNum>
  <w:abstractNum w:abstractNumId="30">
    <w:lvl w:ilvl="0">
      <w:start w:val="1"/>
      <w:numFmt w:val="bullet"/>
      <w:lvlText w:val="-"/>
      <w:lvlJc w:val="start"/>
      <w:pPr>
        <w:tabs>
          <w:tab w:val="num" w:pos="0"/>
        </w:tabs>
        <w:ind w:start="720" w:hanging="360"/>
      </w:pPr>
      <w:rPr>
        <w:rFonts w:ascii="Aptos" w:hAnsi="Aptos" w:cs="Aptos"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abstractNum w:abstractNumId="31">
    <w:lvl w:ilvl="0">
      <w:start w:val="1"/>
      <w:numFmt w:val="bullet"/>
      <w:lvlText w:val=""/>
      <w:lvlJc w:val="start"/>
      <w:pPr>
        <w:tabs>
          <w:tab w:val="num" w:pos="0"/>
        </w:tabs>
        <w:ind w:start="720" w:hanging="360"/>
      </w:pPr>
      <w:rPr>
        <w:rFonts w:ascii="Symbol" w:hAnsi="Symbol" w:cs="Symbol"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abstractNum w:abstractNumId="32">
    <w:lvl w:ilvl="0">
      <w:start w:val="1"/>
      <w:numFmt w:val="bullet"/>
      <w:lvlText w:val=""/>
      <w:lvlJc w:val="start"/>
      <w:pPr>
        <w:tabs>
          <w:tab w:val="num" w:pos="0"/>
        </w:tabs>
        <w:ind w:start="360" w:hanging="360"/>
      </w:pPr>
      <w:rPr>
        <w:rFonts w:ascii="Symbol" w:hAnsi="Symbol" w:cs="Symbol" w:hint="default"/>
      </w:rPr>
    </w:lvl>
    <w:lvl w:ilvl="1">
      <w:start w:val="1"/>
      <w:numFmt w:val="bullet"/>
      <w:lvlText w:val="o"/>
      <w:lvlJc w:val="start"/>
      <w:pPr>
        <w:tabs>
          <w:tab w:val="num" w:pos="0"/>
        </w:tabs>
        <w:ind w:start="1080" w:hanging="360"/>
      </w:pPr>
      <w:rPr>
        <w:rFonts w:ascii="Courier New" w:hAnsi="Courier New" w:cs="Courier New" w:hint="default"/>
      </w:rPr>
    </w:lvl>
    <w:lvl w:ilvl="2">
      <w:start w:val="1"/>
      <w:numFmt w:val="bullet"/>
      <w:lvlText w:val=""/>
      <w:lvlJc w:val="start"/>
      <w:pPr>
        <w:tabs>
          <w:tab w:val="num" w:pos="0"/>
        </w:tabs>
        <w:ind w:start="1800" w:hanging="360"/>
      </w:pPr>
      <w:rPr>
        <w:rFonts w:ascii="Wingdings" w:hAnsi="Wingdings" w:cs="Wingdings" w:hint="default"/>
      </w:rPr>
    </w:lvl>
    <w:lvl w:ilvl="3">
      <w:start w:val="1"/>
      <w:numFmt w:val="bullet"/>
      <w:lvlText w:val=""/>
      <w:lvlJc w:val="start"/>
      <w:pPr>
        <w:tabs>
          <w:tab w:val="num" w:pos="0"/>
        </w:tabs>
        <w:ind w:start="2520" w:hanging="360"/>
      </w:pPr>
      <w:rPr>
        <w:rFonts w:ascii="Symbol" w:hAnsi="Symbol" w:cs="Symbol" w:hint="default"/>
      </w:rPr>
    </w:lvl>
    <w:lvl w:ilvl="4">
      <w:start w:val="1"/>
      <w:numFmt w:val="bullet"/>
      <w:lvlText w:val="o"/>
      <w:lvlJc w:val="start"/>
      <w:pPr>
        <w:tabs>
          <w:tab w:val="num" w:pos="0"/>
        </w:tabs>
        <w:ind w:start="3240" w:hanging="360"/>
      </w:pPr>
      <w:rPr>
        <w:rFonts w:ascii="Courier New" w:hAnsi="Courier New" w:cs="Courier New" w:hint="default"/>
      </w:rPr>
    </w:lvl>
    <w:lvl w:ilvl="5">
      <w:start w:val="1"/>
      <w:numFmt w:val="bullet"/>
      <w:lvlText w:val=""/>
      <w:lvlJc w:val="start"/>
      <w:pPr>
        <w:tabs>
          <w:tab w:val="num" w:pos="0"/>
        </w:tabs>
        <w:ind w:start="3960" w:hanging="360"/>
      </w:pPr>
      <w:rPr>
        <w:rFonts w:ascii="Wingdings" w:hAnsi="Wingdings" w:cs="Wingdings" w:hint="default"/>
      </w:rPr>
    </w:lvl>
    <w:lvl w:ilvl="6">
      <w:start w:val="1"/>
      <w:numFmt w:val="bullet"/>
      <w:lvlText w:val=""/>
      <w:lvlJc w:val="start"/>
      <w:pPr>
        <w:tabs>
          <w:tab w:val="num" w:pos="0"/>
        </w:tabs>
        <w:ind w:start="4680" w:hanging="360"/>
      </w:pPr>
      <w:rPr>
        <w:rFonts w:ascii="Symbol" w:hAnsi="Symbol" w:cs="Symbol" w:hint="default"/>
      </w:rPr>
    </w:lvl>
    <w:lvl w:ilvl="7">
      <w:start w:val="1"/>
      <w:numFmt w:val="bullet"/>
      <w:lvlText w:val="o"/>
      <w:lvlJc w:val="start"/>
      <w:pPr>
        <w:tabs>
          <w:tab w:val="num" w:pos="0"/>
        </w:tabs>
        <w:ind w:start="5400" w:hanging="360"/>
      </w:pPr>
      <w:rPr>
        <w:rFonts w:ascii="Courier New" w:hAnsi="Courier New" w:cs="Courier New" w:hint="default"/>
      </w:rPr>
    </w:lvl>
    <w:lvl w:ilvl="8">
      <w:start w:val="1"/>
      <w:numFmt w:val="bullet"/>
      <w:lvlText w:val=""/>
      <w:lvlJc w:val="start"/>
      <w:pPr>
        <w:tabs>
          <w:tab w:val="num" w:pos="0"/>
        </w:tabs>
        <w:ind w:start="6120" w:hanging="360"/>
      </w:pPr>
      <w:rPr>
        <w:rFonts w:ascii="Wingdings" w:hAnsi="Wingdings" w:cs="Wingdings" w:hint="default"/>
      </w:rPr>
    </w:lvl>
  </w:abstractNum>
  <w:abstractNum w:abstractNumId="33">
    <w:lvl w:ilvl="0">
      <w:start w:val="1"/>
      <w:numFmt w:val="bullet"/>
      <w:lvlText w:val="-"/>
      <w:lvlJc w:val="start"/>
      <w:pPr>
        <w:tabs>
          <w:tab w:val="num" w:pos="0"/>
        </w:tabs>
        <w:ind w:start="720" w:hanging="360"/>
      </w:pPr>
      <w:rPr>
        <w:rFonts w:ascii="Dubai" w:hAnsi="Dubai" w:cs="Dubai"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18"/>
    <w:lvlOverride w:ilvl="0">
      <w:startOverride w:val="1"/>
    </w:lvlOverride>
  </w:num>
  <w:num w:numId="35">
    <w:abstractNumId w:val="18"/>
    <w:lvlOverride w:ilvl="0">
      <w:startOverride w:val="1"/>
    </w:lvlOverride>
  </w:num>
  <w:num w:numId="36">
    <w:abstractNumId w:val="18"/>
  </w:num>
  <w:num w:numId="37">
    <w:abstractNumId w:val="18"/>
  </w:num>
  <w:num w:numId="38">
    <w:abstractNumId w:val="18"/>
  </w:num>
  <w:num w:numId="39">
    <w:abstractNumId w:val="18"/>
  </w:num>
  <w:num w:numId="40">
    <w:abstractNumId w:val="18"/>
  </w:num>
  <w:num w:numId="41">
    <w:abstractNumId w:val="18"/>
  </w:num>
  <w:num w:numId="42">
    <w:abstractNumId w:val="18"/>
  </w:num>
  <w:num w:numId="43">
    <w:abstractNumId w:val="18"/>
  </w:num>
  <w:num w:numId="44">
    <w:abstractNumId w:val="18"/>
  </w:num>
  <w:num w:numId="45">
    <w:abstractNumId w:val="18"/>
  </w:num>
  <w:num w:numId="46">
    <w:abstractNumId w:val="18"/>
  </w:num>
  <w:num w:numId="47">
    <w:abstractNumId w:val="18"/>
  </w:num>
  <w:num w:numId="48">
    <w:abstractNumId w:val="18"/>
  </w:num>
  <w:num w:numId="49">
    <w:abstractNumId w:val="18"/>
  </w:num>
  <w:num w:numId="50">
    <w:abstractNumId w:val="18"/>
  </w:num>
  <w:num w:numId="51">
    <w:abstractNumId w:val="18"/>
  </w:num>
  <w:num w:numId="52">
    <w:abstractNumId w:val="18"/>
  </w:num>
  <w:num w:numId="53">
    <w:abstractNumId w:val="18"/>
  </w:num>
  <w:num w:numId="54">
    <w:abstractNumId w:val="18"/>
  </w:num>
  <w:num w:numId="55">
    <w:abstractNumId w:val="18"/>
  </w:num>
  <w:num w:numId="56">
    <w:abstractNumId w:val="18"/>
  </w:num>
  <w:num w:numId="57">
    <w:abstractNumId w:val="18"/>
  </w:num>
  <w:num w:numId="58">
    <w:abstractNumId w:val="18"/>
  </w:num>
  <w:num w:numId="59">
    <w:abstractNumId w:val="18"/>
  </w:num>
  <w:num w:numId="60">
    <w:abstractNumId w:val="18"/>
  </w:num>
  <w:num w:numId="61">
    <w:abstractNumId w:val="18"/>
  </w:num>
  <w:num w:numId="62">
    <w:abstractNumId w:val="18"/>
  </w:num>
  <w:num w:numId="63">
    <w:abstractNumId w:val="18"/>
  </w:num>
  <w:num w:numId="64">
    <w:abstractNumId w:val="18"/>
  </w:num>
  <w:num w:numId="65">
    <w:abstractNumId w:val="18"/>
  </w:num>
  <w:num w:numId="66">
    <w:abstractNumId w:val="18"/>
  </w:num>
  <w:num w:numId="67">
    <w:abstractNumId w:val="18"/>
  </w:num>
  <w:num w:numId="68">
    <w:abstractNumId w:val="18"/>
  </w:num>
  <w:num w:numId="69">
    <w:abstractNumId w:val="18"/>
  </w:num>
  <w:num w:numId="70">
    <w:abstractNumId w:val="18"/>
  </w:num>
  <w:num w:numId="71">
    <w:abstractNumId w:val="18"/>
  </w:num>
  <w:num w:numId="72">
    <w:abstractNumId w:val="18"/>
  </w:num>
  <w:num w:numId="73">
    <w:abstractNumId w:val="18"/>
  </w:num>
  <w:num w:numId="74">
    <w:abstractNumId w:val="18"/>
  </w:num>
  <w:num w:numId="75">
    <w:abstractNumId w:val="18"/>
  </w:num>
  <w:num w:numId="76">
    <w:abstractNumId w:val="18"/>
  </w:num>
</w:numbering>
</file>

<file path=word/settings.xml><?xml version="1.0" encoding="utf-8"?>
<w:settings xmlns:w="http://schemas.openxmlformats.org/wordprocessingml/2006/main">
  <w:zoom w:percent="100"/>
  <w:embedTrueTypeFonts/>
  <w:defaultTabStop w:val="720"/>
  <w:autoHyphenation w:val="true"/>
  <w:hyphenationZone w:val="425"/>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en-US" w:eastAsia="" w:bidi="ar-SA"/>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Arial" w:asciiTheme="minorHAnsi" w:cstheme="minorBidi" w:eastAsiaTheme="minorHAnsi" w:hAnsiTheme="minorHAnsi"/>
        <w:sz w:val="22"/>
        <w:szCs w:val="22"/>
        <w:lang w:val="en-US"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94797c"/>
    <w:pPr>
      <w:widowControl/>
      <w:suppressAutoHyphens w:val="true"/>
      <w:bidi w:val="0"/>
      <w:spacing w:before="0" w:after="0"/>
      <w:jc w:val="start"/>
    </w:pPr>
    <w:rPr>
      <w:rFonts w:ascii="Dubai" w:hAnsi="Dubai" w:eastAsia="Times New Roman" w:cs="Dubai Light"/>
      <w:color w:val="auto"/>
      <w:kern w:val="0"/>
      <w:sz w:val="24"/>
      <w:szCs w:val="24"/>
      <w:lang w:val="en-US" w:eastAsia="en-US" w:bidi="ar-SA"/>
    </w:rPr>
  </w:style>
  <w:style w:type="paragraph" w:styleId="Heading1">
    <w:name w:val="heading 1"/>
    <w:basedOn w:val="Normal"/>
    <w:next w:val="BodyText"/>
    <w:link w:val="Heading1Char"/>
    <w:uiPriority w:val="9"/>
    <w:qFormat/>
    <w:pPr>
      <w:numPr>
        <w:ilvl w:val="0"/>
        <w:numId w:val="1"/>
      </w:numPr>
      <w:spacing w:before="0" w:after="0"/>
      <w:ind w:hanging="357" w:start="357"/>
      <w:contextualSpacing/>
      <w:outlineLvl w:val="0"/>
    </w:pPr>
    <w:rPr>
      <w:rFonts w:cs="Dubai"/>
      <w:b/>
      <w:bCs/>
      <w:sz w:val="28"/>
      <w:szCs w:val="28"/>
    </w:rPr>
  </w:style>
  <w:style w:type="paragraph" w:styleId="Heading2">
    <w:name w:val="heading 2"/>
    <w:basedOn w:val="Heading1"/>
    <w:next w:val="BodyText"/>
    <w:link w:val="Heading2Char"/>
    <w:uiPriority w:val="9"/>
    <w:unhideWhenUsed/>
    <w:qFormat/>
    <w:pPr>
      <w:numPr>
        <w:ilvl w:val="1"/>
        <w:numId w:val="1"/>
      </w:numPr>
      <w:ind w:hanging="578" w:start="578"/>
      <w:outlineLvl w:val="1"/>
    </w:pPr>
    <w:rPr>
      <w:b w:val="false"/>
      <w:bCs w:val="false"/>
      <w:sz w:val="26"/>
      <w:szCs w:val="26"/>
    </w:rPr>
  </w:style>
  <w:style w:type="paragraph" w:styleId="Heading3">
    <w:name w:val="heading 3"/>
    <w:basedOn w:val="Heading2"/>
    <w:next w:val="BodyText"/>
    <w:link w:val="Heading3Char"/>
    <w:uiPriority w:val="9"/>
    <w:unhideWhenUsed/>
    <w:qFormat/>
    <w:pPr>
      <w:keepNext w:val="true"/>
      <w:keepLines/>
      <w:numPr>
        <w:ilvl w:val="2"/>
        <w:numId w:val="1"/>
      </w:numPr>
      <w:spacing w:before="120" w:after="120"/>
      <w:ind w:hanging="578" w:start="720"/>
      <w:contextualSpacing/>
      <w:outlineLvl w:val="2"/>
    </w:pPr>
    <w:rPr>
      <w:rFonts w:eastAsia="" w:eastAsiaTheme="majorEastAsia"/>
      <w:color w:themeColor="text1" w:val="000000"/>
      <w:sz w:val="24"/>
      <w:szCs w:val="24"/>
    </w:rPr>
  </w:style>
  <w:style w:type="paragraph" w:styleId="Heading4">
    <w:name w:val="heading 4"/>
    <w:basedOn w:val="Heading3"/>
    <w:next w:val="Normal"/>
    <w:link w:val="Heading4Char"/>
    <w:uiPriority w:val="9"/>
    <w:unhideWhenUsed/>
    <w:qFormat/>
    <w:pPr>
      <w:numPr>
        <w:ilvl w:val="3"/>
        <w:numId w:val="1"/>
      </w:numPr>
      <w:ind w:hanging="862" w:start="862"/>
      <w:outlineLvl w:val="3"/>
    </w:pPr>
    <w:rPr/>
  </w:style>
  <w:style w:type="paragraph" w:styleId="Heading5">
    <w:name w:val="heading 5"/>
    <w:basedOn w:val="Heading4"/>
    <w:next w:val="BodyText"/>
    <w:link w:val="Heading5Char"/>
    <w:uiPriority w:val="9"/>
    <w:unhideWhenUsed/>
    <w:qFormat/>
    <w:pPr>
      <w:numPr>
        <w:ilvl w:val="4"/>
        <w:numId w:val="1"/>
      </w:numPr>
      <w:spacing w:before="40" w:after="120"/>
      <w:ind w:hanging="1009" w:start="1009"/>
      <w:contextualSpacing/>
      <w:outlineLvl w:val="4"/>
    </w:pPr>
    <w:rPr/>
  </w:style>
  <w:style w:type="paragraph" w:styleId="Heading6">
    <w:name w:val="heading 6"/>
    <w:basedOn w:val="Heading5"/>
    <w:next w:val="Normal"/>
    <w:link w:val="Heading6Char"/>
    <w:uiPriority w:val="9"/>
    <w:unhideWhenUsed/>
    <w:qFormat/>
    <w:pPr>
      <w:numPr>
        <w:ilvl w:val="5"/>
        <w:numId w:val="1"/>
      </w:numPr>
      <w:ind w:hanging="1151" w:start="1151"/>
      <w:outlineLvl w:val="5"/>
    </w:pPr>
    <w:rPr>
      <w:color w:val="auto"/>
    </w:rPr>
  </w:style>
  <w:style w:type="paragraph" w:styleId="Heading7">
    <w:name w:val="heading 7"/>
    <w:basedOn w:val="Normal"/>
    <w:next w:val="Normal"/>
    <w:link w:val="Heading7Char"/>
    <w:uiPriority w:val="9"/>
    <w:unhideWhenUsed/>
    <w:qFormat/>
    <w:pPr>
      <w:keepNext w:val="true"/>
      <w:keepLines/>
      <w:numPr>
        <w:ilvl w:val="6"/>
        <w:numId w:val="1"/>
      </w:numPr>
      <w:spacing w:before="40" w:after="0"/>
      <w:ind w:hanging="1298" w:start="1298"/>
      <w:outlineLvl w:val="6"/>
    </w:pPr>
    <w:rPr>
      <w:rFonts w:eastAsia="" w:cs="Dubai" w:eastAsiaTheme="majorEastAsia"/>
      <w:i/>
      <w:iCs/>
    </w:rPr>
  </w:style>
  <w:style w:type="paragraph" w:styleId="Heading8">
    <w:name w:val="heading 8"/>
    <w:basedOn w:val="Heading7"/>
    <w:next w:val="BodyText"/>
    <w:link w:val="Heading8Char"/>
    <w:uiPriority w:val="9"/>
    <w:semiHidden/>
    <w:unhideWhenUsed/>
    <w:qFormat/>
    <w:pPr>
      <w:numPr>
        <w:ilvl w:val="7"/>
        <w:numId w:val="1"/>
      </w:numPr>
      <w:ind w:hanging="1298" w:start="1440"/>
      <w:outlineLvl w:val="7"/>
    </w:pPr>
    <w:rPr>
      <w:color w:themeColor="text1" w:themeTint="d8" w:val="272727"/>
      <w:sz w:val="21"/>
      <w:szCs w:val="21"/>
    </w:rPr>
  </w:style>
  <w:style w:type="paragraph" w:styleId="Heading9">
    <w:name w:val="heading 9"/>
    <w:basedOn w:val="Normal"/>
    <w:next w:val="Normal"/>
    <w:link w:val="Heading9Char"/>
    <w:uiPriority w:val="9"/>
    <w:semiHidden/>
    <w:unhideWhenUsed/>
    <w:qFormat/>
    <w:pPr>
      <w:keepNext w:val="true"/>
      <w:keepLines/>
      <w:numPr>
        <w:ilvl w:val="8"/>
        <w:numId w:val="1"/>
      </w:numPr>
      <w:tabs>
        <w:tab w:val="clear" w:pos="720"/>
      </w:tabs>
      <w:spacing w:before="40" w:after="0"/>
      <w:ind w:hanging="360" w:start="6480"/>
      <w:outlineLvl w:val="8"/>
    </w:pPr>
    <w:rPr>
      <w:rFonts w:ascii="Calibri Light" w:hAnsi="Calibri Light" w:eastAsia="" w:cs="Times New Roman" w:asciiTheme="majorHAnsi" w:cstheme="majorBidi" w:eastAsiaTheme="majorEastAsia" w:hAnsiTheme="majorHAnsi"/>
      <w:i/>
      <w:iCs/>
      <w:color w:themeColor="text1" w:themeTint="d8" w:val="272727"/>
      <w:sz w:val="21"/>
      <w:szCs w:val="21"/>
    </w:rPr>
  </w:style>
  <w:style w:type="character" w:styleId="DefaultParagraphFont" w:default="1">
    <w:name w:val="Default Paragraph Font"/>
    <w:uiPriority w:val="1"/>
    <w:semiHidden/>
    <w:unhideWhenUsed/>
    <w:qFormat/>
    <w:rPr/>
  </w:style>
  <w:style w:type="character" w:styleId="FooterChar" w:customStyle="1">
    <w:name w:val="Footer Char"/>
    <w:basedOn w:val="DefaultParagraphFont"/>
    <w:link w:val="Footer"/>
    <w:uiPriority w:val="99"/>
    <w:qFormat/>
    <w:rPr>
      <w:rFonts w:ascii="Dubai" w:hAnsi="Dubai" w:eastAsia="Times New Roman" w:cs="Dubai Light"/>
      <w:sz w:val="20"/>
      <w:szCs w:val="20"/>
    </w:rPr>
  </w:style>
  <w:style w:type="character" w:styleId="BodyTextChar" w:customStyle="1">
    <w:name w:val="Body Text Char"/>
    <w:basedOn w:val="DefaultParagraphFont"/>
    <w:uiPriority w:val="99"/>
    <w:qFormat/>
    <w:rPr>
      <w:rFonts w:ascii="Dubai" w:hAnsi="Dubai" w:eastAsia="Times New Roman" w:cs="Dubai"/>
      <w:sz w:val="24"/>
      <w:szCs w:val="24"/>
    </w:rPr>
  </w:style>
  <w:style w:type="character" w:styleId="BalloonTextChar" w:customStyle="1">
    <w:name w:val="Balloon Text Char"/>
    <w:basedOn w:val="DefaultParagraphFont"/>
    <w:link w:val="BalloonText"/>
    <w:uiPriority w:val="99"/>
    <w:semiHidden/>
    <w:qFormat/>
    <w:rPr>
      <w:rFonts w:ascii="Segoe UI" w:hAnsi="Segoe UI" w:cs="Segoe UI"/>
      <w:sz w:val="18"/>
      <w:szCs w:val="18"/>
    </w:rPr>
  </w:style>
  <w:style w:type="character" w:styleId="Heading1Char" w:customStyle="1">
    <w:name w:val="Heading 1 Char"/>
    <w:basedOn w:val="DefaultParagraphFont"/>
    <w:link w:val="Heading1"/>
    <w:uiPriority w:val="9"/>
    <w:qFormat/>
    <w:rPr>
      <w:rFonts w:ascii="Dubai" w:hAnsi="Dubai" w:eastAsia="Times New Roman" w:cs="Dubai"/>
      <w:b/>
      <w:bCs/>
      <w:sz w:val="28"/>
      <w:szCs w:val="28"/>
    </w:rPr>
  </w:style>
  <w:style w:type="character" w:styleId="Heading2Char" w:customStyle="1">
    <w:name w:val="Heading 2 Char"/>
    <w:basedOn w:val="DefaultParagraphFont"/>
    <w:link w:val="Heading2"/>
    <w:uiPriority w:val="9"/>
    <w:qFormat/>
    <w:rPr>
      <w:rFonts w:ascii="Dubai" w:hAnsi="Dubai" w:eastAsia="Times New Roman" w:cs="Dubai"/>
      <w:sz w:val="26"/>
      <w:szCs w:val="26"/>
    </w:rPr>
  </w:style>
  <w:style w:type="character" w:styleId="Heading3Char" w:customStyle="1">
    <w:name w:val="Heading 3 Char"/>
    <w:basedOn w:val="DefaultParagraphFont"/>
    <w:link w:val="Heading3"/>
    <w:uiPriority w:val="9"/>
    <w:qFormat/>
    <w:rPr>
      <w:rFonts w:ascii="Dubai" w:hAnsi="Dubai" w:eastAsia="" w:cs="Dubai" w:eastAsiaTheme="majorEastAsia"/>
      <w:color w:themeColor="text1" w:val="000000"/>
      <w:sz w:val="24"/>
      <w:szCs w:val="24"/>
    </w:rPr>
  </w:style>
  <w:style w:type="character" w:styleId="Heading4Char" w:customStyle="1">
    <w:name w:val="Heading 4 Char"/>
    <w:basedOn w:val="DefaultParagraphFont"/>
    <w:link w:val="Heading4"/>
    <w:uiPriority w:val="9"/>
    <w:qFormat/>
    <w:rPr>
      <w:rFonts w:ascii="Dubai" w:hAnsi="Dubai" w:eastAsia="" w:cs="Dubai" w:eastAsiaTheme="majorEastAsia"/>
      <w:color w:themeColor="text1" w:val="000000"/>
      <w:sz w:val="24"/>
      <w:szCs w:val="24"/>
    </w:rPr>
  </w:style>
  <w:style w:type="character" w:styleId="Heading5Char" w:customStyle="1">
    <w:name w:val="Heading 5 Char"/>
    <w:basedOn w:val="DefaultParagraphFont"/>
    <w:link w:val="Heading5"/>
    <w:uiPriority w:val="9"/>
    <w:qFormat/>
    <w:rPr>
      <w:rFonts w:ascii="Dubai" w:hAnsi="Dubai" w:eastAsia="" w:cs="Dubai" w:eastAsiaTheme="majorEastAsia"/>
      <w:color w:themeColor="text1" w:val="000000"/>
      <w:sz w:val="24"/>
      <w:szCs w:val="24"/>
    </w:rPr>
  </w:style>
  <w:style w:type="character" w:styleId="Heading6Char" w:customStyle="1">
    <w:name w:val="Heading 6 Char"/>
    <w:basedOn w:val="DefaultParagraphFont"/>
    <w:link w:val="Heading6"/>
    <w:uiPriority w:val="9"/>
    <w:qFormat/>
    <w:rPr>
      <w:rFonts w:ascii="Dubai" w:hAnsi="Dubai" w:eastAsia="" w:cs="Dubai" w:eastAsiaTheme="majorEastAsia"/>
      <w:sz w:val="24"/>
      <w:szCs w:val="24"/>
    </w:rPr>
  </w:style>
  <w:style w:type="character" w:styleId="Heading7Char" w:customStyle="1">
    <w:name w:val="Heading 7 Char"/>
    <w:basedOn w:val="DefaultParagraphFont"/>
    <w:link w:val="Heading7"/>
    <w:uiPriority w:val="9"/>
    <w:qFormat/>
    <w:rPr>
      <w:rFonts w:ascii="Dubai" w:hAnsi="Dubai" w:eastAsia="" w:cs="Dubai" w:eastAsiaTheme="majorEastAsia"/>
      <w:i/>
      <w:iCs/>
      <w:sz w:val="24"/>
      <w:szCs w:val="24"/>
    </w:rPr>
  </w:style>
  <w:style w:type="character" w:styleId="Heading8Char" w:customStyle="1">
    <w:name w:val="Heading 8 Char"/>
    <w:basedOn w:val="DefaultParagraphFont"/>
    <w:link w:val="Heading8"/>
    <w:uiPriority w:val="9"/>
    <w:semiHidden/>
    <w:qFormat/>
    <w:rPr>
      <w:rFonts w:ascii="Dubai" w:hAnsi="Dubai" w:eastAsia="" w:cs="Dubai" w:eastAsiaTheme="majorEastAsia"/>
      <w:i/>
      <w:iCs/>
      <w:color w:themeColor="text1" w:themeTint="d8" w:val="272727"/>
      <w:sz w:val="21"/>
      <w:szCs w:val="21"/>
    </w:rPr>
  </w:style>
  <w:style w:type="character" w:styleId="Heading9Char" w:customStyle="1">
    <w:name w:val="Heading 9 Char"/>
    <w:basedOn w:val="DefaultParagraphFont"/>
    <w:link w:val="Heading9"/>
    <w:uiPriority w:val="9"/>
    <w:semiHidden/>
    <w:qFormat/>
    <w:rPr>
      <w:rFonts w:ascii="Calibri Light" w:hAnsi="Calibri Light" w:eastAsia="" w:cs="Times New Roman" w:asciiTheme="majorHAnsi" w:cstheme="majorBidi" w:eastAsiaTheme="majorEastAsia" w:hAnsiTheme="majorHAnsi"/>
      <w:i/>
      <w:iCs/>
      <w:color w:themeColor="text1" w:themeTint="d8" w:val="272727"/>
      <w:sz w:val="21"/>
      <w:szCs w:val="21"/>
    </w:rPr>
  </w:style>
  <w:style w:type="character" w:styleId="Strong">
    <w:name w:val="Strong"/>
    <w:basedOn w:val="DefaultParagraphFont"/>
    <w:uiPriority w:val="22"/>
    <w:qFormat/>
    <w:rPr>
      <w:b/>
      <w:bCs/>
    </w:rPr>
  </w:style>
  <w:style w:type="character" w:styleId="HeaderChar" w:customStyle="1">
    <w:name w:val="Header Char"/>
    <w:basedOn w:val="DefaultParagraphFont"/>
    <w:link w:val="Header"/>
    <w:uiPriority w:val="99"/>
    <w:qFormat/>
    <w:rPr>
      <w:rFonts w:ascii="Dubai" w:hAnsi="Dubai" w:eastAsia="Times New Roman" w:cs="Dubai"/>
      <w:sz w:val="24"/>
      <w:szCs w:val="24"/>
    </w:rPr>
  </w:style>
  <w:style w:type="character" w:styleId="ui-provider" w:customStyle="1">
    <w:name w:val="ui-provider"/>
    <w:basedOn w:val="DefaultParagraphFont"/>
    <w:qFormat/>
    <w:rsid w:val="007d1667"/>
    <w:rPr/>
  </w:style>
  <w:style w:type="character" w:styleId="ListParagraphChar" w:customStyle="1">
    <w:name w:val="List Paragraph Char"/>
    <w:basedOn w:val="DefaultParagraphFont"/>
    <w:link w:val="ListParagraph"/>
    <w:uiPriority w:val="34"/>
    <w:qFormat/>
    <w:rsid w:val="005f40f9"/>
    <w:rPr>
      <w:rFonts w:ascii="Arial" w:hAnsi="Arial" w:eastAsia="MS Mincho" w:cs="Times New Roman"/>
      <w:sz w:val="20"/>
      <w:szCs w:val="20"/>
      <w:lang w:val="en-GB"/>
    </w:rPr>
  </w:style>
  <w:style w:type="character" w:styleId="CommentReference">
    <w:name w:val="annotation reference"/>
    <w:basedOn w:val="DefaultParagraphFont"/>
    <w:uiPriority w:val="99"/>
    <w:semiHidden/>
    <w:unhideWhenUsed/>
    <w:qFormat/>
    <w:rsid w:val="00f67cd4"/>
    <w:rPr>
      <w:sz w:val="16"/>
      <w:szCs w:val="16"/>
    </w:rPr>
  </w:style>
  <w:style w:type="character" w:styleId="CommentTextChar" w:customStyle="1">
    <w:name w:val="Comment Text Char"/>
    <w:basedOn w:val="DefaultParagraphFont"/>
    <w:link w:val="CommentText"/>
    <w:uiPriority w:val="99"/>
    <w:qFormat/>
    <w:rsid w:val="00f67cd4"/>
    <w:rPr>
      <w:rFonts w:ascii="Dubai" w:hAnsi="Dubai" w:eastAsia="Times New Roman" w:cs="Dubai Light"/>
      <w:sz w:val="20"/>
      <w:szCs w:val="20"/>
    </w:rPr>
  </w:style>
  <w:style w:type="character" w:styleId="CommentSubjectChar" w:customStyle="1">
    <w:name w:val="Comment Subject Char"/>
    <w:basedOn w:val="CommentTextChar"/>
    <w:link w:val="annotationsubject"/>
    <w:uiPriority w:val="99"/>
    <w:semiHidden/>
    <w:qFormat/>
    <w:rsid w:val="00f67cd4"/>
    <w:rPr>
      <w:rFonts w:ascii="Dubai" w:hAnsi="Dubai" w:eastAsia="Times New Roman" w:cs="Dubai Light"/>
      <w:b/>
      <w:bCs/>
      <w:sz w:val="20"/>
      <w:szCs w:val="20"/>
    </w:rPr>
  </w:style>
  <w:style w:type="paragraph" w:styleId="Heading" w:customStyle="1">
    <w:name w:val="Heading"/>
    <w:basedOn w:val="Normal"/>
    <w:next w:val="BodyText"/>
    <w:qFormat/>
    <w:pPr>
      <w:keepNext w:val="true"/>
      <w:spacing w:before="240" w:after="120"/>
    </w:pPr>
    <w:rPr>
      <w:rFonts w:ascii="Liberation Sans" w:hAnsi="Liberation Sans" w:eastAsia="Microsoft YaHei" w:cs="Arial"/>
      <w:sz w:val="28"/>
      <w:szCs w:val="28"/>
    </w:rPr>
  </w:style>
  <w:style w:type="paragraph" w:styleId="BodyText">
    <w:name w:val="Body Text"/>
    <w:basedOn w:val="Normal"/>
    <w:link w:val="BodyTextChar"/>
    <w:uiPriority w:val="99"/>
    <w:unhideWhenUsed/>
    <w:pPr/>
    <w:rPr>
      <w:rFonts w:cs="Dubai"/>
    </w:rPr>
  </w:style>
  <w:style w:type="paragraph" w:styleId="List">
    <w:name w:val="List"/>
    <w:basedOn w:val="BodyText"/>
    <w:pPr/>
    <w:rPr>
      <w:rFonts w:cs="Arial"/>
    </w:rPr>
  </w:style>
  <w:style w:type="paragraph" w:styleId="Caption">
    <w:name w:val="caption"/>
    <w:basedOn w:val="Normal"/>
    <w:qFormat/>
    <w:pPr>
      <w:suppressLineNumbers/>
      <w:spacing w:before="120" w:after="120"/>
    </w:pPr>
    <w:rPr>
      <w:rFonts w:cs="Arial"/>
      <w:i/>
      <w:iCs/>
    </w:rPr>
  </w:style>
  <w:style w:type="paragraph" w:styleId="Index" w:customStyle="1">
    <w:name w:val="Index"/>
    <w:basedOn w:val="Normal"/>
    <w:qFormat/>
    <w:pPr>
      <w:suppressLineNumbers/>
    </w:pPr>
    <w:rPr>
      <w:rFonts w:cs="Arial"/>
    </w:rPr>
  </w:style>
  <w:style w:type="paragraph" w:styleId="HeaderandFooter" w:customStyle="1">
    <w:name w:val="Header and Footer"/>
    <w:basedOn w:val="Normal"/>
    <w:qFormat/>
    <w:pPr/>
    <w:rPr/>
  </w:style>
  <w:style w:type="paragraph" w:styleId="Footer">
    <w:name w:val="footer"/>
    <w:basedOn w:val="Normal"/>
    <w:link w:val="FooterChar"/>
    <w:uiPriority w:val="99"/>
    <w:unhideWhenUsed/>
    <w:pPr>
      <w:tabs>
        <w:tab w:val="clear" w:pos="720"/>
        <w:tab w:val="right" w:pos="3673" w:leader="none"/>
      </w:tabs>
      <w:jc w:val="end"/>
    </w:pPr>
    <w:rPr>
      <w:sz w:val="20"/>
      <w:szCs w:val="20"/>
    </w:rPr>
  </w:style>
  <w:style w:type="paragraph" w:styleId="TableText" w:customStyle="1">
    <w:name w:val="Table Text"/>
    <w:qFormat/>
    <w:pPr>
      <w:widowControl/>
      <w:suppressAutoHyphens w:val="true"/>
      <w:bidi w:val="0"/>
      <w:spacing w:before="0" w:after="0"/>
      <w:jc w:val="start"/>
    </w:pPr>
    <w:rPr>
      <w:rFonts w:ascii="Dubai" w:hAnsi="Dubai" w:cs="Dubai" w:eastAsia="Calibri" w:eastAsiaTheme="minorHAnsi"/>
      <w:color w:val="auto"/>
      <w:kern w:val="0"/>
      <w:sz w:val="22"/>
      <w:szCs w:val="22"/>
      <w:lang w:val="en-US" w:eastAsia="en-US" w:bidi="ar-SA"/>
    </w:rPr>
  </w:style>
  <w:style w:type="paragraph" w:styleId="FormTitleHeader" w:customStyle="1">
    <w:name w:val="Form Title Header"/>
    <w:basedOn w:val="Normal"/>
    <w:qFormat/>
    <w:pPr/>
    <w:rPr>
      <w:rFonts w:cs="Dubai"/>
      <w:b/>
      <w:sz w:val="32"/>
      <w:szCs w:val="32"/>
    </w:rPr>
  </w:style>
  <w:style w:type="paragraph" w:styleId="TableTextBullet" w:customStyle="1">
    <w:name w:val="Table Text Bullet"/>
    <w:qFormat/>
    <w:pPr>
      <w:widowControl/>
      <w:numPr>
        <w:ilvl w:val="0"/>
        <w:numId w:val="16"/>
      </w:numPr>
      <w:suppressAutoHyphens w:val="true"/>
      <w:bidi w:val="0"/>
      <w:spacing w:before="0" w:after="0"/>
      <w:jc w:val="start"/>
    </w:pPr>
    <w:rPr>
      <w:rFonts w:ascii="Dubai" w:hAnsi="Dubai" w:cs="Dubai" w:eastAsia="Calibri" w:eastAsiaTheme="minorHAnsi"/>
      <w:color w:val="auto"/>
      <w:kern w:val="0"/>
      <w:sz w:val="22"/>
      <w:szCs w:val="22"/>
      <w:lang w:val="en-US" w:eastAsia="en-US" w:bidi="ar-SA"/>
    </w:rPr>
  </w:style>
  <w:style w:type="paragraph" w:styleId="BalloonText">
    <w:name w:val="Balloon Text"/>
    <w:basedOn w:val="Normal"/>
    <w:link w:val="BalloonTextChar"/>
    <w:uiPriority w:val="99"/>
    <w:semiHidden/>
    <w:unhideWhenUsed/>
    <w:qFormat/>
    <w:pPr/>
    <w:rPr>
      <w:rFonts w:ascii="Segoe UI" w:hAnsi="Segoe UI" w:cs="Segoe UI"/>
      <w:sz w:val="18"/>
      <w:szCs w:val="18"/>
    </w:rPr>
  </w:style>
  <w:style w:type="paragraph" w:styleId="ListParagraphBullet" w:customStyle="1">
    <w:name w:val="List Paragraph Bullet"/>
    <w:basedOn w:val="Normal"/>
    <w:qFormat/>
    <w:pPr>
      <w:numPr>
        <w:ilvl w:val="0"/>
        <w:numId w:val="15"/>
      </w:numPr>
      <w:spacing w:before="0" w:after="120"/>
    </w:pPr>
    <w:rPr>
      <w:rFonts w:eastAsia="" w:cs="Dubai" w:eastAsiaTheme="minorEastAsia"/>
      <w:sz w:val="22"/>
      <w:szCs w:val="22"/>
    </w:rPr>
  </w:style>
  <w:style w:type="paragraph" w:styleId="TableLineNumbering" w:customStyle="1">
    <w:name w:val="Table Line Numbering"/>
    <w:basedOn w:val="Normal"/>
    <w:qFormat/>
    <w:pPr>
      <w:numPr>
        <w:ilvl w:val="0"/>
        <w:numId w:val="18"/>
      </w:numPr>
    </w:pPr>
    <w:rPr>
      <w:rFonts w:cs="Dubai"/>
      <w:b/>
      <w:sz w:val="20"/>
      <w:szCs w:val="20"/>
    </w:rPr>
  </w:style>
  <w:style w:type="paragraph" w:styleId="TableField" w:customStyle="1">
    <w:name w:val="Table Field"/>
    <w:basedOn w:val="Normal"/>
    <w:qFormat/>
    <w:pPr>
      <w:tabs>
        <w:tab w:val="clear" w:pos="720"/>
        <w:tab w:val="left" w:pos="847" w:leader="none"/>
      </w:tabs>
      <w:jc w:val="end"/>
    </w:pPr>
    <w:rPr>
      <w:rFonts w:cs="Dubai"/>
      <w:b/>
      <w:sz w:val="22"/>
      <w:szCs w:val="22"/>
    </w:rPr>
  </w:style>
  <w:style w:type="paragraph" w:styleId="TableHeader" w:customStyle="1">
    <w:name w:val="Table Header"/>
    <w:basedOn w:val="Normal"/>
    <w:qFormat/>
    <w:pPr>
      <w:jc w:val="center"/>
    </w:pPr>
    <w:rPr>
      <w:rFonts w:cs="Dubai"/>
      <w:b/>
      <w:sz w:val="22"/>
      <w:szCs w:val="22"/>
    </w:rPr>
  </w:style>
  <w:style w:type="paragraph" w:styleId="Header">
    <w:name w:val="header"/>
    <w:basedOn w:val="Normal"/>
    <w:link w:val="HeaderChar"/>
    <w:uiPriority w:val="99"/>
    <w:unhideWhenUsed/>
    <w:pPr>
      <w:tabs>
        <w:tab w:val="clear" w:pos="720"/>
        <w:tab w:val="center" w:pos="4680" w:leader="none"/>
        <w:tab w:val="right" w:pos="9360" w:leader="none"/>
      </w:tabs>
    </w:pPr>
    <w:rPr>
      <w:rFonts w:cs="Dubai"/>
    </w:rPr>
  </w:style>
  <w:style w:type="paragraph" w:styleId="paragraph" w:customStyle="1">
    <w:name w:val="paragraph"/>
    <w:basedOn w:val="Normal"/>
    <w:qFormat/>
    <w:rsid w:val="007d1667"/>
    <w:pPr>
      <w:suppressAutoHyphens w:val="false"/>
      <w:spacing w:beforeAutospacing="1" w:afterAutospacing="1"/>
    </w:pPr>
    <w:rPr>
      <w:rFonts w:ascii="Times New Roman" w:hAnsi="Times New Roman" w:cs="Times New Roman"/>
      <w:lang w:val="zh-CN" w:eastAsia="zh-CN"/>
    </w:rPr>
  </w:style>
  <w:style w:type="paragraph" w:styleId="ListParagraph">
    <w:name w:val="List Paragraph"/>
    <w:basedOn w:val="Normal"/>
    <w:link w:val="ListParagraphChar"/>
    <w:uiPriority w:val="34"/>
    <w:qFormat/>
    <w:rsid w:val="00143a59"/>
    <w:pPr>
      <w:suppressAutoHyphens w:val="false"/>
      <w:spacing w:before="120" w:after="120"/>
      <w:ind w:start="720"/>
      <w:contextualSpacing/>
    </w:pPr>
    <w:rPr>
      <w:rFonts w:ascii="Arial" w:hAnsi="Arial" w:eastAsia="MS Mincho" w:cs="Times New Roman"/>
      <w:sz w:val="20"/>
      <w:szCs w:val="20"/>
      <w:lang w:val="en-GB"/>
    </w:rPr>
  </w:style>
  <w:style w:type="paragraph" w:styleId="Revision">
    <w:name w:val="Revision"/>
    <w:uiPriority w:val="99"/>
    <w:semiHidden/>
    <w:qFormat/>
    <w:rsid w:val="00dd392d"/>
    <w:pPr>
      <w:widowControl/>
      <w:suppressAutoHyphens w:val="false"/>
      <w:bidi w:val="0"/>
      <w:spacing w:before="0" w:after="0"/>
      <w:jc w:val="start"/>
    </w:pPr>
    <w:rPr>
      <w:rFonts w:ascii="Dubai" w:hAnsi="Dubai" w:eastAsia="Times New Roman" w:cs="Dubai Light"/>
      <w:color w:val="auto"/>
      <w:kern w:val="0"/>
      <w:sz w:val="24"/>
      <w:szCs w:val="24"/>
      <w:lang w:val="en-US" w:eastAsia="en-US" w:bidi="ar-SA"/>
    </w:rPr>
  </w:style>
  <w:style w:type="paragraph" w:styleId="NormalWeb">
    <w:name w:val="Normal (Web)"/>
    <w:basedOn w:val="Normal"/>
    <w:uiPriority w:val="99"/>
    <w:semiHidden/>
    <w:unhideWhenUsed/>
    <w:qFormat/>
    <w:rsid w:val="007625b8"/>
    <w:pPr/>
    <w:rPr>
      <w:rFonts w:ascii="Times New Roman" w:hAnsi="Times New Roman" w:cs="Times New Roman"/>
    </w:rPr>
  </w:style>
  <w:style w:type="paragraph" w:styleId="CommentText">
    <w:name w:val="annotation text"/>
    <w:basedOn w:val="Normal"/>
    <w:link w:val="CommentTextChar"/>
    <w:uiPriority w:val="99"/>
    <w:unhideWhenUsed/>
    <w:rsid w:val="00f67cd4"/>
    <w:pPr/>
    <w:rPr>
      <w:sz w:val="20"/>
      <w:szCs w:val="20"/>
    </w:rPr>
  </w:style>
  <w:style w:type="paragraph" w:styleId="annotationsubject">
    <w:name w:val="annotation subject"/>
    <w:basedOn w:val="CommentText"/>
    <w:next w:val="CommentText"/>
    <w:link w:val="CommentSubjectChar"/>
    <w:uiPriority w:val="99"/>
    <w:semiHidden/>
    <w:unhideWhenUsed/>
    <w:qFormat/>
    <w:rsid w:val="00f67cd4"/>
    <w:pPr/>
    <w:rPr>
      <w:b/>
      <w:bCs/>
    </w:rPr>
  </w:style>
  <w:style w:type="paragraph" w:styleId="FrameContents">
    <w:name w:val="Frame Contents"/>
    <w:basedOn w:val="Normal"/>
    <w:qFormat/>
    <w:pPr/>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 w:type="table" w:styleId="TableGrid">
    <w:name w:val="Table Grid"/>
    <w:basedOn w:val="TableNormal"/>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eader" Target="header1.xml"/><Relationship Id="rId3" Type="http://schemas.openxmlformats.org/officeDocument/2006/relationships/header" Target="header2.xml"/><Relationship Id="rId4" Type="http://schemas.openxmlformats.org/officeDocument/2006/relationships/header" Target="header3.xml"/><Relationship Id="rId5" Type="http://schemas.openxmlformats.org/officeDocument/2006/relationships/footer" Target="footer1.xml"/><Relationship Id="rId6" Type="http://schemas.openxmlformats.org/officeDocument/2006/relationships/footer" Target="footer2.xml"/><Relationship Id="rId7" Type="http://schemas.openxmlformats.org/officeDocument/2006/relationships/footer" Target="footer3.xml"/><Relationship Id="rId8" Type="http://schemas.openxmlformats.org/officeDocument/2006/relationships/numbering" Target="numbering.xml"/><Relationship Id="rId9" Type="http://schemas.openxmlformats.org/officeDocument/2006/relationships/fontTable" Target="fontTable.xml"/><Relationship Id="rId10" Type="http://schemas.openxmlformats.org/officeDocument/2006/relationships/settings" Target="settings.xml"/><Relationship Id="rId11" Type="http://schemas.openxmlformats.org/officeDocument/2006/relationships/theme" Target="theme/theme1.xml"/><Relationship Id="rId12" Type="http://schemas.openxmlformats.org/officeDocument/2006/relationships/customXml" Target="../customXml/item1.xml"/><Relationship Id="rId13" Type="http://schemas.openxmlformats.org/officeDocument/2006/relationships/customXml" Target="../customXml/item2.xml"/><Relationship Id="rId14" Type="http://schemas.openxmlformats.org/officeDocument/2006/relationships/customXml" Target="../customXml/item3.xml"/><Relationship Id="rId15" Type="http://schemas.openxmlformats.org/officeDocument/2006/relationships/customXml" Target="../customXml/item4.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Relationship Id="rId28" Type="http://schemas.openxmlformats.org/officeDocument/2006/relationships/font" Target="fonts/font28.odttf"/><Relationship Id="rId29" Type="http://schemas.openxmlformats.org/officeDocument/2006/relationships/font" Target="fonts/font29.odttf"/><Relationship Id="rId30" Type="http://schemas.openxmlformats.org/officeDocument/2006/relationships/font" Target="fonts/font30.odttf"/><Relationship Id="rId31" Type="http://schemas.openxmlformats.org/officeDocument/2006/relationships/font" Target="fonts/font31.odttf"/><Relationship Id="rId32" Type="http://schemas.openxmlformats.org/officeDocument/2006/relationships/font" Target="fonts/font32.odttf"/><Relationship Id="rId33" Type="http://schemas.openxmlformats.org/officeDocument/2006/relationships/font" Target="fonts/font33.odttf"/>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pitchFamily="0" charset="1"/>
        <a:ea typeface=""/>
        <a:cs typeface=""/>
      </a:majorFont>
      <a:minorFont>
        <a:latin typeface="Calibri" panose="020F050202020403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_rels/item2.xml.rels><?xml version="1.0" encoding="UTF-8"?>
<Relationships xmlns="http://schemas.openxmlformats.org/package/2006/relationships"><Relationship Id="rId1" Type="http://schemas.openxmlformats.org/officeDocument/2006/relationships/customXmlProps" Target="itemProps2.xml"/>
</Relationships>
</file>

<file path=customXml/_rels/item3.xml.rels><?xml version="1.0" encoding="UTF-8"?>
<Relationships xmlns="http://schemas.openxmlformats.org/package/2006/relationships"><Relationship Id="rId1" Type="http://schemas.openxmlformats.org/officeDocument/2006/relationships/customXmlProps" Target="itemProps3.xml"/>
</Relationships>
</file>

<file path=customXml/_rels/item4.xml.rels><?xml version="1.0" encoding="UTF-8"?>
<Relationships xmlns="http://schemas.openxmlformats.org/package/2006/relationships"><Relationship Id="rId1" Type="http://schemas.openxmlformats.org/officeDocument/2006/relationships/customXmlProps" Target="itemProps4.xml"/>
</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1C57C319D0B4E44EB5795FE23B178816" ma:contentTypeVersion="19" ma:contentTypeDescription="Crear nuevo documento." ma:contentTypeScope="" ma:versionID="2793ddde03420c56ee31f297cf438b57">
  <xsd:schema xmlns:xsd="http://www.w3.org/2001/XMLSchema" xmlns:xs="http://www.w3.org/2001/XMLSchema" xmlns:p="http://schemas.microsoft.com/office/2006/metadata/properties" xmlns:ns2="7f421d51-8cb7-4933-8f8c-b29ca1bb0f2d" xmlns:ns3="35292387-c82d-42b0-aa63-d250780c73c2" targetNamespace="http://schemas.microsoft.com/office/2006/metadata/properties" ma:root="true" ma:fieldsID="3a4b7a7b6c2a3e9b81abbdae99c2ef41" ns2:_="" ns3:_="">
    <xsd:import namespace="7f421d51-8cb7-4933-8f8c-b29ca1bb0f2d"/>
    <xsd:import namespace="35292387-c82d-42b0-aa63-d250780c73c2"/>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OCR" minOccurs="0"/>
                <xsd:element ref="ns2:MediaServiceDateTaken" minOccurs="0"/>
                <xsd:element ref="ns2:_Flow_SignoffStatus" minOccurs="0"/>
                <xsd:element ref="ns2:MediaServiceObjectDetectorVersions" minOccurs="0"/>
                <xsd:element ref="ns2:MediaLengthInSeconds" minOccurs="0"/>
                <xsd:element ref="ns2:MediaServiceLocation"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f421d51-8cb7-4933-8f8c-b29ca1bb0f2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Etiquetas de imagen" ma:readOnly="false" ma:fieldId="{5cf76f15-5ced-4ddc-b409-7134ff3c332f}" ma:taxonomyMulti="true" ma:sspId="64c05725-b570-4336-96bd-411e578e91fe"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_Flow_SignoffStatus" ma:index="21" nillable="true" ma:displayName="Estado de aprobación" ma:internalName="Estado_x0020_de_x0020_aprobaci_x00f3_n">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Location" ma:index="24" nillable="true" ma:displayName="Location" ma:indexed="true" ma:internalName="MediaServiceLocation"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5292387-c82d-42b0-aa63-d250780c73c2"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13d88ae-d93f-4b9c-b631-773db87661b6}" ma:internalName="TaxCatchAll" ma:showField="CatchAllData" ma:web="35292387-c82d-42b0-aa63-d250780c73c2">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f421d51-8cb7-4933-8f8c-b29ca1bb0f2d">
      <Terms xmlns="http://schemas.microsoft.com/office/infopath/2007/PartnerControls"/>
    </lcf76f155ced4ddcb4097134ff3c332f>
    <TaxCatchAll xmlns="35292387-c82d-42b0-aa63-d250780c73c2" xsi:nil="true"/>
    <_Flow_SignoffStatus xmlns="7f421d51-8cb7-4933-8f8c-b29ca1bb0f2d"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85A4C74-1CCB-42D2-94E1-62FC33A07BC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f421d51-8cb7-4933-8f8c-b29ca1bb0f2d"/>
    <ds:schemaRef ds:uri="35292387-c82d-42b0-aa63-d250780c73c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E6ED230-E0F0-42B3-B1C7-BF99D0EFB34F}">
  <ds:schemaRefs>
    <ds:schemaRef ds:uri="http://schemas.microsoft.com/office/2006/metadata/properties"/>
    <ds:schemaRef ds:uri="http://schemas.microsoft.com/office/infopath/2007/PartnerControls"/>
    <ds:schemaRef ds:uri="7f421d51-8cb7-4933-8f8c-b29ca1bb0f2d"/>
    <ds:schemaRef ds:uri="35292387-c82d-42b0-aa63-d250780c73c2"/>
  </ds:schemaRefs>
</ds:datastoreItem>
</file>

<file path=customXml/itemProps3.xml><?xml version="1.0" encoding="utf-8"?>
<ds:datastoreItem xmlns:ds="http://schemas.openxmlformats.org/officeDocument/2006/customXml" ds:itemID="{4BA15F53-CFC3-4E05-AF9B-FEA93585D78E}">
  <ds:schemaRefs>
    <ds:schemaRef ds:uri="http://schemas.openxmlformats.org/officeDocument/2006/bibliography"/>
  </ds:schemaRefs>
</ds:datastoreItem>
</file>

<file path=customXml/itemProps4.xml><?xml version="1.0" encoding="utf-8"?>
<ds:datastoreItem xmlns:ds="http://schemas.openxmlformats.org/officeDocument/2006/customXml" ds:itemID="{301E536D-9A95-4E72-99B6-B2970AE0545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616</TotalTime>
  <Application>LibreOfficeDev/26.2.0.0.alpha0$Windows_X86_64 LibreOffice_project/6faa7e6f7bae3e6a613b4f4b7cee4a9c6d2b7aae</Application>
  <AppVersion>15.0000</AppVersion>
  <Pages>28</Pages>
  <Words>5434</Words>
  <Characters>27265</Characters>
  <CharactersWithSpaces>31659</CharactersWithSpaces>
  <Paragraphs>1128</Paragraphs>
  <Company>Etihad Rail PJSC</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2025-03-21T14:16:00Z</dcterms:created>
  <dc:creator>Ayesha AlRamsi</dc:creator>
  <dc:description/>
  <dc:language>en-US</dc:language>
  <cp:lastModifiedBy/>
  <dcterms:modified xsi:type="dcterms:W3CDTF">2025-06-27T13:46:53Z</dcterms:modified>
  <cp:revision>1073</cp:revision>
  <dc:subject/>
  <dc:title>Minutes of Meeting Form</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0x0101001C57C319D0B4E44EB5795FE23B178816</vt:lpwstr>
  </property>
  <property fmtid="{D5CDD505-2E9C-101B-9397-08002B2CF9AE}" pid="3" name="Doc_Class">
    <vt:lpwstr>Internal</vt:lpwstr>
  </property>
  <property fmtid="{D5CDD505-2E9C-101B-9397-08002B2CF9AE}" pid="4" name="Doc_No">
    <vt:lpwstr>E0000-UAE-GDM-WX-00004</vt:lpwstr>
  </property>
  <property fmtid="{D5CDD505-2E9C-101B-9397-08002B2CF9AE}" pid="5" name="Doc_Title">
    <vt:lpwstr>Minutes of Meeting</vt:lpwstr>
  </property>
  <property fmtid="{D5CDD505-2E9C-101B-9397-08002B2CF9AE}" pid="6" name="MediaServiceImageTags">
    <vt:lpwstr/>
  </property>
  <property fmtid="{D5CDD505-2E9C-101B-9397-08002B2CF9AE}" pid="7" name="Revision">
    <vt:lpwstr>AB</vt:lpwstr>
  </property>
</Properties>
</file>