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Larry Dallman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Accounts Payable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Year-end Accounting Close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ind w:start="900" w:end="720"/>
        <w:jc w:val="both"/>
        <w:rPr>
          <w:rFonts w:ascii="Times New Roman" w:hAnsi="Times New Roman" w:cs="Times New Roman"/>
          <w:sz w:val="22"/>
        </w:rPr>
      </w:pPr>
      <w:r>
        <w:rPr>
          <w:rFonts w:cs="Times New Roman" w:ascii="Times New Roman" w:hAnsi="Times New Roman"/>
          <w:sz w:val="22"/>
        </w:rPr>
        <w:t>Please help us complete an accurate financial closing for the year ending December 31, 2000 by submitting information as follows:</w:t>
      </w:r>
    </w:p>
    <w:p>
      <w:pPr>
        <w:pStyle w:val="Body"/>
        <w:ind w:hanging="922" w:start="900" w:end="720"/>
        <w:jc w:val="both"/>
        <w:rPr>
          <w:rFonts w:ascii="Times New Roman" w:hAnsi="Times New Roman" w:cs="Times New Roman"/>
          <w:sz w:val="22"/>
        </w:rPr>
      </w:pPr>
      <w:r>
        <w:rPr>
          <w:rFonts w:cs="Times New Roman" w:ascii="Times New Roman" w:hAnsi="Times New Roman"/>
          <w:sz w:val="22"/>
        </w:rPr>
      </w:r>
    </w:p>
    <w:p>
      <w:pPr>
        <w:pStyle w:val="Body"/>
        <w:ind w:hanging="922" w:start="900" w:end="720"/>
        <w:jc w:val="both"/>
        <w:rPr/>
      </w:pPr>
      <w:r>
        <w:rPr>
          <w:rFonts w:cs="Times New Roman" w:ascii="Times New Roman" w:hAnsi="Times New Roman"/>
          <w:sz w:val="22"/>
        </w:rPr>
        <w:tab/>
      </w:r>
      <w:r>
        <w:rPr>
          <w:rFonts w:cs="Times New Roman" w:ascii="Times New Roman" w:hAnsi="Times New Roman"/>
          <w:b/>
          <w:sz w:val="22"/>
          <w:u w:val="single"/>
        </w:rPr>
        <w:t>Accounts Payable Information</w:t>
      </w:r>
    </w:p>
    <w:p>
      <w:pPr>
        <w:pStyle w:val="Body"/>
        <w:ind w:hanging="922" w:start="900" w:end="720"/>
        <w:jc w:val="both"/>
        <w:rPr>
          <w:rFonts w:ascii="Times New Roman" w:hAnsi="Times New Roman" w:cs="Times New Roman"/>
          <w:b/>
          <w:sz w:val="22"/>
          <w:u w:val="single"/>
        </w:rPr>
      </w:pPr>
      <w:r>
        <w:rPr>
          <w:rFonts w:cs="Times New Roman" w:ascii="Times New Roman" w:hAnsi="Times New Roman"/>
          <w:b/>
          <w:sz w:val="22"/>
          <w:u w:val="single"/>
        </w:rPr>
      </w:r>
    </w:p>
    <w:p>
      <w:pPr>
        <w:pStyle w:val="Body"/>
        <w:ind w:hanging="922" w:start="900" w:end="720"/>
        <w:jc w:val="both"/>
        <w:rPr>
          <w:rFonts w:ascii="Times New Roman" w:hAnsi="Times New Roman" w:cs="Times New Roman"/>
          <w:sz w:val="22"/>
        </w:rPr>
      </w:pPr>
      <w:r>
        <w:rPr>
          <w:rFonts w:cs="Times New Roman" w:ascii="Times New Roman" w:hAnsi="Times New Roman"/>
          <w:sz w:val="22"/>
        </w:rPr>
        <w:tab/>
        <w:t xml:space="preserve">Send the following documents to Houston Accounts Payable (JF6-585) by whatever method necessary to assure receipt by the dates indicated. </w:t>
      </w:r>
    </w:p>
    <w:p>
      <w:pPr>
        <w:pStyle w:val="Body"/>
        <w:ind w:hanging="922" w:start="900" w:end="720"/>
        <w:jc w:val="both"/>
        <w:rPr>
          <w:rFonts w:ascii="Times New Roman" w:hAnsi="Times New Roman" w:cs="Times New Roman"/>
          <w:sz w:val="22"/>
        </w:rPr>
      </w:pPr>
      <w:r>
        <w:rPr>
          <w:rFonts w:cs="Times New Roman" w:ascii="Times New Roman" w:hAnsi="Times New Roman"/>
          <w:sz w:val="22"/>
        </w:rPr>
      </w:r>
    </w:p>
    <w:p>
      <w:pPr>
        <w:pStyle w:val="Body"/>
        <w:ind w:hanging="922" w:start="900" w:end="720"/>
        <w:jc w:val="both"/>
        <w:rPr/>
      </w:pPr>
      <w:r>
        <w:rPr>
          <w:rFonts w:cs="Times New Roman" w:ascii="Times New Roman" w:hAnsi="Times New Roman"/>
          <w:sz w:val="22"/>
        </w:rPr>
        <w:tab/>
      </w:r>
      <w:r>
        <w:rPr>
          <w:rFonts w:cs="Times New Roman" w:ascii="Times New Roman" w:hAnsi="Times New Roman"/>
          <w:b/>
          <w:sz w:val="22"/>
          <w:u w:val="single"/>
        </w:rPr>
        <w:t>Employee Expense Reports</w:t>
      </w:r>
      <w:r>
        <w:rPr>
          <w:rFonts w:cs="Times New Roman" w:ascii="Times New Roman" w:hAnsi="Times New Roman"/>
          <w:b/>
          <w:sz w:val="22"/>
        </w:rPr>
        <w:t xml:space="preserve">: </w:t>
      </w:r>
      <w:r>
        <w:rPr>
          <w:rFonts w:cs="Times New Roman" w:ascii="Times New Roman" w:hAnsi="Times New Roman"/>
          <w:sz w:val="22"/>
        </w:rPr>
        <w:t>Encourage all employees to submit a final expense report for 2000.  If the expense report is normally processed by Houston Accounts Payable, forward by December 13, 2000.</w:t>
      </w:r>
    </w:p>
    <w:p>
      <w:pPr>
        <w:pStyle w:val="Body"/>
        <w:ind w:hanging="922" w:start="900" w:end="720"/>
        <w:jc w:val="both"/>
        <w:rPr>
          <w:rFonts w:ascii="Times New Roman" w:hAnsi="Times New Roman" w:cs="Times New Roman"/>
          <w:sz w:val="22"/>
        </w:rPr>
      </w:pPr>
      <w:r>
        <w:rPr>
          <w:rFonts w:cs="Times New Roman" w:ascii="Times New Roman" w:hAnsi="Times New Roman"/>
          <w:sz w:val="22"/>
        </w:rPr>
      </w:r>
    </w:p>
    <w:p>
      <w:pPr>
        <w:pStyle w:val="Body"/>
        <w:ind w:hanging="922" w:start="900" w:end="720"/>
        <w:jc w:val="both"/>
        <w:rPr/>
      </w:pPr>
      <w:r>
        <w:rPr>
          <w:rFonts w:cs="Times New Roman" w:ascii="Times New Roman" w:hAnsi="Times New Roman"/>
          <w:sz w:val="22"/>
        </w:rPr>
        <w:tab/>
      </w:r>
      <w:r>
        <w:rPr>
          <w:rFonts w:cs="Times New Roman" w:ascii="Times New Roman" w:hAnsi="Times New Roman"/>
          <w:b/>
          <w:sz w:val="22"/>
          <w:u w:val="single"/>
        </w:rPr>
        <w:t>Field Disbursement Reports</w:t>
      </w:r>
      <w:r>
        <w:rPr>
          <w:rFonts w:cs="Times New Roman" w:ascii="Times New Roman" w:hAnsi="Times New Roman"/>
          <w:b/>
          <w:sz w:val="22"/>
        </w:rPr>
        <w:t xml:space="preserve">: </w:t>
      </w:r>
      <w:r>
        <w:rPr>
          <w:rFonts w:cs="Times New Roman" w:ascii="Times New Roman" w:hAnsi="Times New Roman"/>
          <w:sz w:val="22"/>
        </w:rPr>
        <w:t>For those locations with a manual FDR, please prepare and submit the final FDR for 2000 by December 13, 2000.</w:t>
      </w:r>
    </w:p>
    <w:p>
      <w:pPr>
        <w:pStyle w:val="Body"/>
        <w:ind w:hanging="918" w:start="900" w:end="720"/>
        <w:jc w:val="both"/>
        <w:rPr>
          <w:rFonts w:ascii="Times New Roman" w:hAnsi="Times New Roman" w:cs="Times New Roman"/>
          <w:sz w:val="22"/>
        </w:rPr>
      </w:pPr>
      <w:r>
        <w:rPr>
          <w:rFonts w:cs="Times New Roman" w:ascii="Times New Roman" w:hAnsi="Times New Roman"/>
          <w:sz w:val="22"/>
        </w:rPr>
      </w:r>
    </w:p>
    <w:p>
      <w:pPr>
        <w:pStyle w:val="Body"/>
        <w:ind w:hanging="918" w:start="900" w:end="720"/>
        <w:jc w:val="both"/>
        <w:rPr/>
      </w:pPr>
      <w:r>
        <w:rPr>
          <w:rFonts w:cs="Times New Roman" w:ascii="Times New Roman" w:hAnsi="Times New Roman"/>
          <w:sz w:val="22"/>
        </w:rPr>
        <w:tab/>
      </w:r>
      <w:r>
        <w:rPr>
          <w:rFonts w:cs="Times New Roman" w:ascii="Times New Roman" w:hAnsi="Times New Roman"/>
          <w:b/>
          <w:sz w:val="22"/>
          <w:u w:val="single"/>
        </w:rPr>
        <w:t>Petty Cash Funds</w:t>
      </w:r>
      <w:r>
        <w:rPr>
          <w:rFonts w:cs="Times New Roman" w:ascii="Times New Roman" w:hAnsi="Times New Roman"/>
          <w:b/>
          <w:sz w:val="22"/>
        </w:rPr>
        <w:t xml:space="preserve">: </w:t>
      </w:r>
      <w:r>
        <w:rPr>
          <w:rFonts w:cs="Times New Roman" w:ascii="Times New Roman" w:hAnsi="Times New Roman"/>
          <w:sz w:val="22"/>
        </w:rPr>
        <w:t>Petty cash funds reimbursed locally should be reimbursed as late as possible to ensure December expenses are entered into the SAP system by year-end.</w:t>
      </w:r>
    </w:p>
    <w:p>
      <w:pPr>
        <w:pStyle w:val="Body"/>
        <w:ind w:hanging="918"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pPr>
      <w:r>
        <w:rPr>
          <w:rFonts w:cs="Times New Roman" w:ascii="Times New Roman" w:hAnsi="Times New Roman"/>
          <w:b/>
          <w:sz w:val="22"/>
          <w:u w:val="single"/>
        </w:rPr>
        <w:t>Invoices/Check Requests</w:t>
      </w:r>
      <w:r>
        <w:rPr>
          <w:rFonts w:cs="Times New Roman" w:ascii="Times New Roman" w:hAnsi="Times New Roman"/>
          <w:b/>
          <w:sz w:val="22"/>
        </w:rPr>
        <w:t xml:space="preserve">: </w:t>
      </w:r>
      <w:r>
        <w:rPr>
          <w:rFonts w:cs="Times New Roman" w:ascii="Times New Roman" w:hAnsi="Times New Roman"/>
          <w:sz w:val="22"/>
        </w:rPr>
        <w:t xml:space="preserve">For all invoices normally paid in Houston, forward all unpaid invoices or check requests for services or materials </w:t>
      </w:r>
      <w:r>
        <w:rPr>
          <w:rFonts w:cs="Times New Roman" w:ascii="Times New Roman" w:hAnsi="Times New Roman"/>
          <w:b/>
          <w:sz w:val="22"/>
        </w:rPr>
        <w:t>received</w:t>
      </w:r>
      <w:r>
        <w:rPr>
          <w:rFonts w:cs="Times New Roman" w:ascii="Times New Roman" w:hAnsi="Times New Roman"/>
          <w:sz w:val="22"/>
        </w:rPr>
        <w:t xml:space="preserve"> in 2000 by December 13, 2000.</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b/>
          <w:sz w:val="22"/>
          <w:u w:val="single"/>
        </w:rPr>
        <w:t>Accruals</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pPr>
      <w:r>
        <w:rPr>
          <w:rFonts w:cs="Times New Roman" w:ascii="Times New Roman" w:hAnsi="Times New Roman"/>
          <w:sz w:val="22"/>
        </w:rPr>
        <w:t xml:space="preserve">All materials and/or services exceeding </w:t>
      </w:r>
      <w:r>
        <w:rPr>
          <w:rFonts w:cs="Times New Roman" w:ascii="Times New Roman" w:hAnsi="Times New Roman"/>
          <w:b/>
          <w:sz w:val="22"/>
        </w:rPr>
        <w:t>$25,000</w:t>
      </w:r>
      <w:r>
        <w:rPr>
          <w:rFonts w:cs="Times New Roman" w:ascii="Times New Roman" w:hAnsi="Times New Roman"/>
          <w:sz w:val="22"/>
        </w:rPr>
        <w:t xml:space="preserve"> that were </w:t>
      </w:r>
      <w:r>
        <w:rPr>
          <w:rFonts w:cs="Times New Roman" w:ascii="Times New Roman" w:hAnsi="Times New Roman"/>
          <w:sz w:val="22"/>
          <w:u w:val="single"/>
        </w:rPr>
        <w:t>received in 2000, but not paid for</w:t>
      </w:r>
      <w:r>
        <w:rPr>
          <w:rFonts w:cs="Times New Roman" w:ascii="Times New Roman" w:hAnsi="Times New Roman"/>
          <w:sz w:val="22"/>
        </w:rPr>
        <w:t>, will need to be accrued.  A separate listing is required for expense and capital items.  Forms are attached for your use in reporting these amounts.  The following are additional comments to assist you with determining what should be reported:</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b/>
          <w:sz w:val="22"/>
          <w:u w:val="single"/>
        </w:rPr>
        <w:t>Expense Items</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Again, only those materials and/or services actually received in 2000, but not paid for, should be included on the expense accrual form.  The following items should not be listed on the expense accrual form:</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ab/>
        <w:t>-</w:t>
        <w:tab/>
        <w:t>Rental of equipment, land, building, or utility bills which are paid each month.</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numPr>
          <w:ilvl w:val="0"/>
          <w:numId w:val="2"/>
        </w:numPr>
        <w:ind w:hanging="720" w:start="2160" w:end="720"/>
        <w:jc w:val="both"/>
        <w:rPr>
          <w:rFonts w:ascii="Times New Roman" w:hAnsi="Times New Roman" w:cs="Times New Roman"/>
          <w:sz w:val="22"/>
        </w:rPr>
      </w:pPr>
      <w:r>
        <w:rPr>
          <w:rFonts w:cs="Times New Roman" w:ascii="Times New Roman" w:hAnsi="Times New Roman"/>
          <w:sz w:val="22"/>
        </w:rPr>
        <w:t>Contract services which are routine in amount and are paid each month, such as housekeeping, mail service, equipment servicing, etc.</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rPr/>
      </w:pPr>
      <w:r>
        <w:rPr>
          <w:rFonts w:cs="Times New Roman" w:ascii="Times New Roman" w:hAnsi="Times New Roman"/>
          <w:b/>
          <w:sz w:val="22"/>
        </w:rPr>
        <w:t xml:space="preserve">Payment dates should not be escalated.  </w:t>
      </w:r>
      <w:r>
        <w:rPr>
          <w:rFonts w:cs="Times New Roman" w:ascii="Times New Roman" w:hAnsi="Times New Roman"/>
          <w:sz w:val="22"/>
        </w:rPr>
        <w:t>Entry into the SAP system with normal payment dates will record the expenses in 2000 as long as the invoice is entered before year-end.</w:t>
      </w:r>
      <w:r>
        <w:br w:type="page"/>
      </w:r>
    </w:p>
    <w:p>
      <w:pPr>
        <w:pStyle w:val="Body"/>
        <w:ind w:start="900" w:end="720"/>
        <w:jc w:val="both"/>
        <w:rPr>
          <w:rFonts w:ascii="Times New Roman" w:hAnsi="Times New Roman" w:cs="Times New Roman"/>
          <w:sz w:val="22"/>
        </w:rPr>
      </w:pPr>
      <w:r>
        <w:rPr>
          <w:rFonts w:cs="Times New Roman" w:ascii="Times New Roman" w:hAnsi="Times New Roman"/>
          <w:sz w:val="22"/>
        </w:rPr>
        <w:t>Year-End Accounting Close</w:t>
      </w:r>
    </w:p>
    <w:p>
      <w:pPr>
        <w:pStyle w:val="Body"/>
        <w:ind w:start="900" w:end="720"/>
        <w:jc w:val="both"/>
        <w:rPr>
          <w:rFonts w:ascii="Times New Roman" w:hAnsi="Times New Roman" w:cs="Times New Roman"/>
          <w:sz w:val="22"/>
        </w:rPr>
      </w:pPr>
      <w:r>
        <w:rPr>
          <w:rFonts w:cs="Times New Roman" w:ascii="Times New Roman" w:hAnsi="Times New Roman"/>
          <w:sz w:val="22"/>
        </w:rPr>
        <w:t>November 29, 2000</w:t>
      </w:r>
    </w:p>
    <w:p>
      <w:pPr>
        <w:pStyle w:val="Body"/>
        <w:tabs>
          <w:tab w:val="left" w:pos="9450" w:leader="none"/>
          <w:tab w:val="left" w:pos="9540" w:leader="none"/>
        </w:tabs>
        <w:ind w:start="900" w:end="720"/>
        <w:jc w:val="both"/>
        <w:rPr>
          <w:rFonts w:ascii="Times New Roman" w:hAnsi="Times New Roman" w:cs="Times New Roman"/>
          <w:sz w:val="22"/>
        </w:rPr>
      </w:pPr>
      <w:r>
        <w:rPr>
          <w:rFonts w:cs="Times New Roman" w:ascii="Times New Roman" w:hAnsi="Times New Roman"/>
          <w:sz w:val="22"/>
        </w:rPr>
        <w:t>Page 2</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It is essential that both accrual listings be received in Houston Accounts Payable (JF6-547A) as soon as possible after year-end but no later than January 3, 2000, to enable these costs to be included in 2000 business.</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If you have any questions regarding Accounts Payable information or expense accruals, please contact Larry Dallman at (713)853-7222 or Linda Martin at (713)853-7038.  Questions regarding capital accruals should be directed to your Financial Accounting representative.</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 xml:space="preserve">Please communicate these due dates within your area of responsibility.  </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LJD/yeclose00</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Distribution:</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t>Bob Butts</w:t>
      </w:r>
    </w:p>
    <w:p>
      <w:pPr>
        <w:pStyle w:val="Body"/>
        <w:ind w:start="900" w:end="720"/>
        <w:jc w:val="both"/>
        <w:rPr>
          <w:rFonts w:ascii="Times New Roman" w:hAnsi="Times New Roman" w:cs="Times New Roman"/>
          <w:sz w:val="22"/>
        </w:rPr>
      </w:pPr>
      <w:r>
        <w:rPr>
          <w:rFonts w:cs="Times New Roman" w:ascii="Times New Roman" w:hAnsi="Times New Roman"/>
          <w:sz w:val="22"/>
        </w:rPr>
        <w:t>Kent Castleman</w:t>
      </w:r>
    </w:p>
    <w:p>
      <w:pPr>
        <w:pStyle w:val="Body"/>
        <w:ind w:start="900" w:end="720"/>
        <w:jc w:val="both"/>
        <w:rPr>
          <w:rFonts w:ascii="Times New Roman" w:hAnsi="Times New Roman" w:cs="Times New Roman"/>
          <w:sz w:val="22"/>
        </w:rPr>
      </w:pPr>
      <w:r>
        <w:rPr>
          <w:rFonts w:cs="Times New Roman" w:ascii="Times New Roman" w:hAnsi="Times New Roman"/>
          <w:sz w:val="22"/>
        </w:rPr>
        <w:t>Wes Colwell</w:t>
      </w:r>
    </w:p>
    <w:p>
      <w:pPr>
        <w:pStyle w:val="Body"/>
        <w:ind w:start="900" w:end="720"/>
        <w:jc w:val="both"/>
        <w:rPr>
          <w:rFonts w:ascii="Times New Roman" w:hAnsi="Times New Roman" w:cs="Times New Roman"/>
          <w:sz w:val="22"/>
        </w:rPr>
      </w:pPr>
      <w:r>
        <w:rPr>
          <w:rFonts w:cs="Times New Roman" w:ascii="Times New Roman" w:hAnsi="Times New Roman"/>
          <w:sz w:val="22"/>
        </w:rPr>
        <w:t>John Echols</w:t>
      </w:r>
    </w:p>
    <w:p>
      <w:pPr>
        <w:pStyle w:val="Body"/>
        <w:ind w:start="900" w:end="720"/>
        <w:jc w:val="both"/>
        <w:rPr>
          <w:rFonts w:ascii="Times New Roman" w:hAnsi="Times New Roman" w:cs="Times New Roman"/>
          <w:sz w:val="22"/>
        </w:rPr>
      </w:pPr>
      <w:r>
        <w:rPr>
          <w:rFonts w:cs="Times New Roman" w:ascii="Times New Roman" w:hAnsi="Times New Roman"/>
          <w:sz w:val="22"/>
        </w:rPr>
        <w:t>Rod Hayslett</w:t>
      </w:r>
    </w:p>
    <w:p>
      <w:pPr>
        <w:pStyle w:val="Body"/>
        <w:ind w:start="900" w:end="720"/>
        <w:jc w:val="both"/>
        <w:rPr>
          <w:rFonts w:ascii="Times New Roman" w:hAnsi="Times New Roman" w:cs="Times New Roman"/>
          <w:sz w:val="22"/>
        </w:rPr>
      </w:pPr>
      <w:r>
        <w:rPr>
          <w:rFonts w:cs="Times New Roman" w:ascii="Times New Roman" w:hAnsi="Times New Roman"/>
          <w:sz w:val="22"/>
        </w:rPr>
        <w:t>Carol Howes</w:t>
      </w:r>
    </w:p>
    <w:p>
      <w:pPr>
        <w:pStyle w:val="Body"/>
        <w:ind w:start="900" w:end="720"/>
        <w:jc w:val="both"/>
        <w:rPr>
          <w:rFonts w:ascii="Times New Roman" w:hAnsi="Times New Roman" w:cs="Times New Roman"/>
          <w:sz w:val="22"/>
        </w:rPr>
      </w:pPr>
      <w:r>
        <w:rPr>
          <w:rFonts w:cs="Times New Roman" w:ascii="Times New Roman" w:hAnsi="Times New Roman"/>
          <w:sz w:val="22"/>
        </w:rPr>
        <w:t>Kevin Hughes</w:t>
        <w:tab/>
        <w:tab/>
      </w:r>
    </w:p>
    <w:p>
      <w:pPr>
        <w:pStyle w:val="Body"/>
        <w:ind w:start="900" w:end="720"/>
        <w:jc w:val="both"/>
        <w:rPr>
          <w:rFonts w:ascii="Times New Roman" w:hAnsi="Times New Roman" w:cs="Times New Roman"/>
          <w:sz w:val="22"/>
        </w:rPr>
      </w:pPr>
      <w:r>
        <w:rPr>
          <w:rFonts w:cs="Times New Roman" w:ascii="Times New Roman" w:hAnsi="Times New Roman"/>
          <w:sz w:val="22"/>
        </w:rPr>
        <w:t>Keith Marlow</w:t>
      </w:r>
    </w:p>
    <w:p>
      <w:pPr>
        <w:pStyle w:val="Body"/>
        <w:ind w:start="900" w:end="720"/>
        <w:jc w:val="both"/>
        <w:rPr>
          <w:rFonts w:ascii="Times New Roman" w:hAnsi="Times New Roman" w:cs="Times New Roman"/>
          <w:sz w:val="22"/>
        </w:rPr>
      </w:pPr>
      <w:r>
        <w:rPr>
          <w:rFonts w:cs="Times New Roman" w:ascii="Times New Roman" w:hAnsi="Times New Roman"/>
          <w:sz w:val="22"/>
        </w:rPr>
        <w:t>Michael Patrick</w:t>
      </w:r>
    </w:p>
    <w:p>
      <w:pPr>
        <w:pStyle w:val="Body"/>
        <w:ind w:start="900" w:end="720"/>
        <w:jc w:val="both"/>
        <w:rPr>
          <w:rFonts w:ascii="Times New Roman" w:hAnsi="Times New Roman" w:cs="Times New Roman"/>
          <w:sz w:val="22"/>
        </w:rPr>
      </w:pPr>
      <w:r>
        <w:rPr>
          <w:rFonts w:cs="Times New Roman" w:ascii="Times New Roman" w:hAnsi="Times New Roman"/>
          <w:sz w:val="22"/>
        </w:rPr>
        <w:t>Brent Price</w:t>
      </w:r>
    </w:p>
    <w:p>
      <w:pPr>
        <w:pStyle w:val="Body"/>
        <w:ind w:start="900" w:end="720"/>
        <w:jc w:val="both"/>
        <w:rPr>
          <w:rFonts w:ascii="Times New Roman" w:hAnsi="Times New Roman" w:cs="Times New Roman"/>
          <w:sz w:val="22"/>
        </w:rPr>
      </w:pPr>
      <w:r>
        <w:rPr>
          <w:rFonts w:cs="Times New Roman" w:ascii="Times New Roman" w:hAnsi="Times New Roman"/>
          <w:sz w:val="22"/>
        </w:rPr>
        <w:t>Howard Selzer</w:t>
      </w:r>
    </w:p>
    <w:p>
      <w:pPr>
        <w:pStyle w:val="Body"/>
        <w:ind w:start="900" w:end="720"/>
        <w:jc w:val="both"/>
        <w:rPr>
          <w:rFonts w:ascii="Times New Roman" w:hAnsi="Times New Roman" w:cs="Times New Roman"/>
          <w:sz w:val="22"/>
        </w:rPr>
      </w:pPr>
      <w:r>
        <w:rPr>
          <w:rFonts w:cs="Times New Roman" w:ascii="Times New Roman" w:hAnsi="Times New Roman"/>
          <w:sz w:val="22"/>
        </w:rPr>
        <w:t>Jeffrey Sommers</w:t>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ind w:start="900" w:end="720"/>
        <w:jc w:val="both"/>
        <w:rPr>
          <w:rFonts w:ascii="Times New Roman" w:hAnsi="Times New Roman" w:cs="Times New Roman"/>
          <w:sz w:val="22"/>
        </w:rPr>
      </w:pPr>
      <w:r>
        <w:rPr>
          <w:rFonts w:cs="Times New Roman" w:ascii="Times New Roman" w:hAnsi="Times New Roman"/>
          <w:sz w:val="22"/>
        </w:rPr>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cc:</w:t>
        <w:tab/>
        <w:t>Billie Akhave</w:t>
        <w:tab/>
        <w:t>Bobbie McNiel</w:t>
        <w:tab/>
        <w:tab/>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Barney  Brasher</w:t>
        <w:tab/>
        <w:t>Tom Meers</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Morris Brassfield</w:t>
        <w:tab/>
        <w:t>Linda Martin</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Donna Burns</w:t>
        <w:tab/>
        <w:t>Patty Prigmore</w:t>
      </w:r>
    </w:p>
    <w:p>
      <w:pPr>
        <w:pStyle w:val="Body"/>
        <w:tabs>
          <w:tab w:val="left" w:pos="1440" w:leader="none"/>
          <w:tab w:val="left" w:pos="50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Frank Carriere</w:t>
        <w:tab/>
        <w:tab/>
        <w:t>George Quittner</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Dave Clements</w:t>
        <w:tab/>
        <w:t>Kerry Roper</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Bob Chandler</w:t>
        <w:tab/>
        <w:t>Lisa Sutton</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John Cobb</w:t>
        <w:tab/>
        <w:t>Jay Taylor</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Ben Gwaltney</w:t>
        <w:tab/>
        <w:t>Andy Zabriskie</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Sheila Howard</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Wanda LaBaume</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t>Mike Layne</w:t>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r>
    </w:p>
    <w:p>
      <w:pPr>
        <w:pStyle w:val="Body"/>
        <w:tabs>
          <w:tab w:val="left" w:pos="1440" w:leader="none"/>
          <w:tab w:val="left" w:pos="5760" w:leader="none"/>
        </w:tabs>
        <w:ind w:start="900" w:end="720"/>
        <w:jc w:val="both"/>
        <w:rPr>
          <w:rFonts w:ascii="Times New Roman" w:hAnsi="Times New Roman" w:cs="Times New Roman"/>
          <w:sz w:val="22"/>
        </w:rPr>
      </w:pPr>
      <w:r>
        <w:rPr>
          <w:rFonts w:cs="Times New Roman" w:ascii="Times New Roman" w:hAnsi="Times New Roman"/>
          <w:sz w:val="22"/>
        </w:rPr>
        <w:tab/>
      </w:r>
    </w:p>
    <w:p>
      <w:pPr>
        <w:pStyle w:val="Body"/>
        <w:ind w:start="900" w:end="720"/>
        <w:rPr>
          <w:sz w:val="22"/>
        </w:rPr>
      </w:pPr>
      <w:r>
        <w:rPr>
          <w:rFonts w:cs="Times New Roman" w:ascii="Times New Roman" w:hAnsi="Times New Roman"/>
          <w:sz w:val="22"/>
        </w:rPr>
        <w:t>Enclosures: 2</w:t>
      </w:r>
    </w:p>
    <w:p>
      <w:pPr>
        <w:pStyle w:val="CopyList"/>
        <w:ind w:end="720"/>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160"/>
        </w:tabs>
        <w:ind w:start="2160" w:hanging="72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2000-11-29T19:46:00Z</dcterms:created>
  <dc:creator>ldallma</dc:creator>
  <dc:description/>
  <dc:language>en-CA</dc:language>
  <cp:lastModifiedBy>ldallma</cp:lastModifiedBy>
  <cp:lastPrinted>2000-11-30T06:54:00Z</cp:lastPrinted>
  <dcterms:modified xsi:type="dcterms:W3CDTF">2000-11-30T10:25:00Z</dcterms:modified>
  <cp:revision>6</cp:revision>
  <dc:subject/>
  <dc:title>Better, Faster, Simpler Memo </dc:title>
</cp:coreProperties>
</file>