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rPr>
      </w:pPr>
      <w:r>
        <w:rPr>
          <w:rFonts w:cs="Arial" w:ascii="Arial" w:hAnsi="Arial"/>
        </w:rPr>
        <w:t>December 31, 2000</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Mr. Rahil Jafry</w:t>
      </w:r>
    </w:p>
    <w:p>
      <w:pPr>
        <w:pStyle w:val="Normal"/>
        <w:rPr>
          <w:rFonts w:ascii="Arial" w:hAnsi="Arial" w:cs="Arial"/>
        </w:rPr>
      </w:pPr>
      <w:r>
        <w:rPr>
          <w:rFonts w:cs="Arial" w:ascii="Arial" w:hAnsi="Arial"/>
        </w:rPr>
        <w:t>EnronOnline</w:t>
      </w:r>
    </w:p>
    <w:p>
      <w:pPr>
        <w:pStyle w:val="Normal"/>
        <w:rPr>
          <w:rFonts w:ascii="Arial" w:hAnsi="Arial" w:cs="Arial"/>
        </w:rPr>
      </w:pPr>
      <w:r>
        <w:rPr>
          <w:rFonts w:cs="Arial" w:ascii="Arial" w:hAnsi="Arial"/>
        </w:rPr>
        <w:t>1400 Smith Street</w:t>
      </w:r>
    </w:p>
    <w:p>
      <w:pPr>
        <w:pStyle w:val="Header"/>
        <w:tabs>
          <w:tab w:val="clear" w:pos="4320"/>
          <w:tab w:val="clear" w:pos="8640"/>
        </w:tabs>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Rahil:</w:t>
      </w:r>
    </w:p>
    <w:p>
      <w:pPr>
        <w:pStyle w:val="Normal"/>
        <w:rPr>
          <w:rFonts w:ascii="Arial" w:hAnsi="Arial" w:cs="Arial"/>
        </w:rPr>
      </w:pPr>
      <w:r>
        <w:rPr>
          <w:rFonts w:cs="Arial" w:ascii="Arial" w:hAnsi="Arial"/>
        </w:rPr>
      </w:r>
    </w:p>
    <w:p>
      <w:pPr>
        <w:pStyle w:val="Normal"/>
        <w:rPr/>
      </w:pPr>
      <w:r>
        <w:rPr>
          <w:rFonts w:cs="Arial" w:ascii="Arial" w:hAnsi="Arial"/>
        </w:rPr>
        <w:t>We appreciate the opportunity to provide EnronOnline, LLC (“EnronOnline”) with independent audit services (“the Services”) related to your EnronOnline Price Reports. This letter describes our understanding of the assertions, objectives and scope of this project, our proposed approach, engagement team, terms and conditions, timeframe and estimated professional fees. This letter, together with the Standard Business Terms attached hereto as Appendix I and incorporated herein by this reference,  constitutes the entire agreement and supersedes any prior written or oral commitments.</w:t>
      </w:r>
      <w:r>
        <w:rPr/>
        <w:t xml:space="preserve"> </w:t>
      </w:r>
    </w:p>
    <w:p>
      <w:pPr>
        <w:pStyle w:val="Normal"/>
        <w:rPr>
          <w:rFonts w:ascii="Arial" w:hAnsi="Arial" w:cs="Arial"/>
        </w:rPr>
      </w:pPr>
      <w:r>
        <w:rPr>
          <w:rFonts w:cs="Arial" w:ascii="Arial" w:hAnsi="Arial"/>
        </w:rPr>
      </w:r>
    </w:p>
    <w:p>
      <w:pPr>
        <w:pStyle w:val="ABLOCKPARA"/>
        <w:rPr>
          <w:rFonts w:ascii="Arial" w:hAnsi="Arial" w:cs="Arial"/>
          <w:b/>
        </w:rPr>
      </w:pPr>
      <w:r>
        <w:rPr>
          <w:rFonts w:cs="Arial" w:ascii="Arial" w:hAnsi="Arial"/>
          <w:b/>
        </w:rPr>
        <w:t>Project Assertions</w:t>
      </w:r>
    </w:p>
    <w:p>
      <w:pPr>
        <w:pStyle w:val="ABLOCKPARA"/>
        <w:rPr>
          <w:rFonts w:ascii="Arial" w:hAnsi="Arial" w:cs="Arial"/>
          <w:b/>
        </w:rPr>
      </w:pPr>
      <w:r>
        <w:rPr>
          <w:rFonts w:cs="Arial" w:ascii="Arial" w:hAnsi="Arial"/>
          <w:b/>
        </w:rPr>
      </w:r>
    </w:p>
    <w:p>
      <w:pPr>
        <w:pStyle w:val="Normal"/>
        <w:rPr>
          <w:rFonts w:ascii="Arial" w:hAnsi="Arial" w:cs="Arial"/>
        </w:rPr>
      </w:pPr>
      <w:r>
        <w:rPr>
          <w:rFonts w:cs="Arial" w:ascii="Arial" w:hAnsi="Arial"/>
        </w:rPr>
        <w:t>You have expressed interest in obtaining independent audit services each quarter for the next twelve months from an independent third party to audit the accuracy of your calculation of the Price Reports discussed below. You have identified the calculations that you believe an independent audit will benefit your users:</w:t>
      </w:r>
    </w:p>
    <w:p>
      <w:pPr>
        <w:pStyle w:val="Normal"/>
        <w:rPr>
          <w:rFonts w:ascii="Arial" w:hAnsi="Arial" w:cs="Arial"/>
        </w:rPr>
      </w:pPr>
      <w:r>
        <w:rPr>
          <w:rFonts w:cs="Arial" w:ascii="Arial" w:hAnsi="Arial"/>
        </w:rPr>
      </w:r>
    </w:p>
    <w:p>
      <w:pPr>
        <w:pStyle w:val="Normal"/>
        <w:rPr/>
      </w:pPr>
      <w:r>
        <w:rPr>
          <w:rFonts w:cs="Arial" w:ascii="Arial" w:hAnsi="Arial"/>
          <w:color w:val="000000"/>
        </w:rPr>
        <w:t xml:space="preserve">The EnronOnline Price Reports are based on the weighted average price of transactions completed </w:t>
      </w:r>
      <w:r>
        <w:rPr>
          <w:rFonts w:cs="Arial" w:ascii="Arial" w:hAnsi="Arial"/>
        </w:rPr>
        <w:t>on EnronOnline from the beginning of the trading day in each market until</w:t>
      </w:r>
      <w:r>
        <w:rPr>
          <w:rFonts w:cs="Arial" w:ascii="Arial" w:hAnsi="Arial"/>
          <w:color w:val="000000"/>
        </w:rPr>
        <w:t xml:space="preserve"> </w:t>
      </w:r>
      <w:r>
        <w:rPr>
          <w:rFonts w:cs="Arial" w:ascii="Arial" w:hAnsi="Arial"/>
        </w:rPr>
        <w:t xml:space="preserve">the time specified for each product. </w:t>
      </w:r>
    </w:p>
    <w:p>
      <w:pPr>
        <w:pStyle w:val="Normal"/>
        <w:ind w:start="1080" w:end="0"/>
        <w:rPr>
          <w:rFonts w:ascii="Arial" w:hAnsi="Arial" w:cs="Arial"/>
        </w:rPr>
      </w:pPr>
      <w:r>
        <w:rPr>
          <w:rFonts w:cs="Arial" w:ascii="Arial" w:hAnsi="Arial"/>
        </w:rPr>
      </w:r>
    </w:p>
    <w:p>
      <w:pPr>
        <w:pStyle w:val="Normal"/>
        <w:numPr>
          <w:ilvl w:val="0"/>
          <w:numId w:val="4"/>
        </w:numPr>
        <w:tabs>
          <w:tab w:val="clear" w:pos="720"/>
          <w:tab w:val="left" w:pos="1003" w:leader="none"/>
        </w:tabs>
        <w:spacing w:lineRule="atLeast" w:line="240"/>
        <w:ind w:hanging="283" w:start="1003" w:end="0"/>
        <w:rPr>
          <w:rFonts w:ascii="Arial" w:hAnsi="Arial" w:cs="Arial"/>
          <w:color w:val="000000"/>
        </w:rPr>
      </w:pPr>
      <w:r>
        <w:rPr>
          <w:rFonts w:cs="Arial" w:ascii="Arial" w:hAnsi="Arial"/>
          <w:color w:val="000000"/>
        </w:rPr>
        <w:t>EnronOnline also provides Cash Basis from Henry Hub for certain products.  The cash basis is calculated by subtracting the weighted average transaction price for each relevant product (as published in the EnronOnline Price Report) from EnronOnline's Henry Hub prices at specified times on each trading day.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start="1003" w:end="0"/>
        <w:rPr>
          <w:rFonts w:ascii="Arial" w:hAnsi="Arial" w:cs="Arial"/>
          <w:color w:val="000000"/>
        </w:rPr>
      </w:pPr>
      <w:r>
        <w:rPr>
          <w:rFonts w:cs="Arial" w:ascii="Arial" w:hAnsi="Arial"/>
          <w:color w:val="000000"/>
        </w:rPr>
        <w:t>Weighted averages of each product are calculated for each trading day in</w:t>
      </w:r>
    </w:p>
    <w:p>
      <w:pPr>
        <w:pStyle w:val="Normal"/>
        <w:spacing w:lineRule="atLeast" w:line="240"/>
        <w:ind w:start="1003" w:end="0"/>
        <w:rPr>
          <w:rFonts w:ascii="Arial" w:hAnsi="Arial" w:cs="Arial"/>
          <w:color w:val="000000"/>
        </w:rPr>
      </w:pPr>
      <w:r>
        <w:rPr>
          <w:rFonts w:cs="Arial" w:ascii="Arial" w:hAnsi="Arial"/>
          <w:color w:val="000000"/>
        </w:rPr>
        <w:t>the following manner:</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eastAsia="Arial" w:cs="Arial" w:ascii="Arial" w:hAnsi="Arial"/>
          <w:color w:val="000000"/>
        </w:rPr>
        <w:t xml:space="preserve">  </w:t>
      </w:r>
      <w:r>
        <w:rPr>
          <w:rFonts w:cs="Arial" w:ascii="Arial" w:hAnsi="Arial"/>
          <w:color w:val="000000"/>
        </w:rPr>
        <w:tab/>
        <w:t xml:space="preserve">     (Q1xP1 + Q2xP2+...+QnxPn)/Sum(Q1:Qn)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start="720" w:end="0"/>
        <w:rPr>
          <w:rFonts w:ascii="Arial" w:hAnsi="Arial" w:cs="Arial"/>
          <w:color w:val="000000"/>
        </w:rPr>
      </w:pPr>
      <w:r>
        <w:rPr>
          <w:rFonts w:eastAsia="Arial" w:cs="Arial" w:ascii="Arial" w:hAnsi="Arial"/>
          <w:color w:val="000000"/>
        </w:rPr>
        <w:t xml:space="preserve">    </w:t>
      </w:r>
      <w:r>
        <w:rPr>
          <w:rFonts w:cs="Arial" w:ascii="Arial" w:hAnsi="Arial"/>
          <w:color w:val="000000"/>
        </w:rPr>
        <w:t>where,</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Each Q represents the quantity of the product traded in a particular</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transaction. Q is measured in the standard units of trade for each</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product, as identified on EnronOnline.</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Each P represents the price of the product traded in a particular</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transaction.  P is measured in the standard unit of currency of trade</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for each product, as identified on EnronOnline.  For example, US Gas</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products would trade in $/MMBtu while the UK Power products are traded</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in GBP/MWh. Volume for each transaction is represented individually Q1, Q2,</w:t>
      </w:r>
    </w:p>
    <w:p>
      <w:pPr>
        <w:pStyle w:val="Normal"/>
        <w:spacing w:lineRule="atLeast" w:line="240"/>
        <w:ind w:start="1440" w:end="0"/>
        <w:rPr>
          <w:rFonts w:ascii="Arial" w:hAnsi="Arial" w:cs="Arial"/>
          <w:color w:val="000000"/>
        </w:rPr>
      </w:pPr>
      <w:r>
        <w:rPr>
          <w:rFonts w:eastAsia="Arial" w:cs="Arial" w:ascii="Arial" w:hAnsi="Arial"/>
          <w:color w:val="000000"/>
        </w:rPr>
        <w:t xml:space="preserve">   </w:t>
      </w:r>
      <w:r>
        <w:rPr>
          <w:rFonts w:cs="Arial" w:ascii="Arial" w:hAnsi="Arial"/>
          <w:color w:val="000000"/>
        </w:rPr>
        <w:t>Q3,...,Qn. Corresponding price for each transaction is represented individually P1,</w:t>
      </w:r>
    </w:p>
    <w:p>
      <w:pPr>
        <w:pStyle w:val="Normal"/>
        <w:spacing w:lineRule="atLeast" w:line="240"/>
        <w:ind w:start="1620" w:end="0"/>
        <w:rPr>
          <w:rFonts w:ascii="Arial" w:hAnsi="Arial" w:cs="Arial"/>
          <w:color w:val="000000"/>
        </w:rPr>
      </w:pPr>
      <w:r>
        <w:rPr>
          <w:rFonts w:cs="Arial" w:ascii="Arial" w:hAnsi="Arial"/>
          <w:color w:val="000000"/>
        </w:rPr>
        <w:t>P2, P3,...,Pn. Sum (Q1:Qn) represents the volume totals of all commodity units</w:t>
      </w:r>
    </w:p>
    <w:p>
      <w:pPr>
        <w:pStyle w:val="Normal"/>
        <w:spacing w:lineRule="atLeast" w:line="240"/>
        <w:ind w:start="360" w:end="0"/>
        <w:rPr>
          <w:rFonts w:ascii="Arial" w:hAnsi="Arial" w:cs="Arial"/>
          <w:color w:val="000000"/>
        </w:rPr>
      </w:pPr>
      <w:r>
        <w:rPr>
          <w:rFonts w:eastAsia="Arial" w:cs="Arial" w:ascii="Arial" w:hAnsi="Arial"/>
          <w:color w:val="000000"/>
        </w:rPr>
        <w:t xml:space="preserve">   </w:t>
      </w:r>
      <w:r>
        <w:rPr>
          <w:rFonts w:cs="Arial" w:ascii="Arial" w:hAnsi="Arial"/>
          <w:color w:val="000000"/>
        </w:rPr>
        <w:tab/>
        <w:t xml:space="preserve">    </w:t>
        <w:tab/>
        <w:t xml:space="preserve">   transacted for each individual product within the appropriate time frame</w:t>
      </w:r>
    </w:p>
    <w:p>
      <w:pPr>
        <w:pStyle w:val="Normal"/>
        <w:spacing w:lineRule="atLeast" w:line="240"/>
        <w:ind w:start="360" w:end="0"/>
        <w:rPr>
          <w:rFonts w:ascii="Arial" w:hAnsi="Arial" w:cs="Arial"/>
          <w:color w:val="000000"/>
        </w:rPr>
      </w:pPr>
      <w:r>
        <w:rPr>
          <w:rFonts w:eastAsia="Arial" w:cs="Arial" w:ascii="Arial" w:hAnsi="Arial"/>
          <w:color w:val="000000"/>
        </w:rPr>
        <w:t xml:space="preserve">   </w:t>
      </w:r>
      <w:r>
        <w:rPr>
          <w:rFonts w:cs="Arial" w:ascii="Arial" w:hAnsi="Arial"/>
          <w:color w:val="000000"/>
        </w:rPr>
        <w:tab/>
        <w:t xml:space="preserve">    </w:t>
        <w:tab/>
        <w:t xml:space="preserve">   for which the Price Reports are being created.</w:t>
      </w:r>
    </w:p>
    <w:p>
      <w:pPr>
        <w:pStyle w:val="Caption"/>
        <w:rPr>
          <w:rFonts w:ascii="Arial" w:hAnsi="Arial" w:cs="Arial"/>
          <w:i/>
          <w:i/>
          <w:color w:val="000000"/>
        </w:rPr>
      </w:pPr>
      <w:r>
        <w:rPr>
          <w:rFonts w:cs="Arial" w:ascii="Arial" w:hAnsi="Arial"/>
          <w:i/>
          <w:color w:val="000000"/>
        </w:rPr>
      </w:r>
    </w:p>
    <w:p>
      <w:pPr>
        <w:pStyle w:val="Normal"/>
        <w:rPr>
          <w:rFonts w:ascii="Arial" w:hAnsi="Arial" w:cs="Arial"/>
        </w:rPr>
      </w:pPr>
      <w:r>
        <w:rPr>
          <w:rFonts w:cs="Arial" w:ascii="Arial" w:hAnsi="Arial"/>
        </w:rPr>
        <w:t>In order to achieve the above stated goals, EnronOnline Management must establish specific principles, policies and practices relating to the calculation of these Price Reports.  These principles, policies and practices will be made in a report by management.  The specific business policies and practices will be the basis for the examination report issued by Arthur Andersen. Our independent audit will consider whether these business policies and practices are in material conformity with actual policies and practices used to calculate the Price Reports referred to above.  We will conduct our independent audit in accordance with the AICPA's Statements on Standards for Attestation Engagements. Although, our examination is not primarily directed toward identifying errors or illegal acts, including fraud or defalcations, that may exist, we will inform management of any material errors, fraud or illegal acts that come to our attention during the course of our work.</w:t>
      </w:r>
    </w:p>
    <w:p>
      <w:pPr>
        <w:pStyle w:val="Caption"/>
        <w:rPr>
          <w:rFonts w:ascii="Arial" w:hAnsi="Arial" w:cs="Arial"/>
        </w:rPr>
      </w:pPr>
      <w:r>
        <w:rPr>
          <w:rFonts w:cs="Arial" w:ascii="Arial" w:hAnsi="Arial"/>
        </w:rPr>
      </w:r>
    </w:p>
    <w:p>
      <w:pPr>
        <w:pStyle w:val="Caption"/>
        <w:rPr>
          <w:rFonts w:ascii="Arial" w:hAnsi="Arial" w:cs="Arial"/>
        </w:rPr>
      </w:pPr>
      <w:r>
        <w:rPr>
          <w:rFonts w:cs="Arial" w:ascii="Arial" w:hAnsi="Arial"/>
        </w:rPr>
        <w:t>Project Objectives</w:t>
      </w:r>
    </w:p>
    <w:p>
      <w:pPr>
        <w:pStyle w:val="Normal"/>
        <w:rPr>
          <w:rFonts w:ascii="Arial" w:hAnsi="Arial" w:cs="Arial"/>
        </w:rPr>
      </w:pPr>
      <w:r>
        <w:rPr>
          <w:rFonts w:cs="Arial" w:ascii="Arial" w:hAnsi="Arial"/>
        </w:rPr>
      </w:r>
    </w:p>
    <w:p>
      <w:pPr>
        <w:pStyle w:val="Normal"/>
        <w:rPr/>
      </w:pPr>
      <w:r>
        <w:rPr>
          <w:rFonts w:cs="Arial" w:ascii="Arial" w:hAnsi="Arial"/>
        </w:rPr>
        <w:t xml:space="preserve">The fundamental objective of this engagement is to validate the accuracy of the numbers published as the EnronOnline Price Reports </w:t>
      </w:r>
      <w:r>
        <w:rPr>
          <w:rFonts w:cs="Arial" w:ascii="Arial" w:hAnsi="Arial"/>
          <w:color w:val="FF0000"/>
        </w:rPr>
        <w:t>for products as designated each quarter by EnronOnline</w:t>
      </w:r>
      <w:r>
        <w:rPr>
          <w:rFonts w:cs="Arial" w:ascii="Arial" w:hAnsi="Arial"/>
        </w:rPr>
        <w:t xml:space="preserve">.  Toward this end, our evaluation will focus on: </w:t>
      </w:r>
    </w:p>
    <w:p>
      <w:pPr>
        <w:pStyle w:val="Normal"/>
        <w:rPr>
          <w:rFonts w:ascii="Arial" w:hAnsi="Arial" w:cs="Arial"/>
        </w:rPr>
      </w:pPr>
      <w:r>
        <w:rPr>
          <w:rFonts w:cs="Arial" w:ascii="Arial" w:hAnsi="Arial"/>
        </w:rPr>
      </w:r>
    </w:p>
    <w:p>
      <w:pPr>
        <w:pStyle w:val="Flush1-9aBulletDash"/>
        <w:numPr>
          <w:ilvl w:val="0"/>
          <w:numId w:val="3"/>
        </w:numPr>
        <w:tabs>
          <w:tab w:val="clear" w:pos="720"/>
          <w:tab w:val="clear" w:pos="1080"/>
          <w:tab w:val="clear" w:pos="1440"/>
          <w:tab w:val="clear" w:pos="1800"/>
          <w:tab w:val="clear" w:pos="2160"/>
          <w:tab w:val="left" w:pos="360" w:leader="none"/>
        </w:tabs>
        <w:spacing w:before="0" w:after="0"/>
        <w:rPr>
          <w:rFonts w:ascii="Arial" w:hAnsi="Arial" w:cs="Arial"/>
        </w:rPr>
      </w:pPr>
      <w:r>
        <w:rPr>
          <w:rFonts w:cs="Arial" w:ascii="Arial" w:hAnsi="Arial"/>
        </w:rPr>
        <w:t>The soundness and appropriateness of calculations employed</w:t>
      </w:r>
    </w:p>
    <w:p>
      <w:pPr>
        <w:pStyle w:val="Flush1-9aBulletDash"/>
        <w:numPr>
          <w:ilvl w:val="0"/>
          <w:numId w:val="3"/>
        </w:numPr>
        <w:tabs>
          <w:tab w:val="clear" w:pos="720"/>
          <w:tab w:val="clear" w:pos="1080"/>
          <w:tab w:val="clear" w:pos="1440"/>
          <w:tab w:val="clear" w:pos="1800"/>
          <w:tab w:val="clear" w:pos="2160"/>
          <w:tab w:val="left" w:pos="360" w:leader="none"/>
        </w:tabs>
        <w:spacing w:before="0" w:after="0"/>
        <w:rPr>
          <w:rFonts w:ascii="Arial" w:hAnsi="Arial" w:cs="Arial"/>
        </w:rPr>
      </w:pPr>
      <w:r>
        <w:rPr>
          <w:rFonts w:cs="Arial" w:ascii="Arial" w:hAnsi="Arial"/>
        </w:rPr>
        <w:t>The validity of the numbers published in the Price Reports</w:t>
      </w:r>
    </w:p>
    <w:p>
      <w:pPr>
        <w:pStyle w:val="Flush1-9aBulletDash"/>
        <w:numPr>
          <w:ilvl w:val="0"/>
          <w:numId w:val="3"/>
        </w:numPr>
        <w:tabs>
          <w:tab w:val="clear" w:pos="720"/>
          <w:tab w:val="clear" w:pos="1080"/>
          <w:tab w:val="clear" w:pos="1440"/>
          <w:tab w:val="clear" w:pos="1800"/>
          <w:tab w:val="clear" w:pos="2160"/>
          <w:tab w:val="left" w:pos="360" w:leader="none"/>
        </w:tabs>
        <w:spacing w:before="0" w:after="0"/>
        <w:rPr>
          <w:rFonts w:ascii="Arial" w:hAnsi="Arial" w:cs="Arial"/>
        </w:rPr>
      </w:pPr>
      <w:r>
        <w:rPr>
          <w:rFonts w:cs="Arial" w:ascii="Arial" w:hAnsi="Arial"/>
        </w:rPr>
        <w:t>Management’s principles, policies, and practices used to ensure the above two items.</w:t>
      </w:r>
    </w:p>
    <w:p>
      <w:pPr>
        <w:pStyle w:val="Normal"/>
        <w:rPr>
          <w:rFonts w:ascii="Arial" w:hAnsi="Arial" w:cs="Arial"/>
        </w:rPr>
      </w:pPr>
      <w:r>
        <w:rPr>
          <w:rFonts w:cs="Arial" w:ascii="Arial" w:hAnsi="Arial"/>
        </w:rPr>
      </w:r>
    </w:p>
    <w:p>
      <w:pPr>
        <w:pStyle w:val="Heading7"/>
        <w:ind w:hanging="0" w:start="0"/>
        <w:rPr>
          <w:sz w:val="22"/>
        </w:rPr>
      </w:pPr>
      <w:r>
        <w:rPr>
          <w:sz w:val="22"/>
        </w:rPr>
        <w:t>Project Scope</w:t>
      </w:r>
    </w:p>
    <w:p>
      <w:pPr>
        <w:pStyle w:val="Normal"/>
        <w:rPr>
          <w:rFonts w:ascii="Arial" w:hAnsi="Arial" w:cs="Arial"/>
          <w:sz w:val="22"/>
        </w:rPr>
      </w:pPr>
      <w:r>
        <w:rPr>
          <w:rFonts w:cs="Arial" w:ascii="Arial" w:hAnsi="Arial"/>
          <w:sz w:val="22"/>
        </w:rPr>
      </w:r>
    </w:p>
    <w:p>
      <w:pPr>
        <w:pStyle w:val="Normal"/>
        <w:rPr/>
      </w:pPr>
      <w:r>
        <w:rPr>
          <w:rFonts w:cs="Arial" w:ascii="Arial" w:hAnsi="Arial"/>
        </w:rPr>
        <w:t xml:space="preserve">Each quarter for the next twelve months, Arthur Andersen will complete a project. </w:t>
      </w:r>
      <w:r>
        <w:rPr>
          <w:rFonts w:cs="Arial" w:ascii="Arial" w:hAnsi="Arial"/>
          <w:color w:val="FF0000"/>
        </w:rPr>
        <w:t xml:space="preserve">At the end of each quarter during 2001 (March, June, September, and December), AA will begin review after receipt of the designated product listing and associated data from EnronOnline.  </w:t>
      </w:r>
      <w:r>
        <w:rPr>
          <w:rFonts w:cs="Arial" w:ascii="Arial" w:hAnsi="Arial"/>
        </w:rPr>
        <w:t xml:space="preserve">Due to the limited nature of each project, we expect each engagement can be completed within one to two weeks. </w:t>
      </w:r>
      <w:r>
        <w:rPr>
          <w:rFonts w:cs="Arial" w:ascii="Arial" w:hAnsi="Arial"/>
          <w:color w:val="FF0000"/>
        </w:rPr>
        <w:t xml:space="preserve">Provided the product listing, supporting data, and the management rep letter are received by the end of the workday of the </w:t>
      </w:r>
      <w:r>
        <w:rPr>
          <w:rFonts w:cs="Arial" w:ascii="Arial" w:hAnsi="Arial"/>
          <w:color w:val="FF0000"/>
          <w:highlight w:val="yellow"/>
        </w:rPr>
        <w:t>third business day</w:t>
      </w:r>
      <w:r>
        <w:rPr>
          <w:rFonts w:cs="Arial" w:ascii="Arial" w:hAnsi="Arial"/>
          <w:color w:val="FF0000"/>
        </w:rPr>
        <w:t xml:space="preserve"> of the month following the quarter to be reviewed (i.e. </w:t>
      </w:r>
      <w:r>
        <w:rPr>
          <w:rFonts w:cs="Arial" w:ascii="Arial" w:hAnsi="Arial"/>
          <w:color w:val="FF0000"/>
          <w:highlight w:val="yellow"/>
        </w:rPr>
        <w:t>April 4</w:t>
      </w:r>
      <w:r>
        <w:rPr>
          <w:rFonts w:cs="Arial" w:ascii="Arial" w:hAnsi="Arial"/>
          <w:color w:val="FF0000"/>
        </w:rPr>
        <w:t xml:space="preserve"> for quarter ending in March), AA will provide our completed report expressing our opinion for the products reviewed by the fifteenth of the month following the quarter reviewed (i.e. April 15 for quarter ending in March).  Timing of our completed report may be affected should EnronOnline policies, procedures, or practices change from previous reviews.  </w:t>
      </w:r>
      <w:r>
        <w:rPr>
          <w:rFonts w:cs="Arial" w:ascii="Arial" w:hAnsi="Arial"/>
        </w:rPr>
        <w:t>The specific components of each project will include:</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b/>
          <w:i/>
          <w:i/>
        </w:rPr>
      </w:pPr>
      <w:r>
        <w:rPr>
          <w:rFonts w:cs="Arial" w:ascii="Arial" w:hAnsi="Arial"/>
          <w:b/>
          <w:i/>
        </w:rPr>
        <w:t xml:space="preserve">Description of the Calculations </w:t>
      </w:r>
    </w:p>
    <w:p>
      <w:pPr>
        <w:pStyle w:val="ABLOCKPARA"/>
        <w:rPr>
          <w:rFonts w:ascii="Arial" w:hAnsi="Arial" w:cs="Arial"/>
          <w:b/>
          <w:i/>
          <w:i/>
        </w:rPr>
      </w:pPr>
      <w:r>
        <w:rPr>
          <w:rFonts w:cs="Arial" w:ascii="Arial" w:hAnsi="Arial"/>
          <w:b/>
          <w:i/>
        </w:rPr>
      </w:r>
    </w:p>
    <w:p>
      <w:pPr>
        <w:pStyle w:val="Normal"/>
        <w:rPr>
          <w:rFonts w:ascii="Arial" w:hAnsi="Arial" w:cs="Arial"/>
        </w:rPr>
      </w:pPr>
      <w:r>
        <w:rPr>
          <w:rFonts w:cs="Arial" w:ascii="Arial" w:hAnsi="Arial"/>
        </w:rPr>
        <w:t>We will help to ensure that the description of the calculation methods are sufficiently clear and comprehensive so that a knowledgeable reader is able to understand them.  As necessary, we will suggest clarifying language to these descriptions for your consideration.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final description of the calculation will be the responsibility of EnronOnline. Our independent audit of the calculations will consist primarily of inquiries of company personnel, evaluation of relevant technology, review of the programs or scripts used in the calculations, and review of documentation and reperformance testing. Our evaluation will include obtaining an understanding of EnronOnline's policies and practices only as they relate to the calculations and to the extent we deem it necessary to ultimately fulfill our independent audit objectives for which the accuracy of the reports will be tested. </w:t>
      </w:r>
    </w:p>
    <w:p>
      <w:pPr>
        <w:pStyle w:val="ABLOCKPARA"/>
        <w:ind w:start="360" w:end="0"/>
        <w:rPr>
          <w:rStyle w:val="Emphasis"/>
          <w:rFonts w:ascii="Arial" w:hAnsi="Arial" w:cs="Arial"/>
          <w:i w:val="false"/>
          <w:i w:val="false"/>
        </w:rPr>
      </w:pPr>
      <w:r>
        <w:rPr>
          <w:rFonts w:cs="Arial" w:ascii="Arial" w:hAnsi="Arial"/>
        </w:rPr>
      </w:r>
    </w:p>
    <w:p>
      <w:pPr>
        <w:pStyle w:val="ABLOCKPARA"/>
        <w:rPr/>
      </w:pPr>
      <w:r>
        <w:rPr>
          <w:rFonts w:cs="Arial" w:ascii="Arial" w:hAnsi="Arial"/>
        </w:rPr>
        <w:t>We will provide you with verbal communication regarding our observations and recommendations for process improvement. If AA determines that issues exist, AA will provide the EnronOnline management team with recommendations to alleviate any issues. EnronOnline may request technical advice and assistance from AA in connection with correcting these issues. This assistance, however, is outside of the scope of this agreement.</w:t>
      </w:r>
    </w:p>
    <w:p>
      <w:pPr>
        <w:pStyle w:val="ABLOCKPARA"/>
        <w:rPr>
          <w:rFonts w:ascii="Arial" w:hAnsi="Arial" w:cs="Arial"/>
        </w:rPr>
      </w:pPr>
      <w:r>
        <w:rPr>
          <w:rFonts w:cs="Arial" w:ascii="Arial" w:hAnsi="Arial"/>
        </w:rPr>
      </w:r>
    </w:p>
    <w:p>
      <w:pPr>
        <w:pStyle w:val="ABLOCKPARA"/>
        <w:tabs>
          <w:tab w:val="clear" w:pos="720"/>
          <w:tab w:val="left" w:pos="180" w:leader="none"/>
          <w:tab w:val="left" w:pos="540" w:leader="none"/>
        </w:tabs>
        <w:ind w:start="180" w:end="0"/>
        <w:rPr>
          <w:rFonts w:ascii="Arial" w:hAnsi="Arial" w:cs="Arial"/>
        </w:rPr>
      </w:pPr>
      <w:r>
        <w:rPr>
          <w:rFonts w:cs="Arial" w:ascii="Arial" w:hAnsi="Arial"/>
        </w:rPr>
      </w:r>
    </w:p>
    <w:p>
      <w:pPr>
        <w:pStyle w:val="Caption"/>
        <w:rPr>
          <w:rFonts w:ascii="Arial" w:hAnsi="Arial" w:cs="Arial"/>
          <w:i/>
          <w:i/>
        </w:rPr>
      </w:pPr>
      <w:r>
        <w:rPr>
          <w:rFonts w:cs="Arial" w:ascii="Arial" w:hAnsi="Arial"/>
          <w:i/>
        </w:rPr>
      </w:r>
    </w:p>
    <w:p>
      <w:pPr>
        <w:pStyle w:val="Caption"/>
        <w:rPr>
          <w:rFonts w:ascii="Arial" w:hAnsi="Arial" w:cs="Arial"/>
          <w:i/>
          <w:i/>
        </w:rPr>
      </w:pPr>
      <w:r>
        <w:rPr>
          <w:rFonts w:cs="Arial" w:ascii="Arial" w:hAnsi="Arial"/>
          <w:i/>
        </w:rPr>
        <w:t xml:space="preserve">Examination and Reporting </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 xml:space="preserve">The objective of our independent audit is to provide you with our report </w:t>
      </w:r>
      <w:r>
        <w:rPr>
          <w:rFonts w:cs="Arial" w:ascii="Arial" w:hAnsi="Arial"/>
          <w:color w:val="FF0000"/>
        </w:rPr>
        <w:t xml:space="preserve">following the end of </w:t>
      </w:r>
      <w:r>
        <w:rPr>
          <w:rFonts w:cs="Arial" w:ascii="Arial" w:hAnsi="Arial"/>
        </w:rPr>
        <w:t xml:space="preserve">every quarter </w:t>
      </w:r>
      <w:r>
        <w:rPr>
          <w:rFonts w:cs="Arial" w:ascii="Arial" w:hAnsi="Arial"/>
          <w:color w:val="FF0000"/>
        </w:rPr>
        <w:t xml:space="preserve">as described above </w:t>
      </w:r>
      <w:r>
        <w:rPr>
          <w:rFonts w:cs="Arial" w:ascii="Arial" w:hAnsi="Arial"/>
        </w:rPr>
        <w:t xml:space="preserve">for the next twelve months, which expresses an opinion on EnronOnline’s calculation of the price reports </w:t>
      </w:r>
      <w:r>
        <w:rPr>
          <w:rFonts w:cs="Arial" w:ascii="Arial" w:hAnsi="Arial"/>
          <w:color w:val="FF0000"/>
        </w:rPr>
        <w:t xml:space="preserve">for each quarter's designated products </w:t>
      </w:r>
      <w:r>
        <w:rPr>
          <w:rFonts w:cs="Arial" w:ascii="Arial" w:hAnsi="Arial"/>
        </w:rPr>
        <w:t xml:space="preserve">in accordance with the description of the calculation. </w:t>
      </w:r>
      <w:r>
        <w:rPr>
          <w:rFonts w:cs="Arial" w:ascii="Arial" w:hAnsi="Arial"/>
          <w:b/>
        </w:rPr>
        <w:t>EnronOnline acknowledges that our ability to issue an unqualified examination report will be directly impacted by any material deficiencies identified in the testing process.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will use standard audit evidential procedures as a guide in completing our work. This will allow us to more efficiently complete subsequent examinations.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part of our engagement we will also require a management representation letter that will be in the general format typical of this type of independent audit . This management representation letter will also confirm the length of time that the Arthur Andersen examination report can be presented.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Upon completion of our work, we will provide you with our report on our independent audit on those calculations in which we will express an opinion on the calculations covering the specified products and period of time.  The Arthur Andersen Independent Audit</w:t>
      </w:r>
      <w:r>
        <w:rPr>
          <w:rFonts w:cs="Arial" w:ascii="Arial" w:hAnsi="Arial"/>
          <w:i/>
        </w:rPr>
        <w:t xml:space="preserve"> </w:t>
      </w:r>
      <w:r>
        <w:rPr>
          <w:rFonts w:cs="Arial" w:ascii="Arial" w:hAnsi="Arial"/>
        </w:rPr>
        <w:t>Report will be available to post, in its entirety, on EnronOnline’s web site along with Management’s Report.</w:t>
      </w:r>
      <w:r>
        <w:rPr>
          <w:rFonts w:cs="Arial" w:ascii="Arial" w:hAnsi="Arial"/>
          <w:b/>
        </w:rPr>
        <w:t xml:space="preserve"> EnronOnline also agrees to immediately notify AA of any change in the calculation, technology, process, policy or organization that impacts the accuracy of the calculations.  AA will then determine the continuing validity of this audit before notifying EnronOnline Management if there are any necessary changes in the calculations to bring the EnronOnline Price reports back into compliance with this audit.</w:t>
      </w:r>
    </w:p>
    <w:p>
      <w:pPr>
        <w:pStyle w:val="ABLOCKPARA"/>
        <w:tabs>
          <w:tab w:val="clear" w:pos="720"/>
          <w:tab w:val="left" w:pos="1620" w:leader="none"/>
        </w:tabs>
        <w:rPr>
          <w:rFonts w:ascii="Arial" w:hAnsi="Arial" w:cs="Arial"/>
        </w:rPr>
      </w:pPr>
      <w:r>
        <w:rPr>
          <w:rFonts w:cs="Arial" w:ascii="Arial" w:hAnsi="Arial"/>
        </w:rPr>
      </w:r>
    </w:p>
    <w:p>
      <w:pPr>
        <w:pStyle w:val="ABLOCKPARA"/>
        <w:rPr>
          <w:rFonts w:ascii="Arial" w:hAnsi="Arial" w:cs="Arial"/>
        </w:rPr>
      </w:pPr>
      <w:r>
        <w:rPr>
          <w:rFonts w:cs="Arial" w:ascii="Arial" w:hAnsi="Arial"/>
          <w:u w:val="single"/>
        </w:rPr>
        <w:t>AA Responsibilities</w:t>
      </w:r>
    </w:p>
    <w:p>
      <w:pPr>
        <w:pStyle w:val="ABLOCKPARA"/>
        <w:rPr>
          <w:rFonts w:ascii="Arial" w:hAnsi="Arial" w:cs="Arial"/>
        </w:rPr>
      </w:pPr>
      <w:r>
        <w:rPr>
          <w:rFonts w:cs="Arial" w:ascii="Arial" w:hAnsi="Arial"/>
        </w:rPr>
      </w:r>
    </w:p>
    <w:p>
      <w:pPr>
        <w:pStyle w:val="ParaFlush"/>
        <w:rPr>
          <w:rFonts w:ascii="Arial" w:hAnsi="Arial" w:cs="Arial"/>
        </w:rPr>
      </w:pPr>
      <w:r>
        <w:rPr>
          <w:rFonts w:cs="Arial" w:ascii="Arial" w:hAnsi="Arial"/>
        </w:rPr>
        <w:t xml:space="preserve">Our procedures will be limited in scope to the activities described previously in this letter. We will not perform certain procedures ordinarily performed in an audit of financial statements under Generally Accepted Auditing Standards. Thus, our Evaluation cannot be relied upon to disclose all errors or illegal acts, including fraud or defalcations, that may exist.  Nevertheless, we will inform management of any material errors, fraud or illegal acts that come to our attention during the course of our work. </w:t>
      </w:r>
    </w:p>
    <w:p>
      <w:pPr>
        <w:pStyle w:val="ABLOCKPARA"/>
        <w:rPr>
          <w:rFonts w:ascii="Arial" w:hAnsi="Arial" w:cs="Arial"/>
        </w:rPr>
      </w:pPr>
      <w:r>
        <w:rPr>
          <w:rFonts w:cs="Arial" w:ascii="Arial" w:hAnsi="Arial"/>
        </w:rPr>
        <w:t>The working papers prepared in conjunction with our work on this engagement are the property of AA, constitute confidential and proprietary information and will be retained by us in accordance with our policies and procedures and requirements of the AICPA relating to audit engagements as described below:</w:t>
      </w:r>
    </w:p>
    <w:p>
      <w:pPr>
        <w:pStyle w:val="ABLOCKPARA"/>
        <w:rPr>
          <w:rFonts w:ascii="Arial" w:hAnsi="Arial" w:cs="Arial"/>
        </w:rPr>
      </w:pPr>
      <w:r>
        <w:rPr>
          <w:rFonts w:cs="Arial" w:ascii="Arial" w:hAnsi="Arial"/>
        </w:rPr>
      </w:r>
    </w:p>
    <w:p>
      <w:pPr>
        <w:pStyle w:val="ABLOCKPARA"/>
        <w:rPr>
          <w:rFonts w:ascii="Arial" w:hAnsi="Arial" w:cs="Arial"/>
        </w:rPr>
      </w:pPr>
      <w:r>
        <w:rPr>
          <w:rFonts w:cs="Arial" w:ascii="Arial" w:hAnsi="Arial"/>
        </w:rPr>
        <w:t xml:space="preserve">AA will perform the following tasks and assume the following responsibilities: </w:t>
      </w:r>
    </w:p>
    <w:p>
      <w:pPr>
        <w:pStyle w:val="ABLOCKPARA"/>
        <w:rPr>
          <w:rFonts w:ascii="Arial" w:hAnsi="Arial" w:cs="Arial"/>
        </w:rPr>
      </w:pPr>
      <w:r>
        <w:rPr>
          <w:rFonts w:cs="Arial" w:ascii="Arial" w:hAnsi="Arial"/>
        </w:rPr>
      </w:r>
    </w:p>
    <w:p>
      <w:pPr>
        <w:pStyle w:val="ABLOCKPARA"/>
        <w:numPr>
          <w:ilvl w:val="0"/>
          <w:numId w:val="5"/>
        </w:numPr>
        <w:tabs>
          <w:tab w:val="clear" w:pos="720"/>
          <w:tab w:val="left" w:pos="1003" w:leader="none"/>
        </w:tabs>
        <w:ind w:hanging="283" w:start="1003" w:end="0"/>
        <w:rPr>
          <w:rFonts w:ascii="Arial" w:hAnsi="Arial" w:cs="Arial"/>
        </w:rPr>
      </w:pPr>
      <w:r>
        <w:rPr>
          <w:rFonts w:cs="Arial" w:ascii="Arial" w:hAnsi="Arial"/>
        </w:rPr>
        <w:t>Attend and document business requirement sessions</w:t>
      </w:r>
    </w:p>
    <w:p>
      <w:pPr>
        <w:pStyle w:val="ABLOCKPARA"/>
        <w:numPr>
          <w:ilvl w:val="0"/>
          <w:numId w:val="5"/>
        </w:numPr>
        <w:tabs>
          <w:tab w:val="clear" w:pos="720"/>
          <w:tab w:val="left" w:pos="1003" w:leader="none"/>
        </w:tabs>
        <w:ind w:hanging="283" w:start="1003" w:end="0"/>
        <w:rPr>
          <w:rFonts w:ascii="Arial" w:hAnsi="Arial" w:cs="Arial"/>
        </w:rPr>
      </w:pPr>
      <w:r>
        <w:rPr>
          <w:rFonts w:cs="Arial" w:ascii="Arial" w:hAnsi="Arial"/>
        </w:rPr>
        <w:t>Track action steps and progress</w:t>
      </w:r>
    </w:p>
    <w:p>
      <w:pPr>
        <w:pStyle w:val="ABLOCKPARA"/>
        <w:numPr>
          <w:ilvl w:val="0"/>
          <w:numId w:val="5"/>
        </w:numPr>
        <w:tabs>
          <w:tab w:val="clear" w:pos="720"/>
          <w:tab w:val="left" w:pos="1003" w:leader="none"/>
        </w:tabs>
        <w:ind w:hanging="283" w:start="1003" w:end="0"/>
        <w:rPr>
          <w:rFonts w:ascii="Arial" w:hAnsi="Arial" w:cs="Arial"/>
        </w:rPr>
      </w:pPr>
      <w:r>
        <w:rPr>
          <w:rFonts w:cs="Arial" w:ascii="Arial" w:hAnsi="Arial"/>
        </w:rPr>
        <w:t>Make business or technical recommendations where appropriate</w:t>
      </w:r>
    </w:p>
    <w:p>
      <w:pPr>
        <w:pStyle w:val="ParaFlush"/>
        <w:rPr>
          <w:rFonts w:ascii="Arial" w:hAnsi="Arial" w:cs="Arial"/>
          <w:u w:val="single"/>
        </w:rPr>
      </w:pPr>
      <w:r>
        <w:rPr>
          <w:rFonts w:cs="Arial" w:ascii="Arial" w:hAnsi="Arial"/>
          <w:u w:val="single"/>
        </w:rPr>
      </w:r>
    </w:p>
    <w:p>
      <w:pPr>
        <w:pStyle w:val="ParaFlush"/>
        <w:rPr>
          <w:rFonts w:ascii="Arial" w:hAnsi="Arial" w:cs="Arial"/>
          <w:u w:val="single"/>
        </w:rPr>
      </w:pPr>
      <w:r>
        <w:rPr>
          <w:rFonts w:cs="Arial" w:ascii="Arial" w:hAnsi="Arial"/>
          <w:u w:val="single"/>
        </w:rPr>
      </w:r>
    </w:p>
    <w:p>
      <w:pPr>
        <w:pStyle w:val="ParaFlush"/>
        <w:rPr>
          <w:rFonts w:ascii="Arial" w:hAnsi="Arial" w:cs="Arial"/>
          <w:u w:val="single"/>
        </w:rPr>
      </w:pPr>
      <w:r>
        <w:rPr>
          <w:rFonts w:cs="Arial" w:ascii="Arial" w:hAnsi="Arial"/>
          <w:u w:val="single"/>
        </w:rPr>
        <w:t>EnronOnline Responsibilities:</w:t>
      </w:r>
    </w:p>
    <w:p>
      <w:pPr>
        <w:pStyle w:val="ParaFlush"/>
        <w:rPr>
          <w:rFonts w:ascii="Arial" w:hAnsi="Arial" w:cs="Arial"/>
        </w:rPr>
      </w:pPr>
      <w:r>
        <w:rPr>
          <w:rFonts w:cs="Arial" w:ascii="Arial" w:hAnsi="Arial"/>
        </w:rPr>
        <w:t>We will respect the confidentiality of the information you provide in connection with this engagement; however, by agreeing to this engagement, EnronOnline also consents to a review of the documents and work papers generated or accumulated in connection with this engagement (in redacted form if deemed necessary by EnronOnline to comply with confidentiality obligations EnronOnline may have to third parties) for quality control purposes by individuals or firms designated by us, AICPA or other licensees of the certification mark and related marks.  As such, any of the aforementioned parties shall have the right to inspect and review any and all documentation as well as any other materials created or received in connection with this engagement to ensure the quality of EnronOnline’s policies and procedures as they relate to operations.  EnronOnline shall fully comply with all such reviews or inspections.</w:t>
      </w:r>
    </w:p>
    <w:p>
      <w:pPr>
        <w:pStyle w:val="ParaFlush"/>
        <w:rPr>
          <w:rFonts w:ascii="Arial" w:hAnsi="Arial" w:cs="Arial"/>
        </w:rPr>
      </w:pPr>
      <w:r>
        <w:rPr>
          <w:rFonts w:cs="Arial" w:ascii="Arial" w:hAnsi="Arial"/>
        </w:rPr>
        <w:t>As noted, our evaluation will require that we make certain inquiries of management concerning business practices and controls relating to EnronOnline.  Because of the importance of management’s representations to the discharge of our responsibilities, EnronOnline agrees to release AA and its personnel from any liability and costs attributable to any misrepresentations by management in connection with our Evaluation or Unqualified Report.</w:t>
      </w:r>
    </w:p>
    <w:p>
      <w:pPr>
        <w:pStyle w:val="Normal"/>
        <w:spacing w:lineRule="atLeast" w:line="240"/>
        <w:rPr>
          <w:rFonts w:ascii="Arial" w:hAnsi="Arial" w:cs="Arial"/>
          <w:color w:val="000000"/>
        </w:rPr>
      </w:pPr>
      <w:r>
        <w:rPr>
          <w:rFonts w:cs="Arial" w:ascii="Arial" w:hAnsi="Arial"/>
          <w:color w:val="000000"/>
        </w:rPr>
        <w:t>All services will be supervised and managed by EnronOnline management.</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p>
      <w:pPr>
        <w:pStyle w:val="BodyText"/>
        <w:rPr>
          <w:rFonts w:ascii="Arial" w:hAnsi="Arial" w:cs="Arial"/>
          <w:b/>
          <w:i/>
          <w:i/>
        </w:rPr>
      </w:pPr>
      <w:r>
        <w:rPr>
          <w:rFonts w:cs="Arial" w:ascii="Arial" w:hAnsi="Arial"/>
          <w:b/>
          <w:i/>
        </w:rPr>
        <w:t>Engagement Team_________________________________________________________________</w:t>
      </w:r>
    </w:p>
    <w:p>
      <w:pPr>
        <w:pStyle w:val="BodyText"/>
        <w:rPr>
          <w:rFonts w:ascii="Arial" w:hAnsi="Arial" w:cs="Arial"/>
          <w:b/>
          <w:i/>
          <w:i/>
        </w:rPr>
      </w:pPr>
      <w:r>
        <w:rPr>
          <w:rFonts w:cs="Arial" w:ascii="Arial" w:hAnsi="Arial"/>
          <w:b/>
          <w:i/>
        </w:rPr>
      </w:r>
    </w:p>
    <w:p>
      <w:pPr>
        <w:pStyle w:val="Normal"/>
        <w:rPr>
          <w:rFonts w:ascii="Arial" w:hAnsi="Arial" w:cs="Arial"/>
        </w:rPr>
      </w:pPr>
      <w:r>
        <w:rPr>
          <w:rFonts w:cs="Arial" w:ascii="Arial" w:hAnsi="Arial"/>
        </w:rPr>
        <w:t>In order to ensure a successful project and provide quality service to EnronOnline, we will staff this engagement with a team of consultants experienced in Enron and its technology. We recognize that experienced team members with specific technical skills and an appropriate level of EnronOnline knowledge are a prerequisite for a successful project.  Thus, we have identified experienced resources from our Houston office with the appropriate experience.  The team will be composed of but not limited to:</w:t>
      </w:r>
    </w:p>
    <w:p>
      <w:pPr>
        <w:pStyle w:val="BodyText"/>
        <w:rPr>
          <w:rFonts w:ascii="Arial" w:hAnsi="Arial" w:cs="Arial"/>
        </w:rPr>
      </w:pPr>
      <w:r>
        <w:rPr>
          <w:rFonts w:cs="Arial" w:ascii="Arial" w:hAnsi="Arial"/>
        </w:rPr>
      </w:r>
    </w:p>
    <w:p>
      <w:pPr>
        <w:pStyle w:val="Heading6"/>
        <w:rPr>
          <w:rFonts w:ascii="Arial" w:hAnsi="Arial" w:cs="Arial"/>
        </w:rPr>
      </w:pPr>
      <w:r>
        <w:rPr>
          <w:rFonts w:cs="Arial" w:ascii="Arial" w:hAnsi="Arial"/>
        </w:rPr>
        <w:t>Edward L. Hill</w:t>
      </w:r>
    </w:p>
    <w:p>
      <w:pPr>
        <w:pStyle w:val="BodyTextIndent2"/>
        <w:rPr>
          <w:rFonts w:ascii="Arial" w:hAnsi="Arial" w:cs="Arial"/>
        </w:rPr>
      </w:pPr>
      <w:r>
        <w:rPr>
          <w:rFonts w:cs="Arial" w:ascii="Arial" w:hAnsi="Arial"/>
        </w:rPr>
        <w:t>Ed will serve as the overall Partner on this engagement to ensure our work meets our highest standards from a technical and quality assurance perspective.  Ed serves as the Technology Risk Consulting Partner for Enron.</w:t>
      </w:r>
    </w:p>
    <w:p>
      <w:pPr>
        <w:pStyle w:val="Heading6"/>
        <w:rPr>
          <w:rFonts w:ascii="Arial" w:hAnsi="Arial" w:cs="Arial"/>
        </w:rPr>
      </w:pPr>
      <w:r>
        <w:rPr>
          <w:rFonts w:cs="Arial" w:ascii="Arial" w:hAnsi="Arial"/>
        </w:rPr>
      </w:r>
    </w:p>
    <w:p>
      <w:pPr>
        <w:pStyle w:val="Heading6"/>
        <w:rPr>
          <w:rFonts w:ascii="Arial" w:hAnsi="Arial" w:cs="Arial"/>
        </w:rPr>
      </w:pPr>
      <w:r>
        <w:rPr>
          <w:rFonts w:cs="Arial" w:ascii="Arial" w:hAnsi="Arial"/>
        </w:rPr>
        <w:t>Michael P. Schultz</w:t>
      </w:r>
    </w:p>
    <w:p>
      <w:pPr>
        <w:pStyle w:val="BodyText2"/>
        <w:ind w:hanging="0" w:start="720" w:end="0"/>
        <w:rPr>
          <w:rFonts w:ascii="Arial" w:hAnsi="Arial" w:cs="Arial"/>
        </w:rPr>
      </w:pPr>
      <w:r>
        <w:rPr>
          <w:rFonts w:cs="Arial" w:ascii="Arial" w:hAnsi="Arial"/>
        </w:rPr>
        <w:t>Michael will serve as the engagement manager responsible for overall quality and will review the delivery of results.  Michael is a Senior Manager in our Technology Risk Consulting practice and has responsibility for systems consultation and systems related work for Arthur Andersen’s audit and risk consulting for Enron.</w:t>
      </w:r>
    </w:p>
    <w:p>
      <w:pPr>
        <w:pStyle w:val="Normal"/>
        <w:ind w:start="720" w:end="0"/>
        <w:rPr>
          <w:rFonts w:ascii="Arial" w:hAnsi="Arial" w:cs="Arial"/>
        </w:rPr>
      </w:pPr>
      <w:r>
        <w:rPr>
          <w:rFonts w:cs="Arial" w:ascii="Arial" w:hAnsi="Arial"/>
        </w:rPr>
      </w:r>
    </w:p>
    <w:p>
      <w:pPr>
        <w:pStyle w:val="Heading6"/>
        <w:rPr>
          <w:rFonts w:ascii="Arial" w:hAnsi="Arial" w:cs="Arial"/>
        </w:rPr>
      </w:pPr>
      <w:r>
        <w:rPr>
          <w:rFonts w:cs="Arial" w:ascii="Arial" w:hAnsi="Arial"/>
        </w:rPr>
        <w:t>John Miles</w:t>
      </w:r>
    </w:p>
    <w:p>
      <w:pPr>
        <w:pStyle w:val="BodyText2"/>
        <w:ind w:hanging="0" w:start="720" w:end="0"/>
        <w:rPr>
          <w:rFonts w:ascii="Arial" w:hAnsi="Arial" w:cs="Arial"/>
        </w:rPr>
      </w:pPr>
      <w:r>
        <w:rPr>
          <w:rFonts w:cs="Arial" w:ascii="Arial" w:hAnsi="Arial"/>
        </w:rPr>
        <w:t xml:space="preserve">John will serve as the technical advisor helping assure the overall quality, delivery of results and resources focused on the business processes and system initiatives.  John is a Senior Manager in our Technology Risk Consulting practice and is the leader of our local eBusiness and Security practice. </w:t>
      </w:r>
    </w:p>
    <w:p>
      <w:pPr>
        <w:pStyle w:val="BodyText2"/>
        <w:ind w:hanging="0" w:start="720" w:end="0"/>
        <w:rPr>
          <w:rFonts w:ascii="Arial" w:hAnsi="Arial" w:cs="Arial"/>
        </w:rPr>
      </w:pPr>
      <w:r>
        <w:rPr>
          <w:rFonts w:cs="Arial" w:ascii="Arial" w:hAnsi="Arial"/>
        </w:rPr>
      </w:r>
    </w:p>
    <w:p>
      <w:pPr>
        <w:pStyle w:val="Heading6"/>
        <w:rPr>
          <w:rFonts w:ascii="Arial" w:hAnsi="Arial" w:cs="Arial"/>
        </w:rPr>
      </w:pPr>
      <w:r>
        <w:rPr>
          <w:rFonts w:cs="Arial" w:ascii="Arial" w:hAnsi="Arial"/>
        </w:rPr>
        <w:t>Cindy Davis</w:t>
      </w:r>
    </w:p>
    <w:p>
      <w:pPr>
        <w:pStyle w:val="BodyText2"/>
        <w:ind w:hanging="0" w:start="720" w:end="0"/>
        <w:rPr>
          <w:rFonts w:ascii="Arial" w:hAnsi="Arial" w:cs="Arial"/>
        </w:rPr>
      </w:pPr>
      <w:r>
        <w:rPr>
          <w:rFonts w:cs="Arial" w:ascii="Arial" w:hAnsi="Arial"/>
        </w:rPr>
        <w:t>Cindy will serve as the day to day leader on the efforts related to execution of the project scope.  Cindy is a Manager in our Technology Risk Consulting practice and has responsibility for systems related work for Arthur Andersen's audit for Enron.</w:t>
      </w:r>
    </w:p>
    <w:p>
      <w:pPr>
        <w:pStyle w:val="BodyText2"/>
        <w:ind w:hanging="0" w:start="720" w:end="0"/>
        <w:rPr>
          <w:rFonts w:ascii="Arial" w:hAnsi="Arial" w:cs="Arial"/>
        </w:rPr>
      </w:pPr>
      <w:r>
        <w:rPr>
          <w:rFonts w:cs="Arial" w:ascii="Arial" w:hAnsi="Arial"/>
        </w:rPr>
      </w:r>
    </w:p>
    <w:p>
      <w:pPr>
        <w:pStyle w:val="BodyText"/>
        <w:rPr>
          <w:rFonts w:ascii="Arial" w:hAnsi="Arial" w:cs="Arial"/>
        </w:rPr>
      </w:pPr>
      <w:r>
        <w:rPr>
          <w:rFonts w:cs="Arial" w:ascii="Arial" w:hAnsi="Arial"/>
        </w:rPr>
        <w:t>Additional AA consultants who have the applicable skills as well as an appropriate level of IT and eBusiness knowledge will make up the engagement team in support roles as deemed necessary by EnronOnline management.</w:t>
      </w:r>
    </w:p>
    <w:p>
      <w:pPr>
        <w:pStyle w:val="BodyText"/>
        <w:rPr>
          <w:rFonts w:ascii="Arial" w:hAnsi="Arial" w:cs="Arial"/>
        </w:rPr>
      </w:pPr>
      <w:r>
        <w:rPr>
          <w:rFonts w:cs="Arial" w:ascii="Arial" w:hAnsi="Arial"/>
        </w:rPr>
      </w:r>
    </w:p>
    <w:p>
      <w:pPr>
        <w:pStyle w:val="Normal"/>
        <w:jc w:val="both"/>
        <w:rPr>
          <w:rFonts w:ascii="Arial" w:hAnsi="Arial" w:cs="Arial"/>
          <w:b/>
          <w:i/>
          <w:i/>
        </w:rPr>
      </w:pPr>
      <w:r>
        <w:rPr>
          <w:rFonts w:cs="Arial" w:ascii="Arial" w:hAnsi="Arial"/>
          <w:b/>
          <w:i/>
        </w:rPr>
        <w:t>Timeframe and Professional Fees____________________________________________________</w:t>
      </w:r>
    </w:p>
    <w:p>
      <w:pPr>
        <w:pStyle w:val="Normal"/>
        <w:jc w:val="both"/>
        <w:rPr>
          <w:rFonts w:ascii="Arial" w:hAnsi="Arial" w:cs="Arial"/>
          <w:b/>
          <w:i/>
          <w:i/>
        </w:rPr>
      </w:pPr>
      <w:r>
        <w:rPr>
          <w:rFonts w:cs="Arial" w:ascii="Arial" w:hAnsi="Arial"/>
          <w:b/>
          <w:i/>
        </w:rPr>
      </w:r>
    </w:p>
    <w:p>
      <w:pPr>
        <w:pStyle w:val="ParaFlush"/>
        <w:rPr/>
      </w:pPr>
      <w:r>
        <w:rPr>
          <w:rFonts w:cs="Arial" w:ascii="Arial" w:hAnsi="Arial"/>
        </w:rPr>
        <w:t>We will require time with your personnel in the information technology and applicable operations groups in order to complete our examination. The timeframe for the completion of the attestation work will be dependent upon the number of assertions ultimately developed by management and agreed to by Arthur Andersen as well as the quality and measurability of existing operating policies and practices.   Based on prior experience, we estimate each quarter’s work duration to be 1-2 weeks from the start of the project. We plan to begin this engagement on January 1, 2000 and to complete our field work on or before the</w:t>
      </w:r>
      <w:r>
        <w:rPr>
          <w:rFonts w:cs="Arial" w:ascii="Arial" w:hAnsi="Arial"/>
          <w:color w:val="FF0000"/>
        </w:rPr>
        <w:t xml:space="preserve"> fifteenth of the month following the</w:t>
      </w:r>
      <w:r>
        <w:rPr>
          <w:rFonts w:cs="Arial" w:ascii="Arial" w:hAnsi="Arial"/>
        </w:rPr>
        <w:t xml:space="preserve"> end of each quarter for the next twelve months.  As discussed above, we will begin to update our testing procedures to ensure continued compliance with the attestation Principles and Criteria (4-12) months from the issuance of our initial Unqualified Report.</w:t>
      </w:r>
    </w:p>
    <w:p>
      <w:pPr>
        <w:pStyle w:val="ABLOCKPARA"/>
        <w:rPr>
          <w:rFonts w:ascii="Arial" w:hAnsi="Arial" w:cs="Arial"/>
        </w:rPr>
      </w:pPr>
      <w:r>
        <w:rPr>
          <w:rFonts w:cs="Arial" w:ascii="Arial" w:hAnsi="Arial"/>
        </w:rPr>
        <w:t>Billings for our services will be based on time incurred, plus out of pocket expenses.  Based on the level of involvement as directed by EnronOnline management, quarterly project fees are estimated at $7500 plus reasonable out of pocket expenses.  Project fees will not exceed this amount unless prior written consent from Enron is obtained. Amounts are due within thirty (30) days of receipt of invoice, which will be presented after completion of each quarter’s work.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will work with you to the best of our ability to keep our fees within those specified above. Should we encounter any conditions that in our judgment may preclude completing the engagement as described above or exceed the estimated fees, we will inform you immediately and discuss possible alternatives.</w:t>
      </w:r>
    </w:p>
    <w:p>
      <w:pPr>
        <w:pStyle w:val="Normal"/>
        <w:rPr>
          <w:rFonts w:ascii="Arial" w:hAnsi="Arial" w:cs="Arial"/>
        </w:rPr>
      </w:pPr>
      <w:r>
        <w:rPr>
          <w:rFonts w:cs="Arial" w:ascii="Arial" w:hAnsi="Arial"/>
        </w:rPr>
      </w:r>
    </w:p>
    <w:p>
      <w:pPr>
        <w:pStyle w:val="Heading5"/>
        <w:ind w:hanging="0" w:start="0"/>
        <w:rPr>
          <w:rFonts w:ascii="Arial" w:hAnsi="Arial" w:cs="Arial"/>
          <w:i/>
          <w:i/>
        </w:rPr>
      </w:pPr>
      <w:r>
        <w:rPr>
          <w:rFonts w:cs="Arial" w:ascii="Arial" w:hAnsi="Arial"/>
          <w:i/>
        </w:rPr>
        <w:t>Other matters</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 xml:space="preserve">Arthur Andersen grants to EnronOnline a worldwide, royalty-free limited license (“Limited License”) to use the Arthur Andersen name and logo on EnronOnline’s internet web site solely in connection with the posting of and linking to the Arthur Andersen Examination Report, in a manner consistent with the usage guidelines and identification standards defined by Arthur Andersen and communicated in writing to EnronOnline, who agrees to strictly comply with all such guidelines and standards. EnronOnline agrees to only display this report for the period of time identified in the Management Representation letter.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EnronOnline hereby expressly agrees and acknowledges that (i) the Arthur Andersen name and logo have substantial value to Arthur Andersen and (ii) a breach of EnronOnline’s obligation with respect to the use of the Arthur Andersen name and logo may result in irreparable injury to Arthur Andersen for which monetary damages alone would not be adequate remedy and accordingly in the event of such a breach or a threatened breach by EnronOnline, Arthur Andersen shall be entitled, in any jurisdiction in the world, to seek specific performance and injunctive or other equitable relief  as a remedy for any such breach.  Nothing herein shall be construed as prohibiting Arthur Andersen from pursuing any other remedies available to it for such breach or threaten breach, including, but not limited to, the recovery of damages from EnronOnline.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Our evaluation will require that we make certain inquiries of management concerning business policies and practices. Because of the importance of management's representations to the discharge of our responsibilities, EnronOnline agrees to release and indemnify Arthur Andersen and its personnel from any liability and cost attributable to any misrepresentations by management in connection with our examination.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Arthur Andersen’s total liability relating to this Agreement shall in no event exceed the fees Arthur Andersen receives for the Services hereunder.  Except for claims for indemnity under this Agreement,  in no event shall either party be liable to the other for any special, consequential, incidental or exemplary damages or loss (nor any lost profits, savings or business opportunity).  This paragraph shall apply regardless of the nature of any claim asserted (including contract, statute, any form of negligence, tort, failure of essential purpose, strict liability or otherwise) and whether or not such party was advised of the possibility of the damage or loss asserted.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EnronOnline shall indemnify Arthur Andersen, its affiliates and their partners, principals and personnel against all costs, fees, expenses, damages and liabilities (including defense costs) associated with any third party claim relating to or arising as a result of the Services, Client’s use of any work product thereof or other deliverables, or this Agreement generally.  The foregoing shall apply regardless of the nature of any claim asserted (including those based on contract, statute, tort, strict liability or otherwise), but shall not apply to the extent finally determined to be contrary to any applicable law. However, such indemnity shall not apply to a claim to the extent the associated loss, damage or injury is finally determined to have been caused by the negligence, willful misconduct or fraudulent behavior of Arthur Andersen.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Arthur Anderson shall indemnify EnronOnline, its affiliates, officers, directors, and employees against all costs, fees, expenses, damages and liabilities (including defense costs) associated with any third party claim relating to or arising as a result of the negligence, willful misconduct or fraudulent behavior of Arthur Anderson in providing the Services.  The foregoing shall apply regardless of the nature of any claim asserted (including those based on contract, statute, tort, strict liability or otherwise), but shall not apply to the extent finally determined to be contrary by any applicable law.</w:t>
      </w:r>
    </w:p>
    <w:p>
      <w:pPr>
        <w:pStyle w:val="Normal"/>
        <w:rPr>
          <w:rFonts w:ascii="Arial" w:hAnsi="Arial" w:cs="Arial"/>
        </w:rPr>
      </w:pPr>
      <w:r>
        <w:rPr>
          <w:rFonts w:cs="Arial" w:ascii="Arial" w:hAnsi="Arial"/>
        </w:rPr>
      </w:r>
    </w:p>
    <w:p>
      <w:pPr>
        <w:pStyle w:val="ParaFlush"/>
        <w:rPr>
          <w:rFonts w:ascii="Arial" w:hAnsi="Arial" w:cs="Arial"/>
        </w:rPr>
      </w:pPr>
      <w:r>
        <w:rPr>
          <w:rFonts w:cs="Arial" w:ascii="Arial" w:hAnsi="Arial"/>
        </w:rPr>
        <w:t>Except for claims for indemnity under this Agreement, our maximum liability relating to services rendered under this letter (regardless of form of action, whether in contract, negligence or otherwise) shall be limited to the charges paid to us for the Services under the Agreement.  In no event shall we be liable for consequential, special, incidental or punitive loss, damage or expense (including without limitation, lost profits, opportunity costs, etc.) even if we have been advised of their possible existence.</w:t>
      </w:r>
    </w:p>
    <w:p>
      <w:pPr>
        <w:pStyle w:val="BodyText"/>
        <w:rPr>
          <w:rFonts w:ascii="Arial" w:hAnsi="Arial" w:cs="Arial"/>
        </w:rPr>
      </w:pPr>
      <w:r>
        <w:rPr>
          <w:rFonts w:cs="Arial" w:ascii="Arial" w:hAnsi="Arial"/>
        </w:rPr>
        <w:t>We appreciate the opportunity to be of service to EnronOnline in this extremely important project.  We look forward to working with you and to providing a meaningful service.  If you have any questions regarding these arrangements please feel free to call me at (713) 237-2354 or Michael Schultz at  (713) 853-3880.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confirm your agreement with the above terms by signing and returning a copy of this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Very truly yours,</w:t>
      </w:r>
    </w:p>
    <w:p>
      <w:pPr>
        <w:pStyle w:val="Heading1"/>
        <w:ind w:hanging="0" w:start="0"/>
        <w:jc w:val="start"/>
        <w:rPr>
          <w:rFonts w:ascii="Arial" w:hAnsi="Arial" w:cs="Arial"/>
          <w:b w:val="false"/>
          <w:sz w:val="22"/>
        </w:rPr>
      </w:pPr>
      <w:r>
        <w:rPr>
          <w:rFonts w:cs="Arial" w:ascii="Arial" w:hAnsi="Arial"/>
          <w:b w:val="false"/>
          <w:sz w:val="22"/>
        </w:rPr>
      </w:r>
    </w:p>
    <w:p>
      <w:pPr>
        <w:pStyle w:val="Heading1"/>
        <w:ind w:hanging="0" w:start="0"/>
        <w:jc w:val="start"/>
        <w:rPr>
          <w:rFonts w:ascii="Arial" w:hAnsi="Arial" w:cs="Arial"/>
          <w:sz w:val="22"/>
        </w:rPr>
      </w:pPr>
      <w:r>
        <w:rPr>
          <w:rFonts w:cs="Arial" w:ascii="Arial" w:hAnsi="Arial"/>
          <w:sz w:val="22"/>
        </w:rPr>
        <w:t>ARTHUR ANDERSEN LLP</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_________________________________</w:t>
      </w:r>
    </w:p>
    <w:p>
      <w:pPr>
        <w:pStyle w:val="Normal"/>
        <w:ind w:start="720" w:end="0"/>
        <w:rPr>
          <w:rFonts w:ascii="Arial" w:hAnsi="Arial" w:cs="Arial"/>
        </w:rPr>
      </w:pPr>
      <w:r>
        <w:rPr>
          <w:rFonts w:cs="Arial" w:ascii="Arial" w:hAnsi="Arial"/>
        </w:rPr>
        <w:t>Edward L. Hill</w:t>
      </w:r>
    </w:p>
    <w:p>
      <w:pPr>
        <w:pStyle w:val="Normal"/>
        <w:tabs>
          <w:tab w:val="clear" w:pos="720"/>
          <w:tab w:val="left" w:pos="630" w:leader="none"/>
        </w:tabs>
        <w:ind w:hanging="720" w:start="720" w:end="0"/>
        <w:rPr>
          <w:rFonts w:ascii="Arial" w:hAnsi="Arial" w:cs="Arial"/>
        </w:rPr>
      </w:pPr>
      <w:r>
        <w:rPr>
          <w:rFonts w:cs="Arial" w:ascii="Arial" w:hAnsi="Arial"/>
        </w:rPr>
        <w:t xml:space="preserve">Title: </w:t>
      </w:r>
      <w:r>
        <w:rPr>
          <w:rFonts w:cs="Arial" w:ascii="Arial" w:hAnsi="Arial"/>
          <w:u w:val="single"/>
        </w:rPr>
        <w:tab/>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Accepted and Acknowledged by:</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EnronOnline, LLC</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_________________________________</w:t>
      </w:r>
    </w:p>
    <w:p>
      <w:pPr>
        <w:pStyle w:val="Normal"/>
        <w:rPr>
          <w:rFonts w:ascii="Arial" w:hAnsi="Arial" w:cs="Arial"/>
        </w:rPr>
      </w:pPr>
      <w:r>
        <w:rPr>
          <w:rFonts w:cs="Arial" w:ascii="Arial" w:hAnsi="Arial"/>
        </w:rPr>
        <w:t xml:space="preserve">Name: </w:t>
      </w:r>
      <w:r>
        <w:rPr>
          <w:rFonts w:cs="Arial" w:ascii="Arial" w:hAnsi="Arial"/>
          <w:u w:val="single"/>
        </w:rPr>
        <w:tab/>
        <w:tab/>
        <w:tab/>
        <w:tab/>
        <w:tab/>
        <w:tab/>
      </w:r>
    </w:p>
    <w:p>
      <w:pPr>
        <w:pStyle w:val="Normal"/>
        <w:rPr>
          <w:rFonts w:ascii="Arial" w:hAnsi="Arial" w:cs="Arial"/>
        </w:rPr>
      </w:pPr>
      <w:r>
        <w:rPr>
          <w:rFonts w:cs="Arial" w:ascii="Arial" w:hAnsi="Arial"/>
        </w:rPr>
        <w:t>Title:</w:t>
      </w:r>
      <w:r>
        <w:rPr>
          <w:rFonts w:cs="Arial" w:ascii="Arial" w:hAnsi="Arial"/>
          <w:u w:val="single"/>
        </w:rPr>
        <w:tab/>
        <w:tab/>
        <w:tab/>
        <w:tab/>
        <w:tab/>
        <w:tab/>
      </w:r>
      <w:r>
        <w:br w:type="page"/>
      </w:r>
    </w:p>
    <w:p>
      <w:pPr>
        <w:pStyle w:val="Normal"/>
        <w:rPr>
          <w:rFonts w:ascii="Arial" w:hAnsi="Arial" w:cs="Arial"/>
        </w:rPr>
      </w:pPr>
      <w:r>
        <w:rPr>
          <w:rFonts w:cs="Arial" w:ascii="Arial" w:hAnsi="Arial"/>
        </w:rPr>
      </w:r>
    </w:p>
    <w:p>
      <w:pPr>
        <w:pStyle w:val="Normal"/>
        <w:rPr/>
      </w:pPr>
      <w:r>
        <w:rPr/>
        <w:tab/>
        <w:tab/>
        <w:tab/>
        <w:tab/>
        <w:tab/>
        <w:tab/>
        <w:tab/>
        <w:tab/>
        <w:tab/>
        <w:tab/>
        <w:tab/>
        <w:t xml:space="preserve">           APPENDIX I</w:t>
      </w:r>
    </w:p>
    <w:p>
      <w:pPr>
        <w:pStyle w:val="Normal"/>
        <w:rPr>
          <w:rFonts w:ascii="Arial" w:hAnsi="Arial" w:cs="Arial"/>
          <w:b/>
        </w:rPr>
      </w:pPr>
      <w:r>
        <w:rPr>
          <w:rFonts w:cs="Arial" w:ascii="Arial" w:hAnsi="Arial"/>
          <w:b/>
        </w:rPr>
      </w:r>
    </w:p>
    <w:p>
      <w:pPr>
        <w:pStyle w:val="Heading9"/>
        <w:ind w:hanging="0" w:start="0"/>
        <w:rPr/>
      </w:pPr>
      <w:r>
        <w:rPr/>
        <w:t>Standard Business Terms</w:t>
      </w:r>
    </w:p>
    <w:p>
      <w:pPr>
        <w:pStyle w:val="Normal"/>
        <w:jc w:val="center"/>
        <w:rPr>
          <w:rFonts w:ascii="Arial" w:hAnsi="Arial" w:cs="Arial"/>
          <w:b/>
        </w:rPr>
      </w:pPr>
      <w:r>
        <w:rPr>
          <w:rFonts w:cs="Arial" w:ascii="Arial" w:hAnsi="Arial"/>
          <w:b/>
        </w:rPr>
      </w:r>
    </w:p>
    <w:p>
      <w:pPr>
        <w:pStyle w:val="BodyText3"/>
        <w:rPr>
          <w:sz w:val="22"/>
        </w:rPr>
      </w:pPr>
      <w:bookmarkStart w:id="0" w:name="_Hlk469116005"/>
      <w:r>
        <w:rPr>
          <w:sz w:val="22"/>
        </w:rPr>
        <w:t>These Standard Business Terms ("Terms") shall govern the Services provided by Arthur Andersen LLP ("AA") as set forth in the Job Arrangement Letter executed by EnronOnline (“Client”) and AA to which these Terms are attached. These Terms, together with the Job Arrangement Letter, constitute the entire understanding and agreement between Client and AA with respect to the Services described in the Job Arrangement Letter ("Agreement"), supersede all prior oral and written communications, and may be amended, modified or changed (including changes in scope or nature of the Services or fees) only in writing when signed by both parties. If there is a conflict between these Terms and the terms of any Job Arrangement Letter, these Terms shall govern.</w:t>
      </w:r>
    </w:p>
    <w:p>
      <w:pPr>
        <w:pStyle w:val="BodyText3"/>
        <w:rPr>
          <w:sz w:val="22"/>
        </w:rPr>
      </w:pPr>
      <w:r>
        <w:rPr>
          <w:sz w:val="22"/>
        </w:rPr>
      </w:r>
    </w:p>
    <w:p>
      <w:pPr>
        <w:pStyle w:val="Normal"/>
        <w:jc w:val="both"/>
        <w:rPr>
          <w:rFonts w:ascii="Arial" w:hAnsi="Arial" w:cs="Arial"/>
          <w:b/>
          <w:u w:val="single"/>
        </w:rPr>
      </w:pPr>
      <w:r>
        <w:rPr>
          <w:rFonts w:cs="Arial" w:ascii="Arial" w:hAnsi="Arial"/>
          <w:b/>
          <w:u w:val="single"/>
        </w:rPr>
        <w:t>Section 1. Fees, Expenses</w:t>
      </w:r>
    </w:p>
    <w:p>
      <w:pPr>
        <w:pStyle w:val="Normal"/>
        <w:jc w:val="both"/>
        <w:rPr>
          <w:rFonts w:ascii="Arial" w:hAnsi="Arial" w:cs="Arial"/>
        </w:rPr>
      </w:pPr>
      <w:r>
        <w:rPr>
          <w:rFonts w:cs="Arial" w:ascii="Arial" w:hAnsi="Arial"/>
        </w:rPr>
        <w:t>Client shall pay AA the professional fees and the related expenses in accordance with the Job Arrangement Letter.</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2. Client Responsibilities</w:t>
      </w:r>
    </w:p>
    <w:p>
      <w:pPr>
        <w:pStyle w:val="Normal"/>
        <w:jc w:val="both"/>
        <w:rPr>
          <w:rFonts w:ascii="Arial" w:hAnsi="Arial" w:cs="Arial"/>
        </w:rPr>
      </w:pPr>
      <w:r>
        <w:rPr>
          <w:rFonts w:cs="Arial" w:ascii="Arial" w:hAnsi="Arial"/>
        </w:rPr>
        <w:t>As a prerequisite to AA’s delivery of Services, Client shall (i) fulfill the Client Responsibilities and ensure that all Assumptions are accurate; (ii) provide AA with reliable, accurate and complete information, as required; (iii) make timely decisions and obtain required management approvals; and (iv) furnish AA personnel with a suitable office environment and adequate resources and supplies, as needed.</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3. Confidentiality</w:t>
      </w:r>
    </w:p>
    <w:p>
      <w:pPr>
        <w:pStyle w:val="Normal"/>
        <w:jc w:val="both"/>
        <w:rPr>
          <w:rFonts w:ascii="Arial" w:hAnsi="Arial" w:cs="Arial"/>
        </w:rPr>
      </w:pPr>
      <w:r>
        <w:rPr>
          <w:rFonts w:cs="Arial" w:ascii="Arial" w:hAnsi="Arial"/>
        </w:rPr>
        <w:t>With respect to information supplied in connection with this Agreement and designated by the disclosing party as confidential (or in the absence of such designation, information that is of such nature as should be known to the recipient to be confidential), the recipient agrees to: (i) protect the confidential information in a reasonable and appropriate manner or in accordance with applicable professional standards; (ii) use confidential information only to perform its obligations under this Agreement; and (iii) reproduce confidential information only as required to perform its obligations under this Agreement. This section shall not apply to information which is (i) publicly known other than as a result of disclosure by recipient, (ii) already known to the recipient on a nonconfidential basis  as evidenced by the recipient’s files in existence at the time of the disclosure; (iii) disclosed to a third party without restriction; (iv) independently developed without reference to the Confidential Information; (v) disclosed in anticipation of use on the EnronOnline website or (vi) disclosed pursuant to legal requirement or order. If the recipient is requested or required (by oral question, interrogatories, requests for information or documents, subpoena, civil investigative demand or similar process) to disclose any Confidential Information, it will promptly notify the disclosing party of such request or requirement so that the disclosing party may seek an appropriate protective order or waiver in compliance with provisions of this Agreement.  Subject to the foregoing, AA may disclose Client’s confidential information to its subcontractors and affiliates and Enron may disclose AA’s confidential information to its affiliates on a need to know basis so long as such subcontractors and affiliates agree to comply with the terms of this Agreement and provided that the recipient of the other party’s confidential information is responsible for any breach of this Agreement by such subcontractors and affiliates. Except as may be required by applicable law or stock exchange rules, without the prior written consent of the disclosing party, the recipient will not, and will direct its affiliates or subcontractors, as applicable, not to, disclose to any person either the fact that the Confidential Information has been made available to it, that it has inspected any portion of the Confidential Information, or other facts with respect to the discussions or Services, including the status thereof.</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4. Deliverables</w:t>
      </w:r>
    </w:p>
    <w:p>
      <w:pPr>
        <w:pStyle w:val="Normal"/>
        <w:jc w:val="both"/>
        <w:rPr>
          <w:rFonts w:ascii="Arial" w:hAnsi="Arial" w:cs="Arial"/>
        </w:rPr>
      </w:pPr>
      <w:r>
        <w:rPr>
          <w:rFonts w:cs="Arial" w:ascii="Arial" w:hAnsi="Arial"/>
        </w:rPr>
        <w:t>Client may, solely for its internal business purposes, use, copy, distribute internally,  modify and publish on the EnronOnline website as set forth in the Job Arrangement Letter the deliverables described under AA Services and Responsibilities in the Job Arrangement Letter (the "Deliverables"). Except as provided under the Job Arrangement Letter, Client shall not, without AA’s prior written consent, disclose to a third party, publicly quote or make reference to the Deliverables. AA shall retain all right, title and interest in and to: (i) the Deliverables, including but not limited to all patent, copyright, trademark and other intellectual property rights therein; and (ii) all methodologies, processes, techniques, ideas, concepts, trade secrets and know-how embodied in the Deliverables or that AA may develop or supply in connection with this Agreement (the "AA Knowledge"). Subject to the confidentiality restrictions contained in Section 3, AA may use the Deliverables and the AA Knowledge for any purpose.</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5. Acceptance</w:t>
      </w:r>
    </w:p>
    <w:p>
      <w:pPr>
        <w:pStyle w:val="Normal"/>
        <w:jc w:val="both"/>
        <w:rPr>
          <w:rFonts w:ascii="Arial" w:hAnsi="Arial" w:cs="Arial"/>
        </w:rPr>
      </w:pPr>
      <w:r>
        <w:rPr>
          <w:rFonts w:cs="Arial" w:ascii="Arial" w:hAnsi="Arial"/>
        </w:rPr>
        <w:t>Client shall accept Deliverables that conform to the requirements of the Job Arrangement Letter, or, where applicable, the acceptance test plan was successfully completed. Client will promptly give AA notification of any non-conformance of the Deliverables with such requirements ("Non-conformance"), and AA shall have a reasonable period of time, based on the severity and complexity of the Non-conformance, to correct the Non-conformance. If Client uses the Deliverable before acceptance, fails to promptly notify AA of any Non-conformance, or unreasonably delays the beginning of acceptance testing, then the Deliverable shall be considered accepted by the Client.</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6. Warranty</w:t>
      </w:r>
    </w:p>
    <w:p>
      <w:pPr>
        <w:pStyle w:val="Normal"/>
        <w:jc w:val="both"/>
        <w:rPr>
          <w:rFonts w:ascii="Arial" w:hAnsi="Arial" w:cs="Arial"/>
        </w:rPr>
      </w:pPr>
      <w:r>
        <w:rPr>
          <w:rFonts w:cs="Arial" w:ascii="Arial" w:hAnsi="Arial"/>
        </w:rPr>
        <w:t>(a) AA warrants that the Services shall be performed with reasonable care in a diligent and competent manner. Except for AA’s indemnification obligations under the Job Arrangement Letter, AA’s sole obligation shall be to correct any non-conformance with this warranty, provided that Client gives AA written notice within thirty (30) days after the Services are performed or successful completion of the acceptance test plan, if applicable.  If AA is unable to correct any non-conformance within a reasonable period of time, Client will be entitled to seek all remedies available under applicable law, provided however, that in no event will AA’s liability hereunder exceed the total amount paid by Client for Services under the Job Arrangement Letter.</w:t>
      </w:r>
    </w:p>
    <w:p>
      <w:pPr>
        <w:pStyle w:val="Normal"/>
        <w:jc w:val="both"/>
        <w:rPr>
          <w:rFonts w:ascii="Arial" w:hAnsi="Arial" w:cs="Arial"/>
        </w:rPr>
      </w:pPr>
      <w:r>
        <w:rPr>
          <w:rFonts w:cs="Arial" w:ascii="Arial" w:hAnsi="Arial"/>
        </w:rPr>
        <w:t>(b) AA does not warrant and is not responsible for any third party products or services. Client’s sole and exclusive rights and remedies with respect to any third party products or services are against the third party vendor and not against AA.</w:t>
      </w:r>
    </w:p>
    <w:p>
      <w:pPr>
        <w:pStyle w:val="Normal"/>
        <w:jc w:val="both"/>
        <w:rPr>
          <w:rFonts w:ascii="Arial" w:hAnsi="Arial" w:cs="Arial"/>
        </w:rPr>
      </w:pPr>
      <w:r>
        <w:rPr>
          <w:rFonts w:cs="Arial" w:ascii="Arial" w:hAnsi="Arial"/>
        </w:rPr>
        <w:t>(c) THIS SECTION 6 IS AA’S ONLY WARRANTY CONCERNING THE SERVICES AND ANY DELIVERABLE, AND IS MADE EXPRESSLY IN LIEU OF ALL OTHER WARRANTIES AND REPRESENTATIONS, EXPRESS OR IMPLIED, INCLUDING ANY IMPLIED WARRANTIES OF MERCHANTABILITY, NON-INFRINGEMENT, OR FITNESS FOR A PARTICULAR PURPOSE, OR OTHERWISE.</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7. Scope of Services</w:t>
      </w:r>
    </w:p>
    <w:p>
      <w:pPr>
        <w:pStyle w:val="Normal"/>
        <w:jc w:val="both"/>
        <w:rPr>
          <w:rFonts w:ascii="Arial" w:hAnsi="Arial" w:cs="Arial"/>
        </w:rPr>
      </w:pPr>
      <w:r>
        <w:rPr>
          <w:rFonts w:cs="Arial" w:ascii="Arial" w:hAnsi="Arial"/>
        </w:rPr>
        <w:t>(a) AA shall have no obligation to identify or correct the failure of any computer system (including embedded systems) to function as originally intended with respect to data, calculations and other processing relating to dates before, on or following January 1, 2000 ("Year 2000 Problem"), or to provide any type of Year 2000 advice or services. AA has no responsibility in connection with (i) any inaccuracy, delay or inability to perform the Services which results from any Year 2000 Problem, and (ii) Client’s computer processing effected by any Year 2000 Problem.</w:t>
      </w:r>
    </w:p>
    <w:p>
      <w:pPr>
        <w:pStyle w:val="Normal"/>
        <w:jc w:val="both"/>
        <w:rPr>
          <w:rFonts w:ascii="Arial" w:hAnsi="Arial" w:cs="Arial"/>
        </w:rPr>
      </w:pPr>
      <w:r>
        <w:rPr>
          <w:rFonts w:cs="Arial" w:ascii="Arial" w:hAnsi="Arial"/>
        </w:rPr>
        <w:t>(b) AA shall have no obligation to provide any advice or services, identify any issues, or prepare any system with respect to the Euro ("Euro Issues"). In addition, AA has no responsibility for any inaccuracy, delay or inability to perform the Services which results from any Euro Issue.</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8. Risk Allocation</w:t>
      </w:r>
    </w:p>
    <w:p>
      <w:pPr>
        <w:pStyle w:val="Normal"/>
        <w:jc w:val="both"/>
        <w:rPr>
          <w:rFonts w:ascii="Arial" w:hAnsi="Arial" w:cs="Arial"/>
        </w:rPr>
      </w:pPr>
      <w:r>
        <w:rPr>
          <w:rFonts w:cs="Arial" w:ascii="Arial" w:hAnsi="Arial"/>
        </w:rPr>
        <w:t>(a) Except for its indemnification obligations, AA’s total liability relating to this Agreement shall in no event exceed the fees AA receives hereunder for the services, or include any special, consequential, incidental or exemplary damages or loss (nor any lost profits, savings or business opportunity).</w:t>
      </w:r>
    </w:p>
    <w:p>
      <w:pPr>
        <w:pStyle w:val="Normal"/>
        <w:jc w:val="both"/>
        <w:rPr>
          <w:rFonts w:ascii="Arial" w:hAnsi="Arial" w:cs="Arial"/>
        </w:rPr>
      </w:pPr>
      <w:r>
        <w:rPr>
          <w:rFonts w:cs="Arial" w:ascii="Arial" w:hAnsi="Arial"/>
        </w:rPr>
        <w:t>(b) As AA is performing the Services solely for the benefit of Client, Client will indemnify AA, its affiliates and their partners, principals and personnel against all costs, fees, expense, damages and liabilities (including defense costs) associated with any third party claim relating to or arising as a result of the Services, Client’s use of the Deliverables, or this Agreement, subject to the limitations set forth in the Job Arrangement Letter.</w:t>
      </w:r>
    </w:p>
    <w:p>
      <w:pPr>
        <w:pStyle w:val="Normal"/>
        <w:jc w:val="both"/>
        <w:rPr>
          <w:rFonts w:ascii="Arial" w:hAnsi="Arial" w:cs="Arial"/>
        </w:rPr>
      </w:pPr>
      <w:r>
        <w:rPr>
          <w:rFonts w:cs="Arial" w:ascii="Arial" w:hAnsi="Arial"/>
        </w:rPr>
        <w:t>(c) AA will indemnify Client against any damage or expense relating to bodily injury or death of any person or damage to real and/or tangible personal property incurred while AA is performing the Services and for any other claims caused by the negligent or willful acts or omissions of AA’s personnel or agents in performing the Services.</w:t>
      </w:r>
    </w:p>
    <w:p>
      <w:pPr>
        <w:pStyle w:val="Normal"/>
        <w:jc w:val="both"/>
        <w:rPr>
          <w:rFonts w:ascii="Arial" w:hAnsi="Arial" w:cs="Arial"/>
        </w:rPr>
      </w:pPr>
      <w:r>
        <w:rPr>
          <w:rFonts w:cs="Arial" w:ascii="Arial" w:hAnsi="Arial"/>
        </w:rPr>
        <w:t>(d) The provisions of this Section 8 are intended to apply in all circumstances, regardless of the grounds or nature of any claim asserted (including contract, statute, any form of negligence, whether of client, AA, or others, tort, strict liability or otherwise) and whether or not a party was advised of the possibility of the damage or loss asserted, to the extent not contrary to applicable law.</w:t>
      </w:r>
    </w:p>
    <w:p>
      <w:pPr>
        <w:pStyle w:val="Normal"/>
        <w:jc w:val="both"/>
        <w:rPr>
          <w:rFonts w:ascii="Arial" w:hAnsi="Arial" w:cs="Arial"/>
        </w:rPr>
      </w:pPr>
      <w:r>
        <w:rPr>
          <w:rFonts w:cs="Arial" w:ascii="Arial" w:hAnsi="Arial"/>
        </w:rPr>
        <w:t>(e) Any action against AA or Client must be brought within eighteen (18) months after the cause of action arises.</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9. Personnel</w:t>
      </w:r>
    </w:p>
    <w:p>
      <w:pPr>
        <w:pStyle w:val="Normal"/>
        <w:jc w:val="both"/>
        <w:rPr>
          <w:rFonts w:ascii="Arial" w:hAnsi="Arial" w:cs="Arial"/>
        </w:rPr>
      </w:pPr>
      <w:r>
        <w:rPr>
          <w:rFonts w:cs="Arial" w:ascii="Arial" w:hAnsi="Arial"/>
        </w:rPr>
        <w:t>(a) While AA shall attempt to comply with Client’s request for specific individuals, AA shall be responsible for assigning and re-assigning its personnel, as appropriate, to perform the Services.</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10. Termination</w:t>
      </w:r>
    </w:p>
    <w:p>
      <w:pPr>
        <w:pStyle w:val="Normal"/>
        <w:jc w:val="both"/>
        <w:rPr>
          <w:rFonts w:ascii="Arial" w:hAnsi="Arial" w:cs="Arial"/>
        </w:rPr>
      </w:pPr>
      <w:r>
        <w:rPr>
          <w:rFonts w:cs="Arial" w:ascii="Arial" w:hAnsi="Arial"/>
        </w:rPr>
        <w:t>(a) This Agreement may be terminated at any time (i) by the Client upon thirty (30) days written notice to AA; or (ii) by AA in the event of a professional conflict upon ten (30) days written notice to Client.</w:t>
      </w:r>
    </w:p>
    <w:p>
      <w:pPr>
        <w:pStyle w:val="Normal"/>
        <w:jc w:val="both"/>
        <w:rPr>
          <w:rFonts w:ascii="Arial" w:hAnsi="Arial" w:cs="Arial"/>
        </w:rPr>
      </w:pPr>
      <w:r>
        <w:rPr>
          <w:rFonts w:cs="Arial" w:ascii="Arial" w:hAnsi="Arial"/>
        </w:rPr>
        <w:t>(b) This Agreement may be terminated by either party upon written notice in the event the other party fails to comply with the terms of this Agreement, and the failure continues for a period of thirty (30) days following receipt of written notice specifying the failure.</w:t>
      </w:r>
    </w:p>
    <w:p>
      <w:pPr>
        <w:pStyle w:val="Normal"/>
        <w:jc w:val="both"/>
        <w:rPr>
          <w:rFonts w:ascii="Arial" w:hAnsi="Arial" w:cs="Arial"/>
        </w:rPr>
      </w:pPr>
      <w:r>
        <w:rPr>
          <w:rFonts w:cs="Arial" w:ascii="Arial" w:hAnsi="Arial"/>
        </w:rPr>
        <w:t>(c) Except in the event Client terminates the Agreement under Section 10(b) above, Client shall pay AA for all Services rendered and expenses incurred as of the date of termination, and shall reimburse AA for all reasonable costs associated with any termination (with such reimbursement not required in the event AA terminates under Section 10(a)(ii) above.</w:t>
      </w:r>
    </w:p>
    <w:p>
      <w:pPr>
        <w:pStyle w:val="Normal"/>
        <w:jc w:val="both"/>
        <w:rPr>
          <w:rFonts w:ascii="Times New Roman" w:hAnsi="Times New Roman" w:cs="Times New Roman"/>
        </w:rPr>
      </w:pPr>
      <w:bookmarkStart w:id="1" w:name="_Hlk469116005"/>
      <w:r>
        <w:rPr>
          <w:rFonts w:cs="Arial" w:ascii="Arial" w:hAnsi="Arial"/>
        </w:rPr>
        <w:t xml:space="preserve">(d) Except for matters related to intellectual property rights, the parties shall first attempt to resolve any dispute or alleged breach internally by </w:t>
      </w:r>
      <w:bookmarkEnd w:id="1"/>
      <w:r>
        <w:rPr>
          <w:rFonts w:cs="Arial" w:ascii="Arial" w:hAnsi="Arial"/>
        </w:rPr>
        <w:t>escalating it through management and, prior to pursuing other methods of dispute resolution, use a mutually acceptable alternative dispute resolution process.  Except for intellectual property claims,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Section 11. General</w:t>
      </w:r>
    </w:p>
    <w:p>
      <w:pPr>
        <w:pStyle w:val="Normal"/>
        <w:jc w:val="both"/>
        <w:rPr>
          <w:rFonts w:ascii="Arial" w:hAnsi="Arial" w:cs="Arial"/>
        </w:rPr>
      </w:pPr>
      <w:r>
        <w:rPr>
          <w:rFonts w:cs="Arial" w:ascii="Arial" w:hAnsi="Arial"/>
        </w:rPr>
        <w:t>(a) Except as otherwise agreed in the Job Arrangement Letter, neither party shall use the other party’s name without the written consent of the named party.</w:t>
      </w:r>
    </w:p>
    <w:p>
      <w:pPr>
        <w:pStyle w:val="Normal"/>
        <w:jc w:val="both"/>
        <w:rPr>
          <w:rFonts w:ascii="Arial" w:hAnsi="Arial" w:cs="Arial"/>
        </w:rPr>
      </w:pPr>
      <w:r>
        <w:rPr>
          <w:rFonts w:cs="Arial" w:ascii="Arial" w:hAnsi="Arial"/>
        </w:rPr>
        <w:t>(b) Neither party shall be liable for any delays or failures in performance due to circumstances beyond its reasonable control.</w:t>
      </w:r>
    </w:p>
    <w:p>
      <w:pPr>
        <w:pStyle w:val="Normal"/>
        <w:jc w:val="both"/>
        <w:rPr>
          <w:rFonts w:ascii="Arial" w:hAnsi="Arial" w:cs="Arial"/>
        </w:rPr>
      </w:pPr>
      <w:r>
        <w:rPr>
          <w:rFonts w:cs="Arial" w:ascii="Arial" w:hAnsi="Arial"/>
        </w:rPr>
        <w:t>(c) This Agreement may not be assigned or otherwise transferred without the prior express written consent of the other party, except to an affiliate of such party. AA may assign this Agreement to an affiliate of its international organization to provide Services.  AA may use subcontractors only with the prior written consent of Client.</w:t>
      </w:r>
    </w:p>
    <w:p>
      <w:pPr>
        <w:pStyle w:val="Normal"/>
        <w:jc w:val="both"/>
        <w:rPr>
          <w:rFonts w:ascii="Arial" w:hAnsi="Arial" w:cs="Arial"/>
        </w:rPr>
      </w:pPr>
      <w:r>
        <w:rPr>
          <w:rFonts w:cs="Arial" w:ascii="Arial" w:hAnsi="Arial"/>
        </w:rPr>
        <w:t>(d) Any notices given pursuant to this Agreement shall be in writing, delivered to the address set forth in the Job Arrangement Letter, and shall be considered given when received.</w:t>
      </w:r>
    </w:p>
    <w:p>
      <w:pPr>
        <w:pStyle w:val="Normal"/>
        <w:jc w:val="both"/>
        <w:rPr>
          <w:rFonts w:ascii="Arial" w:hAnsi="Arial" w:cs="Arial"/>
        </w:rPr>
      </w:pPr>
      <w:r>
        <w:rPr>
          <w:rFonts w:cs="Arial" w:ascii="Arial" w:hAnsi="Arial"/>
        </w:rPr>
        <w:t>(e) No term of this Agreement shall be deemed waived, and no breach of this Agreement excused, unless the waiver or consent is in writing signed by the party granting such waiver or consent.</w:t>
      </w:r>
    </w:p>
    <w:p>
      <w:pPr>
        <w:pStyle w:val="Normal"/>
        <w:jc w:val="both"/>
        <w:rPr>
          <w:rFonts w:ascii="Arial" w:hAnsi="Arial" w:cs="Arial"/>
        </w:rPr>
      </w:pPr>
      <w:r>
        <w:rPr>
          <w:rFonts w:cs="Arial" w:ascii="Arial" w:hAnsi="Arial"/>
        </w:rPr>
        <w:t>(f) If any term or provision of this Agreement is determined to be illegal or unenforceable, such term or provision shall be deemed stricken, and all other terms and provisions shall remain in full force and effect.</w:t>
      </w:r>
    </w:p>
    <w:p>
      <w:pPr>
        <w:pStyle w:val="Normal"/>
        <w:jc w:val="both"/>
        <w:rPr>
          <w:rFonts w:ascii="Arial" w:hAnsi="Arial" w:cs="Arial"/>
        </w:rPr>
      </w:pPr>
      <w:r>
        <w:rPr>
          <w:rFonts w:cs="Arial" w:ascii="Arial" w:hAnsi="Arial"/>
        </w:rPr>
        <w:t>(g) This Agreement does not make either party an agent or legal representative of the other party, and does not create a partnership or joint venture. Both parties are independent contractors and principals for their own accounts.</w:t>
      </w:r>
    </w:p>
    <w:p>
      <w:pPr>
        <w:pStyle w:val="Normal"/>
        <w:jc w:val="both"/>
        <w:rPr>
          <w:rFonts w:ascii="Arial" w:hAnsi="Arial" w:cs="Arial"/>
        </w:rPr>
      </w:pPr>
      <w:r>
        <w:rPr>
          <w:rFonts w:cs="Arial" w:ascii="Arial" w:hAnsi="Arial"/>
        </w:rPr>
        <w:t>(h) Sections 3 through 11 of these Terms shall survive the expiration or termination of this Agreement.</w:t>
      </w:r>
    </w:p>
    <w:p>
      <w:pPr>
        <w:pStyle w:val="Normal"/>
        <w:jc w:val="both"/>
        <w:rPr>
          <w:rFonts w:ascii="Arial" w:hAnsi="Arial" w:cs="Arial"/>
        </w:rPr>
      </w:pPr>
      <w:r>
        <w:rPr>
          <w:rFonts w:cs="Arial" w:ascii="Arial" w:hAnsi="Arial"/>
        </w:rPr>
        <w:t>(i) The laws of the State of Texas shall govern this Agreement.</w:t>
      </w:r>
    </w:p>
    <w:p>
      <w:pPr>
        <w:pStyle w:val="Normal"/>
        <w:rPr>
          <w:rFonts w:ascii="Arial" w:hAnsi="Arial" w:cs="Arial"/>
          <w:b/>
        </w:rPr>
      </w:pPr>
      <w:r>
        <w:rPr>
          <w:rFonts w:cs="Arial" w:ascii="Arial" w:hAnsi="Arial"/>
          <w:b/>
        </w:rPr>
      </w:r>
    </w:p>
    <w:sectPr>
      <w:headerReference w:type="default" r:id="rId2"/>
      <w:headerReference w:type="first" r:id="rId3"/>
      <w:footerReference w:type="default" r:id="rId4"/>
      <w:footerReference w:type="first" r:id="rId5"/>
      <w:type w:val="nextPage"/>
      <w:pgSz w:w="12240" w:h="15840"/>
      <w:pgMar w:left="1152" w:right="1152" w:gutter="0" w:header="1440" w:top="149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t>** DRAFT**</w:t>
    </w:r>
  </w:p>
  <w:p>
    <w:pPr>
      <w:pStyle w:val="Footer"/>
      <w:jc w:val="center"/>
      <w:rPr>
        <w:b/>
      </w:rPr>
    </w:pPr>
    <w:r>
      <w:rPr>
        <w:b/>
      </w:rPr>
      <w:t>Tentative and Preliminary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t>** DRAFT**</w:t>
    </w:r>
  </w:p>
  <w:p>
    <w:pPr>
      <w:pStyle w:val="Footer"/>
      <w:jc w:val="center"/>
      <w:rPr>
        <w:rFonts w:ascii="Arial" w:hAnsi="Arial" w:cs="Arial"/>
        <w:b/>
        <w:i/>
        <w:i/>
      </w:rPr>
    </w:pPr>
    <w:r>
      <w:rPr>
        <w:rFonts w:cs="Arial" w:ascii="Arial" w:hAnsi="Arial"/>
        <w:b/>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Fonts w:ascii="Arial" w:hAnsi="Arial" w:cs="Arial"/>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p>
    <w:pPr>
      <w:pStyle w:val="Header"/>
      <w:rPr/>
    </w:pPr>
    <w:r>
      <w:rPr>
        <w:rStyle w:val="PageNumber"/>
        <w:rFonts w:cs="Arial" w:ascii="Arial" w:hAnsi="Arial"/>
      </w:rPr>
      <w:t>Mr. Rahil Jafry</w:t>
    </w:r>
  </w:p>
  <w:p>
    <w:pPr>
      <w:pStyle w:val="Header"/>
      <w:rPr/>
    </w:pPr>
    <w:r>
      <w:rPr>
        <w:rStyle w:val="PageNumber"/>
        <w:rFonts w:cs="Arial" w:ascii="Arial" w:hAnsi="Arial"/>
      </w:rPr>
      <w:t>December 31, 2000</w:t>
    </w:r>
  </w:p>
  <w:p>
    <w:pPr>
      <w:pStyle w:val="Header"/>
      <w:rPr>
        <w:rStyle w:val="PageNumber"/>
        <w:rFonts w:ascii="Arial" w:hAnsi="Arial" w:cs="Arial"/>
      </w:rPr>
    </w:pPr>
    <w:r>
      <w:rPr/>
    </w:r>
  </w:p>
  <w:p>
    <w:pPr>
      <w:pStyle w:val="Header"/>
      <w:rPr>
        <w:rStyle w:val="PageNumber"/>
        <w:rFonts w:ascii="Arial" w:hAnsi="Arial" w:cs="Arial"/>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283"/>
        </w:tabs>
        <w:ind w:start="283" w:hanging="283"/>
      </w:pPr>
      <w:rPr>
        <w:rFonts w:ascii="Symbol" w:hAnsi="Symbol" w:cs="Symbol" w:hint="default"/>
      </w:rPr>
    </w:lvl>
  </w:abstractNum>
  <w:abstractNum w:abstractNumId="5">
    <w:lvl w:ilvl="0">
      <w:start w:val="1"/>
      <w:numFmt w:val="bullet"/>
      <w:lvlText w:val=""/>
      <w:lvlJc w:val="start"/>
      <w:pPr>
        <w:tabs>
          <w:tab w:val="num" w:pos="283"/>
        </w:tabs>
        <w:ind w:start="283" w:hanging="283"/>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jc w:val="both"/>
      <w:outlineLvl w:val="3"/>
    </w:pPr>
    <w:rPr>
      <w:b/>
      <w:i/>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hanging="0" w:start="720" w:end="0"/>
      <w:outlineLvl w:val="5"/>
    </w:pPr>
    <w:rPr>
      <w:b/>
      <w:i/>
      <w:u w:val="single"/>
    </w:rPr>
  </w:style>
  <w:style w:type="paragraph" w:styleId="Heading7">
    <w:name w:val="heading 7"/>
    <w:basedOn w:val="Normal"/>
    <w:next w:val="Normal"/>
    <w:qFormat/>
    <w:pPr>
      <w:keepNext w:val="true"/>
      <w:numPr>
        <w:ilvl w:val="6"/>
        <w:numId w:val="1"/>
      </w:numPr>
      <w:outlineLvl w:val="6"/>
    </w:pPr>
    <w:rPr>
      <w:rFonts w:ascii="Arial" w:hAnsi="Arial" w:cs="Arial"/>
      <w:b/>
      <w:sz w:val="24"/>
    </w:rPr>
  </w:style>
  <w:style w:type="paragraph" w:styleId="Heading8">
    <w:name w:val="heading 8"/>
    <w:basedOn w:val="Normal"/>
    <w:next w:val="Normal"/>
    <w:qFormat/>
    <w:pPr>
      <w:keepNext w:val="true"/>
      <w:numPr>
        <w:ilvl w:val="7"/>
        <w:numId w:val="1"/>
      </w:numPr>
      <w:outlineLvl w:val="7"/>
    </w:pPr>
    <w:rPr>
      <w:rFonts w:ascii="Arial" w:hAnsi="Arial" w:cs="Arial"/>
      <w:i/>
    </w:rPr>
  </w:style>
  <w:style w:type="paragraph" w:styleId="Heading9">
    <w:name w:val="heading 9"/>
    <w:basedOn w:val="Normal"/>
    <w:next w:val="Normal"/>
    <w:qFormat/>
    <w:pPr>
      <w:keepNext w:val="true"/>
      <w:numPr>
        <w:ilvl w:val="8"/>
        <w:numId w:val="1"/>
      </w:numPr>
      <w:jc w:val="center"/>
      <w:outlineLvl w:val="8"/>
    </w:pPr>
    <w:rPr>
      <w:rFonts w:ascii="Arial" w:hAnsi="Arial" w:cs="Arial"/>
      <w:b/>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Times New Roman" w:hAnsi="Times New Roman" w:cs="Times New Roman"/>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St43z0">
    <w:name w:val="WW8NumSt43z0"/>
    <w:qFormat/>
    <w:rPr>
      <w:rFonts w:ascii="Arial" w:hAnsi="Arial" w:cs="Arial"/>
      <w:sz w:val="28"/>
    </w:rPr>
  </w:style>
  <w:style w:type="character" w:styleId="WW8NumSt48z0">
    <w:name w:val="WW8NumSt48z0"/>
    <w:qFormat/>
    <w:rPr>
      <w:rFonts w:ascii="Arial" w:hAnsi="Arial" w:cs="Arial"/>
      <w:sz w:val="28"/>
    </w:rPr>
  </w:style>
  <w:style w:type="character" w:styleId="WW8NumSt52z0">
    <w:name w:val="WW8NumSt52z0"/>
    <w:qFormat/>
    <w:rPr>
      <w:rFonts w:ascii="Monotype Sorts" w:hAnsi="Monotype Sorts" w:cs="Monotype Sorts"/>
      <w:b w:val="false"/>
      <w:i w:val="false"/>
      <w:color w:val="000080"/>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540" w:start="540" w:end="0"/>
    </w:pPr>
    <w:rPr/>
  </w:style>
  <w:style w:type="paragraph" w:styleId="BodyTextIndent3">
    <w:name w:val="Body Text Indent 3"/>
    <w:basedOn w:val="Normal"/>
    <w:qFormat/>
    <w:pPr>
      <w:ind w:hanging="0" w:start="540" w:end="0"/>
    </w:pPr>
    <w:rPr/>
  </w:style>
  <w:style w:type="paragraph" w:styleId="BodyTextIndent">
    <w:name w:val="Body Text Indent"/>
    <w:basedOn w:val="Normal"/>
    <w:pPr>
      <w:spacing w:before="240" w:after="0"/>
      <w:ind w:hanging="540" w:start="540" w:end="0"/>
    </w:pPr>
    <w:rPr/>
  </w:style>
  <w:style w:type="paragraph" w:styleId="BodyTextIndent2">
    <w:name w:val="Body Text Indent 2"/>
    <w:basedOn w:val="Normal"/>
    <w:qFormat/>
    <w:pPr>
      <w:ind w:hanging="0" w:start="720" w:end="0"/>
    </w:pPr>
    <w:rPr/>
  </w:style>
  <w:style w:type="paragraph" w:styleId="ABLOCKPARA">
    <w:name w:val="A BLOCK PARA"/>
    <w:basedOn w:val="Normal"/>
    <w:qFormat/>
    <w:pPr/>
    <w:rPr/>
  </w:style>
  <w:style w:type="paragraph" w:styleId="BodyText3">
    <w:name w:val="Body Text 3"/>
    <w:basedOn w:val="Normal"/>
    <w:qFormat/>
    <w:pPr>
      <w:jc w:val="both"/>
    </w:pPr>
    <w:rPr>
      <w:rFonts w:ascii="Arial" w:hAnsi="Arial" w:cs="Arial"/>
      <w:sz w:val="18"/>
    </w:rPr>
  </w:style>
  <w:style w:type="paragraph" w:styleId="ParaFlush">
    <w:name w:val="Para Flush"/>
    <w:basedOn w:val="Normal"/>
    <w:qFormat/>
    <w:pPr>
      <w:spacing w:before="0" w:after="240"/>
    </w:pPr>
    <w:rPr>
      <w:rFonts w:ascii="Times New Roman" w:hAnsi="Times New Roman" w:cs="Times New Roman"/>
    </w:rPr>
  </w:style>
  <w:style w:type="paragraph" w:styleId="Flush1-9a1a">
    <w:name w:val="Flush 1-9 a (1)(a)"/>
    <w:basedOn w:val="Normal"/>
    <w:qFormat/>
    <w:pPr>
      <w:tabs>
        <w:tab w:val="clear" w:pos="720"/>
        <w:tab w:val="left" w:pos="1195" w:leader="none"/>
        <w:tab w:val="left" w:pos="1670" w:leader="none"/>
        <w:tab w:val="left" w:pos="2146" w:leader="none"/>
      </w:tabs>
      <w:spacing w:before="0" w:after="240"/>
      <w:ind w:hanging="475" w:start="1195" w:end="0"/>
    </w:pPr>
    <w:rPr>
      <w:rFonts w:ascii="Times New Roman" w:hAnsi="Times New Roman" w:cs="Times New Roman"/>
    </w:rPr>
  </w:style>
  <w:style w:type="paragraph" w:styleId="Flush1-9aBulletDash">
    <w:name w:val="Flush 1-9 a/Bullet Dash"/>
    <w:basedOn w:val="Normal"/>
    <w:qFormat/>
    <w:pPr>
      <w:tabs>
        <w:tab w:val="left" w:pos="360" w:leader="none"/>
        <w:tab w:val="left" w:pos="720" w:leader="none"/>
        <w:tab w:val="left" w:pos="1080" w:leader="none"/>
        <w:tab w:val="left" w:pos="1440" w:leader="none"/>
        <w:tab w:val="left" w:pos="1800" w:leader="none"/>
        <w:tab w:val="left" w:pos="2160" w:leader="none"/>
      </w:tabs>
      <w:spacing w:before="0" w:after="240"/>
      <w:ind w:hanging="360" w:start="360" w:end="0"/>
    </w:pPr>
    <w:rPr>
      <w:rFonts w:ascii="Times New Roman" w:hAnsi="Times New Roman" w:cs="Times New Roman"/>
    </w:rPr>
  </w:style>
  <w:style w:type="paragraph" w:styleId="ListNumber">
    <w:name w:val="List Number"/>
    <w:basedOn w:val="Normal"/>
    <w:qFormat/>
    <w:pPr>
      <w:numPr>
        <w:ilvl w:val="0"/>
        <w:numId w:val="2"/>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HeaderLeft">
    <w:name w:val="Header Left"/>
    <w:basedOn w:val="Header"/>
    <w:qFormat/>
    <w:pPr>
      <w:suppressLineNumbers/>
      <w:tabs>
        <w:tab w:val="clear" w:pos="4320"/>
        <w:tab w:val="clear" w:pos="8640"/>
        <w:tab w:val="center" w:pos="4968" w:leader="none"/>
        <w:tab w:val="right" w:pos="993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2001-01-17T14:48:00Z</dcterms:created>
  <dc:creator>Arthur Andersen</dc:creator>
  <dc:description/>
  <dc:language>en-CA</dc:language>
  <cp:lastModifiedBy>jferrar</cp:lastModifiedBy>
  <cp:lastPrinted>2001-01-16T08:54:00Z</cp:lastPrinted>
  <dcterms:modified xsi:type="dcterms:W3CDTF">2001-01-17T14:48:00Z</dcterms:modified>
  <cp:revision>2</cp:revision>
  <dc:subject/>
  <dc:title>Year 2000</dc:title>
</cp:coreProperties>
</file>