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firstLine="720" w:start="5760" w:end="-720"/>
        <w:outlineLvl w:val="0"/>
        <w:rPr>
          <w:b/>
          <w:sz w:val="24"/>
        </w:rPr>
      </w:pPr>
      <w:r>
        <w:rPr>
          <w:b/>
          <w:sz w:val="24"/>
        </w:rPr>
        <w:t>Wild Goose Storage Inc.</w:t>
      </w:r>
    </w:p>
    <w:p>
      <w:pPr>
        <w:pStyle w:val="Normal"/>
        <w:numPr>
          <w:ilvl w:val="0"/>
          <w:numId w:val="0"/>
        </w:numPr>
        <w:ind w:firstLine="720" w:start="5760" w:end="-1800"/>
        <w:outlineLvl w:val="0"/>
        <w:rPr>
          <w:b/>
          <w:sz w:val="24"/>
        </w:rPr>
      </w:pPr>
      <w:r>
        <w:rPr>
          <w:b/>
          <w:sz w:val="24"/>
        </w:rPr>
        <w:t>Witness: Paul Amirault</w:t>
      </w:r>
    </w:p>
    <w:p>
      <w:pPr>
        <w:pStyle w:val="Normal"/>
        <w:numPr>
          <w:ilvl w:val="0"/>
          <w:numId w:val="0"/>
        </w:numPr>
        <w:ind w:firstLine="720" w:start="5760" w:end="0"/>
        <w:outlineLvl w:val="0"/>
        <w:rPr>
          <w:b/>
          <w:sz w:val="24"/>
        </w:rPr>
      </w:pPr>
      <w:r>
        <w:rPr>
          <w:b/>
          <w:sz w:val="24"/>
        </w:rPr>
        <w:t>Exhibit  16</w:t>
      </w:r>
    </w:p>
    <w:p>
      <w:pPr>
        <w:pStyle w:val="Normal"/>
        <w:numPr>
          <w:ilvl w:val="0"/>
          <w:numId w:val="0"/>
        </w:numPr>
        <w:ind w:firstLine="720" w:start="5760" w:end="0"/>
        <w:outlineLvl w:val="0"/>
        <w:rPr>
          <w:b/>
          <w:sz w:val="24"/>
        </w:rPr>
      </w:pPr>
      <w:r>
        <w:rPr>
          <w:b/>
          <w:sz w:val="24"/>
        </w:rPr>
        <w:t>Date_____________</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 xml:space="preserve">BEFORE THE </w:t>
      </w:r>
    </w:p>
    <w:p>
      <w:pPr>
        <w:pStyle w:val="Normal"/>
        <w:numPr>
          <w:ilvl w:val="0"/>
          <w:numId w:val="0"/>
        </w:numPr>
        <w:jc w:val="center"/>
        <w:outlineLvl w:val="0"/>
        <w:rPr>
          <w:b/>
          <w:sz w:val="24"/>
        </w:rPr>
      </w:pPr>
      <w:r>
        <w:rPr>
          <w:b/>
          <w:sz w:val="24"/>
        </w:rPr>
        <w:t>PUBLIC UTILITIES COMMISSION OF THE STATE OF CALIFORNIA</w:t>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outlineLvl w:val="0"/>
        <w:rPr>
          <w:b/>
          <w:sz w:val="24"/>
        </w:rPr>
      </w:pPr>
      <w:r>
        <w:rPr>
          <w:b/>
          <w:sz w:val="24"/>
        </w:rPr>
        <w:t xml:space="preserve">Investigation on the Commission’s Own Motion to </w:t>
        <w:tab/>
        <w:t>)</w:t>
      </w:r>
    </w:p>
    <w:p>
      <w:pPr>
        <w:pStyle w:val="Normal"/>
        <w:numPr>
          <w:ilvl w:val="0"/>
          <w:numId w:val="0"/>
        </w:numPr>
        <w:outlineLvl w:val="0"/>
        <w:rPr>
          <w:b/>
          <w:sz w:val="24"/>
        </w:rPr>
      </w:pPr>
      <w:r>
        <w:rPr>
          <w:b/>
          <w:sz w:val="24"/>
        </w:rPr>
        <w:t>Consider the Costs and Benefits of Various Promising</w:t>
        <w:tab/>
        <w:t>)</w:t>
        <w:tab/>
        <w:t>I.99-07-003</w:t>
      </w:r>
    </w:p>
    <w:p>
      <w:pPr>
        <w:pStyle w:val="Normal"/>
        <w:numPr>
          <w:ilvl w:val="0"/>
          <w:numId w:val="0"/>
        </w:numPr>
        <w:outlineLvl w:val="0"/>
        <w:rPr>
          <w:b/>
          <w:sz w:val="24"/>
        </w:rPr>
      </w:pPr>
      <w:r>
        <w:rPr>
          <w:b/>
          <w:sz w:val="24"/>
        </w:rPr>
        <w:t>Revisions to the Regulatory and Market Structure</w:t>
        <w:tab/>
        <w:t>)</w:t>
      </w:r>
    </w:p>
    <w:p>
      <w:pPr>
        <w:pStyle w:val="Normal"/>
        <w:numPr>
          <w:ilvl w:val="0"/>
          <w:numId w:val="0"/>
        </w:numPr>
        <w:outlineLvl w:val="0"/>
        <w:rPr>
          <w:b/>
          <w:sz w:val="24"/>
        </w:rPr>
      </w:pPr>
      <w:r>
        <w:rPr>
          <w:b/>
          <w:sz w:val="24"/>
        </w:rPr>
        <w:t xml:space="preserve">Governing California’s Natural Gas Industry and to </w:t>
        <w:tab/>
        <w:t>)</w:t>
      </w:r>
    </w:p>
    <w:p>
      <w:pPr>
        <w:pStyle w:val="Normal"/>
        <w:numPr>
          <w:ilvl w:val="0"/>
          <w:numId w:val="0"/>
        </w:numPr>
        <w:outlineLvl w:val="0"/>
        <w:rPr>
          <w:b/>
          <w:sz w:val="24"/>
        </w:rPr>
      </w:pPr>
      <w:r>
        <w:rPr>
          <w:b/>
          <w:sz w:val="24"/>
        </w:rPr>
        <w:t xml:space="preserve">Report to the California Legislature on the </w:t>
        <w:tab/>
        <w:tab/>
        <w:t>)</w:t>
      </w:r>
    </w:p>
    <w:p>
      <w:pPr>
        <w:pStyle w:val="Normal"/>
        <w:numPr>
          <w:ilvl w:val="0"/>
          <w:numId w:val="0"/>
        </w:numPr>
        <w:outlineLvl w:val="0"/>
        <w:rPr>
          <w:b/>
          <w:sz w:val="24"/>
        </w:rPr>
      </w:pPr>
      <w:r>
        <w:rPr>
          <w:b/>
          <w:sz w:val="24"/>
        </w:rPr>
        <w:t>Commission’s Findings</w:t>
        <w:tab/>
        <w:tab/>
        <w:tab/>
        <w:tab/>
        <w:tab/>
        <w:t>)</w:t>
      </w:r>
    </w:p>
    <w:p>
      <w:pPr>
        <w:pStyle w:val="Normal"/>
        <w:numPr>
          <w:ilvl w:val="0"/>
          <w:numId w:val="0"/>
        </w:numPr>
        <w:outlineLvl w:val="0"/>
        <w:rPr>
          <w:b/>
          <w:sz w:val="24"/>
        </w:rPr>
      </w:pPr>
      <w:r>
        <w:rPr>
          <w:b/>
          <w:sz w:val="24"/>
        </w:rPr>
        <w:t>________________________________________________)</w:t>
      </w:r>
    </w:p>
    <w:p>
      <w:pPr>
        <w:pStyle w:val="Normal"/>
        <w:numPr>
          <w:ilvl w:val="0"/>
          <w:numId w:val="0"/>
        </w:numP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Prepared Rebuttal Testimony of</w:t>
      </w:r>
    </w:p>
    <w:p>
      <w:pPr>
        <w:pStyle w:val="Normal"/>
        <w:numPr>
          <w:ilvl w:val="0"/>
          <w:numId w:val="0"/>
        </w:numPr>
        <w:jc w:val="center"/>
        <w:outlineLvl w:val="0"/>
        <w:rPr>
          <w:b/>
          <w:sz w:val="24"/>
        </w:rPr>
      </w:pPr>
      <w:r>
        <w:rPr>
          <w:b/>
          <w:sz w:val="24"/>
        </w:rPr>
        <w:t>Paul Amirault on Behalf of Wild Goose Storage Inc.</w:t>
      </w:r>
    </w:p>
    <w:p>
      <w:pPr>
        <w:pStyle w:val="Normal"/>
        <w:numPr>
          <w:ilvl w:val="0"/>
          <w:numId w:val="0"/>
        </w:numPr>
        <w:jc w:val="center"/>
        <w:outlineLvl w:val="0"/>
        <w:rPr>
          <w:b/>
          <w:sz w:val="24"/>
        </w:rPr>
      </w:pPr>
      <w:r>
        <w:rPr>
          <w:b/>
          <w:sz w:val="24"/>
        </w:rPr>
        <w:t>in Support of the Comprehensive Settlement Agreement</w:t>
      </w:r>
    </w:p>
    <w:p>
      <w:pPr>
        <w:pStyle w:val="Normal"/>
        <w:jc w:val="center"/>
        <w:rPr>
          <w:b/>
          <w:sz w:val="24"/>
        </w:rPr>
      </w:pPr>
      <w:r>
        <w:rPr>
          <w:b/>
          <w:sz w:val="24"/>
        </w:rPr>
      </w:r>
    </w:p>
    <w:p>
      <w:pPr>
        <w:pStyle w:val="Normal"/>
        <w:numPr>
          <w:ilvl w:val="0"/>
          <w:numId w:val="0"/>
        </w:numPr>
        <w:spacing w:lineRule="auto" w:line="360"/>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May 19, 2000</w:t>
      </w:r>
    </w:p>
    <w:p>
      <w:pPr>
        <w:pStyle w:val="Normal"/>
        <w:numPr>
          <w:ilvl w:val="0"/>
          <w:numId w:val="0"/>
        </w:numPr>
        <w:jc w:val="center"/>
        <w:outlineLvl w:val="0"/>
        <w:rPr>
          <w:b/>
          <w:sz w:val="24"/>
        </w:rPr>
      </w:pPr>
      <w:r>
        <w:rPr>
          <w:b/>
          <w:sz w:val="24"/>
        </w:rPr>
      </w:r>
    </w:p>
    <w:p>
      <w:pPr>
        <w:sectPr>
          <w:headerReference w:type="default" r:id="rId2"/>
          <w:headerReference w:type="first" r:id="rId3"/>
          <w:footerReference w:type="default" r:id="rId4"/>
          <w:footerReference w:type="first" r:id="rId5"/>
          <w:type w:val="nextPage"/>
          <w:pgSz w:w="12240" w:h="15840"/>
          <w:pgMar w:left="2088" w:right="720" w:gutter="0" w:header="432" w:top="1325" w:footer="360" w:bottom="1080"/>
          <w:pgNumType w:start="1" w:fmt="decimal"/>
          <w:formProt w:val="false"/>
          <w:titlePg/>
          <w:textDirection w:val="lrTb"/>
          <w:docGrid w:type="default" w:linePitch="360" w:charSpace="0"/>
        </w:sectPr>
        <w:pStyle w:val="Normal"/>
        <w:numPr>
          <w:ilvl w:val="0"/>
          <w:numId w:val="0"/>
        </w:numPr>
        <w:jc w:val="center"/>
        <w:outlineLvl w:val="0"/>
        <w:rPr>
          <w:b/>
          <w:sz w:val="24"/>
        </w:rPr>
      </w:pPr>
      <w:r>
        <w:rPr>
          <w:b/>
          <w:sz w:val="24"/>
        </w:rPr>
      </w:r>
    </w:p>
    <w:p>
      <w:pPr>
        <w:pStyle w:val="Normal"/>
        <w:numPr>
          <w:ilvl w:val="0"/>
          <w:numId w:val="0"/>
        </w:numPr>
        <w:jc w:val="center"/>
        <w:outlineLvl w:val="0"/>
        <w:rPr>
          <w:b/>
          <w:sz w:val="24"/>
        </w:rPr>
      </w:pPr>
      <w:r>
        <w:rPr>
          <w:b/>
          <w:sz w:val="24"/>
        </w:rPr>
        <w:t xml:space="preserve">Prepared Direct Testimony of </w:t>
      </w:r>
    </w:p>
    <w:p>
      <w:pPr>
        <w:pStyle w:val="Normal"/>
        <w:numPr>
          <w:ilvl w:val="0"/>
          <w:numId w:val="0"/>
        </w:numPr>
        <w:jc w:val="center"/>
        <w:outlineLvl w:val="0"/>
        <w:rPr>
          <w:b/>
          <w:sz w:val="24"/>
        </w:rPr>
      </w:pPr>
      <w:r>
        <w:rPr>
          <w:b/>
          <w:sz w:val="24"/>
        </w:rPr>
        <w:t>Paul Amirault on Behalf of Wild Goose Storage Inc.</w:t>
      </w:r>
    </w:p>
    <w:p>
      <w:pPr>
        <w:pStyle w:val="Normal"/>
        <w:numPr>
          <w:ilvl w:val="0"/>
          <w:numId w:val="0"/>
        </w:numPr>
        <w:jc w:val="center"/>
        <w:outlineLvl w:val="0"/>
        <w:rPr>
          <w:sz w:val="24"/>
        </w:rPr>
      </w:pPr>
      <w:r>
        <w:rPr>
          <w:b/>
          <w:sz w:val="24"/>
        </w:rPr>
        <w:t>in Support of the Comprehensive Settlement Agreement</w:t>
      </w:r>
    </w:p>
    <w:p>
      <w:pPr>
        <w:pStyle w:val="Normal"/>
        <w:jc w:val="center"/>
        <w:rPr>
          <w:sz w:val="24"/>
        </w:rPr>
      </w:pPr>
      <w:r>
        <w:rPr>
          <w:sz w:val="24"/>
        </w:rPr>
      </w:r>
    </w:p>
    <w:p>
      <w:pPr>
        <w:pStyle w:val="Normal"/>
        <w:numPr>
          <w:ilvl w:val="0"/>
          <w:numId w:val="0"/>
        </w:numPr>
        <w:jc w:val="center"/>
        <w:outlineLvl w:val="0"/>
        <w:rPr>
          <w:b/>
          <w:sz w:val="24"/>
        </w:rPr>
      </w:pPr>
      <w:r>
        <w:rPr>
          <w:b/>
          <w:sz w:val="24"/>
        </w:rPr>
        <w:t>I.99-07-003</w:t>
      </w:r>
    </w:p>
    <w:p>
      <w:pPr>
        <w:pStyle w:val="Normal"/>
        <w:jc w:val="center"/>
        <w:rPr>
          <w:b/>
          <w:sz w:val="24"/>
        </w:rPr>
      </w:pPr>
      <w:r>
        <w:rPr>
          <w:b/>
          <w:sz w:val="24"/>
        </w:rPr>
      </w:r>
    </w:p>
    <w:p>
      <w:pPr>
        <w:pStyle w:val="Normal"/>
        <w:rPr>
          <w:b/>
          <w:i/>
          <w:i/>
          <w:sz w:val="24"/>
        </w:rPr>
      </w:pPr>
      <w:r>
        <w:rPr>
          <w:b/>
          <w:i/>
          <w:sz w:val="24"/>
        </w:rPr>
      </w:r>
    </w:p>
    <w:p>
      <w:pPr>
        <w:pStyle w:val="Normal"/>
        <w:spacing w:lineRule="auto" w:line="360"/>
        <w:rPr>
          <w:sz w:val="24"/>
        </w:rPr>
      </w:pPr>
      <w:r>
        <w:rPr>
          <w:sz w:val="24"/>
        </w:rPr>
        <w:tab/>
        <w:t>My name is Paul Amirault.  I  previously provided Prepared Direct Testimony in this proceeding (identified as Exhibit 9) on May 5, 2000.  On behalf of Wild Goose Storage Inc. (WGSI), I herewith offer my testimony in rebuttal to the prepared direct testimony offered by TURN, AGLET, and Southern California Generation Coalition and its component members in this proceeding.</w:t>
      </w:r>
    </w:p>
    <w:p>
      <w:pPr>
        <w:pStyle w:val="Normal"/>
        <w:rPr>
          <w:b/>
          <w:i/>
          <w:i/>
          <w:sz w:val="24"/>
        </w:rPr>
      </w:pPr>
      <w:r>
        <w:rPr>
          <w:b/>
          <w:i/>
          <w:sz w:val="24"/>
        </w:rPr>
      </w:r>
    </w:p>
    <w:p>
      <w:pPr>
        <w:pStyle w:val="Normal"/>
        <w:rPr>
          <w:b/>
          <w:i/>
          <w:i/>
          <w:sz w:val="24"/>
        </w:rPr>
      </w:pPr>
      <w:r>
        <w:rPr>
          <w:b/>
          <w:i/>
          <w:sz w:val="24"/>
        </w:rPr>
        <w:t>THE PATTERN OF EXCESSIVE WITHDRAWALS AND INJECTIONS RELIED UPON BY THE POST INTERIM SETTLEMENT PROPONENTS IS EVIDENCE OF CROSS- SUBSIDIZATION BETWEEN CUSTOMER CLASSES, NOT SYNERGY</w:t>
      </w:r>
    </w:p>
    <w:p>
      <w:pPr>
        <w:pStyle w:val="Normal"/>
        <w:rPr>
          <w:b/>
          <w:i/>
          <w:i/>
          <w:sz w:val="24"/>
        </w:rPr>
      </w:pPr>
      <w:r>
        <w:rPr>
          <w:b/>
          <w:i/>
          <w:sz w:val="24"/>
        </w:rPr>
      </w:r>
    </w:p>
    <w:p>
      <w:pPr>
        <w:pStyle w:val="Normal"/>
        <w:rPr>
          <w:sz w:val="24"/>
        </w:rPr>
      </w:pPr>
      <w:r>
        <w:rPr>
          <w:sz w:val="24"/>
        </w:rPr>
      </w:r>
    </w:p>
    <w:p>
      <w:pPr>
        <w:pStyle w:val="Normal"/>
        <w:spacing w:lineRule="auto" w:line="360"/>
        <w:rPr>
          <w:sz w:val="24"/>
        </w:rPr>
      </w:pPr>
      <w:r>
        <w:rPr>
          <w:sz w:val="24"/>
        </w:rPr>
        <w:tab/>
        <w:t>The proponents of the Post Interim Settlement point to evidence that the core and noncore classes exceeded their reserved amount of storage withdrawal and injection capacity over time as evidence of a pattern of “synergy” providing an advantage to both classes.  Prepared Direct Testimonies of Michael Florio, James Weil and Catherine Yap in Support of the Post Interim Settlement, (hereinafter “Post Interim Settlement Testimony” or “PIST”) at pp. 29-30.   This assertion has several flaws.  Primarily, this evidence indicates that certain customers are receiving storage and/or balancing service that they have not paid for.  This effectively results in subsidization of one class of customers by another.  The fact that there are subsidies moving in opposite directions does not eliminate the fact that the benefits of services for which the costs are allocated to particular classes of customers are, in fact, being utilized by other customer classes.  Nor is there any showing in the Post Interim Settlement Testimony that all the customers of either the core or noncore customer classes receive an equal proportion of these subsidies.  A close look at the pattern of storage and balancing usage provides justification for elimination of the cross subsidies—and the Comprehensive Settlement, by unbundling both storage and balancing and providing for a more rational system of imbalance tolerances and penalties, does just that.</w:t>
        <w:tab/>
      </w:r>
    </w:p>
    <w:p>
      <w:pPr>
        <w:pStyle w:val="Normal"/>
        <w:spacing w:lineRule="auto" w:line="360"/>
        <w:rPr>
          <w:sz w:val="24"/>
        </w:rPr>
      </w:pPr>
      <w:r>
        <w:rPr>
          <w:sz w:val="24"/>
        </w:rPr>
        <w:tab/>
        <w:t xml:space="preserve">Witness Yap states that the core used storage injection in excess of the combined 352.5 MMcfd of storage injection capacity for which it is allocated costs on 83 days during the period November 1998 through December 1999.  PIST at p. 29, line 22 – p. 30, line 6.  It is asserted that the noncore exceeded its allocated 329.4 MMcfd of injection capacity on 31 days during this period, and exceed its allocated 250 MMcfd in withdrawal capacity on 113 days during the same period.  PIST at p. 30, lines 7-15.  There is no attempt made by Witness Yap to demonstrate that the amount of the excessive injections or withdrawals are equivalent, as she merely concludes that the combined core and noncore injection and withdrawal capacities were exceeded on fewer days than the individual class injection and withdrawal capacities.   Nor does the testimony contain any analysis of the reason for the excessive injections and withdrawals.   The testimony cannot trace the benefits of the “unpaid” injection and withdrawals, and does not in any way substantiate that core customers actually benefited from the allegedly excessive use of injection capacity.  Without firm evidence as to the cause of the observed behavior, many contrary possibilities arise.  It is possible that a portion of this injection activity might be caused by SoCalGas injecting gas as part of Hub services it provided to noncore customers.  In the statistics reviewed by Witness Yap such a transaction might appear to be core injection, as SoCalGas was providing Hub services using core assets and using core gas resources to balance the system during this period of time.   </w:t>
      </w:r>
    </w:p>
    <w:p>
      <w:pPr>
        <w:pStyle w:val="Normal"/>
        <w:spacing w:lineRule="auto" w:line="360"/>
        <w:ind w:firstLine="720" w:end="0"/>
        <w:rPr>
          <w:sz w:val="24"/>
        </w:rPr>
      </w:pPr>
      <w:r>
        <w:rPr>
          <w:sz w:val="24"/>
        </w:rPr>
        <w:t xml:space="preserve">Conversely, the use of excessive withdrawal by the noncore during winter periods raises significant questions that are unanswered by Witness Yap.  There exists the possibility that noncore customers were attempting to “float” on the core’s balance of gas in storage in order to avoid purchasing gas during periods of high prices, which occur more often in the winter.  Were core customers harmed by this practice?   Perhaps not last winter, but what about next winter?  </w:t>
      </w:r>
    </w:p>
    <w:p>
      <w:pPr>
        <w:pStyle w:val="Normal"/>
        <w:spacing w:lineRule="auto" w:line="360"/>
        <w:ind w:firstLine="720" w:end="0"/>
        <w:rPr>
          <w:sz w:val="24"/>
        </w:rPr>
      </w:pPr>
      <w:r>
        <w:rPr>
          <w:sz w:val="24"/>
        </w:rPr>
        <w:t xml:space="preserve">No precise conclusion be drawn from this brief comparison of injection and withdrawal activity, other than the fact that customers were not paying for all of the services they actually used.  The testimony provides no rationale for such a significant disconnect between the services a customer pays for and the services it actually uses.  </w:t>
      </w:r>
    </w:p>
    <w:p>
      <w:pPr>
        <w:pStyle w:val="Normal"/>
        <w:spacing w:lineRule="auto" w:line="360"/>
        <w:ind w:firstLine="720" w:end="0"/>
        <w:rPr>
          <w:sz w:val="24"/>
        </w:rPr>
      </w:pPr>
      <w:r>
        <w:rPr>
          <w:sz w:val="24"/>
        </w:rPr>
        <w:t>The Post Interim Settlement does not cure this problematic situation, and in fact, relies upon its continuance.  In contrast, the Comprehensive Settlement Agreement creates a system in which customers are directly responsible for the costs of the resources they use in balancing, which is fundamentally more fair to all customers.  However, in addition to this increased responsibility (especially for customers voluntarily electing to meet the self-balancing standards), customers are provided with valuable additional tools to address imbalances, including a sophisticated system for electronic trading of monthly imbalances and OFO imbalance rights, anonymously, which should greatly facilitate the “netting out” of imbalance positions, thereby reducing the imbalance penalty risk for all customers but those in the most extreme imbalance positions.</w:t>
      </w:r>
    </w:p>
    <w:p>
      <w:pPr>
        <w:pStyle w:val="Normal"/>
        <w:spacing w:lineRule="auto" w:line="360"/>
        <w:rPr>
          <w:sz w:val="24"/>
        </w:rPr>
      </w:pPr>
      <w:r>
        <w:rPr>
          <w:sz w:val="24"/>
        </w:rPr>
        <w:tab/>
      </w:r>
    </w:p>
    <w:p>
      <w:pPr>
        <w:pStyle w:val="Normal"/>
        <w:rPr>
          <w:sz w:val="24"/>
        </w:rPr>
      </w:pPr>
      <w:r>
        <w:rPr>
          <w:b/>
          <w:i/>
          <w:sz w:val="24"/>
        </w:rPr>
        <w:t>DEFERRING ADDITIONAL UNBUNDLING OF STORAGE OR BALANCING SERVICE IS UNNECESSARY AND DISADVANTAGES ALL CUSTOMER CLASSES</w:t>
      </w:r>
    </w:p>
    <w:p>
      <w:pPr>
        <w:pStyle w:val="Normal"/>
        <w:spacing w:lineRule="auto" w:line="360"/>
        <w:rPr>
          <w:sz w:val="24"/>
        </w:rPr>
      </w:pPr>
      <w:r>
        <w:rPr>
          <w:sz w:val="24"/>
        </w:rPr>
      </w:r>
    </w:p>
    <w:p>
      <w:pPr>
        <w:pStyle w:val="Normal"/>
        <w:spacing w:lineRule="auto" w:line="360"/>
        <w:ind w:firstLine="720" w:end="0"/>
        <w:rPr>
          <w:sz w:val="24"/>
        </w:rPr>
      </w:pPr>
      <w:r>
        <w:rPr>
          <w:sz w:val="24"/>
        </w:rPr>
        <w:t>The proponents of the Post Interim Settlement suggest that additional unbundling of balancing and storage be deferred until the next BCAP at least, in order to allow the parties to observe the effects of other reforms.  PIST at p. 55, lines 16-19; p. 57, lines 8-15.  This delay is unnecessary and ill-considered.  First, the Post Interim Settlement does not introduce any significant reforms in the areas of unbundling transmission, storage, or balancing (other than a limited unbundling of non-reliability storage for core aggregation transporters, PIST at p. 45, Section 6.7.2.1).  Thus, there would be no other significant reforms for parties to observe.  If the Post Interim Settlement were adopted the main consequence of such substantial delay would most likely be considerable frustration on the part of noncore and CAT customers and the SoCalGas core procurement department watching their counterparts in PG&amp;E’s service territory maximize the value of their imbalance positions and reduce their balancing costs with trading rights and self-balancing options which were denied to them.  WGSI  and its affiliated companies have many years of experience in the unregulated gas storage market in Canada, and believe that neither the Commission nor the customers on the SoCalGas system require 3 to 6 more years to observe the existing bundled storage and balancing regime in order to determine that additional balancing and storage unbundling offers customers valuable new options for managing gas supply requirements.  The fact that the Commission specifically included unbundled storage and more precise balancing requirements as promising options in D.99-07-015 after considerable testimony and discussion of such options in the early proceedings in this case also argues against the need for any lengthy delay in implementing such options.</w:t>
      </w:r>
    </w:p>
    <w:p>
      <w:pPr>
        <w:pStyle w:val="Normal"/>
        <w:spacing w:lineRule="auto" w:line="360"/>
        <w:ind w:firstLine="720" w:end="0"/>
        <w:rPr>
          <w:sz w:val="24"/>
        </w:rPr>
      </w:pPr>
      <w:r>
        <w:rPr>
          <w:sz w:val="24"/>
        </w:rPr>
        <w:t xml:space="preserve">In addition, if more liquid imbalance trading and unbundled balancing were permitted in the PG&amp;E system but forbidden in SoCalGas’s system, this disparity could produce perverse incentives for customers, who might seek to shift excessive imbalance positions onto the SoCalGas system at particular times in order to avoid cost responsibility for imbalances under the PG&amp;E rules.  This could negatively impact other shippers on the SoCalGas system by artificially increasing demand for capacity at various receipt points, and represents just one more example of why generally consistent statewide regulatory rules are much more desirable. </w:t>
      </w:r>
    </w:p>
    <w:p>
      <w:pPr>
        <w:pStyle w:val="Normal"/>
        <w:spacing w:lineRule="auto" w:line="360"/>
        <w:rPr>
          <w:sz w:val="24"/>
        </w:rPr>
      </w:pPr>
      <w:r>
        <w:rPr>
          <w:sz w:val="24"/>
        </w:rPr>
      </w:r>
    </w:p>
    <w:p>
      <w:pPr>
        <w:pStyle w:val="Normal"/>
        <w:rPr>
          <w:sz w:val="24"/>
        </w:rPr>
      </w:pPr>
      <w:r>
        <w:rPr>
          <w:b/>
          <w:i/>
          <w:sz w:val="24"/>
        </w:rPr>
        <w:t>THE ANONYMOUS ELECTRONIC TRADING OF BALANCES PROPOSED IN THE COMPREHENSIVE SETTLEMENT IS CONSISTENT WITH THE TRADING RULES ADOPTED FOR PG&amp;E AND IS SUPERIOR TO THE LIMITED TRADING PERMITTED UNDER THE POST INTERIM SETTLEMENT</w:t>
      </w:r>
    </w:p>
    <w:p>
      <w:pPr>
        <w:pStyle w:val="Normal"/>
        <w:spacing w:lineRule="auto" w:line="360"/>
        <w:rPr>
          <w:sz w:val="24"/>
        </w:rPr>
      </w:pPr>
      <w:r>
        <w:rPr>
          <w:sz w:val="24"/>
        </w:rPr>
      </w:r>
    </w:p>
    <w:p>
      <w:pPr>
        <w:pStyle w:val="Normal"/>
        <w:spacing w:lineRule="auto" w:line="360"/>
        <w:rPr>
          <w:sz w:val="24"/>
        </w:rPr>
      </w:pPr>
      <w:r>
        <w:rPr>
          <w:sz w:val="24"/>
        </w:rPr>
        <w:tab/>
        <w:t xml:space="preserve">The Post Interim Settlement Testimony offered by Witness Yap contends that more liberalized imbalance trading should be permitted, but that such trading can be conducted through existing communications channels, implicitly rejecting one of the most innovative components of the Comprehensive Settlement.  PIST, p. 32, lines 13-27.  The balancing provisions of the Comprehensive Settlement would permit anonymous monthly imbalance trading and OFO imbalance rights trading on a readily accessible internet-based platform provided by an commercial third party provider who was completely independent of the utility.  WGSI and the proponents of the Comprehensive Settlement believe that this innovative trading system will produce substantial benefits for all customers, and should not be ignored by the proponents of the Post Interim Settlement.  </w:t>
      </w:r>
    </w:p>
    <w:p>
      <w:pPr>
        <w:pStyle w:val="Normal"/>
        <w:spacing w:lineRule="auto" w:line="360"/>
        <w:rPr>
          <w:sz w:val="24"/>
        </w:rPr>
      </w:pPr>
      <w:r>
        <w:rPr>
          <w:sz w:val="24"/>
        </w:rPr>
        <w:tab/>
        <w:t>Currently, imbalance trading is conducted by customers trying to contact each other through a series of bilateral communications, whether by phone, e-mail or in person, in which one party tries to ascertain if the other has an imbalance position opposite to its own, and if there is a willingness to trade the imbalance, and at what price.  This cumbersome system could be vastly accelerated if all parties willing to trade could simply and quickly post their positions on the trading board.  Interested buyers could bid to trade for the posted positions and a trade which reflected the collective needs and desires of literally hundreds of shippers could be consummated</w:t>
      </w:r>
    </w:p>
    <w:p>
      <w:pPr>
        <w:pStyle w:val="Normal"/>
        <w:spacing w:lineRule="auto" w:line="360"/>
        <w:rPr>
          <w:sz w:val="24"/>
        </w:rPr>
      </w:pPr>
      <w:r>
        <w:rPr>
          <w:sz w:val="24"/>
        </w:rPr>
        <w:t>in minutes or even seconds.  In addition, participation in such bidding is encouraged by the confidential aspect of the trading system, as customers can post their positions anonymously, and need not reveal anything about their overall gas supply positions in so doing.  Considerably more information is frequently revealed in bilateral negotiations.  All customers will benefit from increased trading and increased participation by more shippers in trading.  This is because the system will more quickly move itself to a more balanced position as easier trading allows customers to more efficiently “net out” each others’ positions, eliminating unnecessary imbalance penalties, and reducing the out-of-balance positions to the bare minimum.</w:t>
      </w:r>
    </w:p>
    <w:p>
      <w:pPr>
        <w:pStyle w:val="Normal"/>
        <w:spacing w:lineRule="auto" w:line="360"/>
        <w:ind w:firstLine="720" w:end="0"/>
        <w:rPr>
          <w:sz w:val="24"/>
        </w:rPr>
      </w:pPr>
      <w:r>
        <w:rPr>
          <w:sz w:val="24"/>
        </w:rPr>
        <w:t>In addition, all classes of customers, including the core procurement department of SoCalGas, can maximize the value of its gas supply by earning more revenues from imbalance positions which are opposite of the net imbalance position.  These revenues will help reduce the overall costs of gas supply management and give customers a financial incentive to manage their supplies in such a way as to create more balancing revenues.  When customers have such a financial incentive, they also have a strong incentive to help the system self balance itself.</w:t>
      </w:r>
    </w:p>
    <w:p>
      <w:pPr>
        <w:pStyle w:val="Normal"/>
        <w:spacing w:lineRule="auto" w:line="360"/>
        <w:ind w:firstLine="720" w:end="0"/>
        <w:rPr>
          <w:sz w:val="24"/>
        </w:rPr>
      </w:pPr>
      <w:r>
        <w:rPr>
          <w:sz w:val="24"/>
        </w:rPr>
        <w:t xml:space="preserve">It is important for the Commission to remember that both the self balancing option in the Comprehensive Settlement and the electronic imbalance trading system are options which customers may or may not choose to use.   All customers retain the ability to continue to use the same imbalance rules and the same trading techniques they use today.  However, where the Post Interim Settlement stops at simply allowing a limited number of additional types of imbalances to be traded (PIST at pp. 32-33), the Comprehensive Settlement provides customers with both the opportunity, the incentive, and the tools to engage in more productive balancing activity.   </w:t>
      </w:r>
    </w:p>
    <w:p>
      <w:pPr>
        <w:pStyle w:val="Normal"/>
        <w:spacing w:lineRule="auto" w:line="360"/>
        <w:ind w:firstLine="720" w:end="0"/>
        <w:rPr>
          <w:sz w:val="24"/>
        </w:rPr>
      </w:pPr>
      <w:r>
        <w:rPr>
          <w:sz w:val="24"/>
        </w:rPr>
        <w:t>This concludes my rebuttal testimony.</w:t>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i/>
          <w:i/>
          <w:sz w:val="24"/>
        </w:rPr>
      </w:pPr>
      <w:r>
        <w:rPr>
          <w:b/>
          <w:i/>
          <w:sz w:val="24"/>
        </w:rPr>
      </w:r>
    </w:p>
    <w:p>
      <w:pPr>
        <w:pStyle w:val="Normal"/>
        <w:rPr>
          <w:b/>
          <w:i/>
          <w:i/>
          <w:sz w:val="24"/>
        </w:rPr>
      </w:pPr>
      <w:r>
        <w:rPr>
          <w:b/>
          <w:i/>
          <w:sz w:val="24"/>
        </w:rPr>
      </w:r>
    </w:p>
    <w:p>
      <w:pPr>
        <w:pStyle w:val="Normal"/>
        <w:rPr>
          <w:b/>
          <w:i/>
          <w:i/>
          <w:sz w:val="24"/>
        </w:rPr>
      </w:pPr>
      <w:r>
        <w:rPr>
          <w:b/>
          <w:i/>
          <w:sz w:val="24"/>
        </w:rPr>
      </w:r>
    </w:p>
    <w:p>
      <w:pPr>
        <w:pStyle w:val="Normal"/>
        <w:spacing w:lineRule="exact" w:line="200" w:before="240" w:after="0"/>
        <w:rPr/>
      </w:pPr>
      <w:r>
        <w:rPr>
          <w:rStyle w:val="zzmpTrailerItem"/>
        </w:rPr>
        <w:t>2715/016/X12834</w:t>
      </w:r>
      <w:r>
        <w:rPr/>
        <w:t xml:space="preserve"> </w:t>
      </w:r>
    </w:p>
    <w:sectPr>
      <w:headerReference w:type="default" r:id="rId6"/>
      <w:headerReference w:type="first" r:id="rId7"/>
      <w:footerReference w:type="default" r:id="rId8"/>
      <w:footerReference w:type="first" r:id="rId9"/>
      <w:type w:val="nextPage"/>
      <w:pgSz w:w="12240" w:h="15840"/>
      <w:pgMar w:left="2088" w:right="720" w:gutter="0" w:header="432" w:top="1325" w:footer="36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r>
    <w:r>
      <w:rPr/>
      <w:fldChar w:fldCharType="begin"/>
    </w:r>
    <w:r>
      <w:rPr/>
      <w:instrText xml:space="preserve"> PAGE \* ARABIC </w:instrText>
    </w:r>
    <w:r>
      <w:rPr/>
      <w:fldChar w:fldCharType="separate"/>
    </w:r>
    <w:r>
      <w:rPr/>
      <w:t>0</w:t>
    </w:r>
    <w:r>
      <w:rPr/>
      <w:fldChar w:fldCharType="end"/>
    </w:r>
    <w:r>
      <w:rPr/>
      <w:t>.</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r>
    <w:r>
      <w:rPr/>
      <w:fldChar w:fldCharType="begin"/>
    </w:r>
    <w:r>
      <w:rPr/>
      <w:instrText xml:space="preserve"> PAGE \* ARABIC </w:instrText>
    </w:r>
    <w:r>
      <w:rPr/>
      <w:fldChar w:fldCharType="separate"/>
    </w:r>
    <w:r>
      <w:rPr/>
      <w:t>5</w:t>
    </w:r>
    <w:r>
      <w:rPr/>
      <w:fldChar w:fldCharType="end"/>
    </w:r>
    <w:r>
      <w:rPr/>
      <w:t>.</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20" w:leader="none"/>
        <w:tab w:val="right" w:pos="9440" w:leader="none"/>
      </w:tabs>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541770" cy="14605"/>
              <wp:effectExtent l="0" t="0" r="0" b="0"/>
              <wp:wrapNone/>
              <wp:docPr id="1" name="Frame2"/>
              <a:graphic xmlns:a="http://schemas.openxmlformats.org/drawingml/2006/main">
                <a:graphicData uri="http://schemas.microsoft.com/office/word/2010/wordprocessingShape">
                  <wps:wsp>
                    <wps:cNvSpPr txBox="1"/>
                    <wps:spPr>
                      <a:xfrm>
                        <a:off x="0" y="0"/>
                        <a:ext cx="6541770" cy="14605"/>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7">
              <wp:simplePos x="0" y="0"/>
              <wp:positionH relativeFrom="column">
                <wp:align>left</wp:align>
              </wp:positionH>
              <wp:positionV relativeFrom="line">
                <wp:posOffset>635</wp:posOffset>
              </wp:positionV>
              <wp:extent cx="6541770" cy="9448800"/>
              <wp:effectExtent l="0" t="0" r="0" b="0"/>
              <wp:wrapNone/>
              <wp:docPr id="2" name="Frame1"/>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6541770" cy="9448800"/>
              <wp:effectExtent l="0" t="0" r="0" b="0"/>
              <wp:wrapNone/>
              <wp:docPr id="3" name="Frame4"/>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6541770" cy="9448800"/>
              <wp:effectExtent l="0" t="0" r="0" b="0"/>
              <wp:wrapNone/>
              <wp:docPr id="4" name="Frame3"/>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tabs>
                              <w:tab w:val="clear" w:pos="720"/>
                              <w:tab w:val="center" w:pos="4853" w:leader="none"/>
                              <w:tab w:val="right" w:pos="9547" w:leader="none"/>
                            </w:tabs>
                            <w:snapToGrid w:val="false"/>
                            <w:ind w:start="113" w:end="113"/>
                            <w:rPr/>
                          </w:pPr>
                          <w:r>
                            <w:rPr/>
                          </w:r>
                        </w:p>
                      </w:tc>
                    </w:tr>
                  </w:tbl>
                </w:txbxContent>
              </v:textbox>
              <w10:wrap type="none"/>
            </v:rect>
          </w:pict>
        </mc:Fallback>
      </mc:AlternateContent>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iTrailerType" w:val="1"/>
    <w:docVar w:name="zzmpFixed_PleadingPaperType" w:val="PP28None"/>
    <w:docVar w:name="zzmpFixedDOC_ID" w:val="2715/016/X1283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i/>
      <w:caps/>
      <w:shadow/>
      <w:emboss/>
      <w:vanish/>
      <w:color w:val="auto"/>
      <w:spacing w:val="0"/>
      <w:position w:val="0"/>
      <w:sz w:val="16"/>
      <w:sz w:val="16"/>
      <w:u w:val="none"/>
      <w:effect w:val="blinkBackground"/>
      <w:vertAlign w:val="baseline"/>
      <w:lang w:val="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lineRule="exact" w:line="240"/>
    </w:pPr>
    <w:rPr/>
  </w:style>
  <w:style w:type="paragraph" w:styleId="Header">
    <w:name w:val="header"/>
    <w:basedOn w:val="Normal"/>
    <w:pPr>
      <w:tabs>
        <w:tab w:val="clear" w:pos="720"/>
        <w:tab w:val="center" w:pos="4320" w:leader="none"/>
        <w:tab w:val="right" w:pos="8640" w:leader="none"/>
      </w:tabs>
    </w:pPr>
    <w:rPr/>
  </w:style>
  <w:style w:type="paragraph" w:styleId="BodyTextContinued">
    <w:name w:val="Body Text Continued"/>
    <w:basedOn w:val="BodyText"/>
    <w:next w:val="BodyText"/>
    <w:qFormat/>
    <w:pPr>
      <w:ind w:hanging="0" w:start="0" w:end="0"/>
    </w:pPr>
    <w:rPr/>
  </w:style>
  <w:style w:type="paragraph" w:styleId="DocumentMap">
    <w:name w:val="Document Map"/>
    <w:basedOn w:val="Normal"/>
    <w:qFormat/>
    <w:pPr>
      <w:shd w:fill="000080" w:val="clear"/>
    </w:pPr>
    <w:rPr>
      <w:rFonts w:ascii="Tahoma" w:hAnsi="Tahoma" w:cs="Tahoma"/>
    </w:rPr>
  </w:style>
  <w:style w:type="paragraph" w:styleId="HeaderNumbers">
    <w:name w:val="HeaderNumbers"/>
    <w:basedOn w:val="Normal"/>
    <w:qFormat/>
    <w:pPr>
      <w:spacing w:lineRule="exact" w:line="480" w:before="720" w:after="0"/>
      <w:ind w:hanging="0" w:start="0" w:end="144"/>
      <w:jc w:val="end"/>
    </w:pPr>
    <w:rPr>
      <w:rFonts w:ascii="Bookman Old Style" w:hAnsi="Bookman Old Style" w:cs="Bookman Old Style"/>
      <w:sz w:val="24"/>
      <w:lang w:eastAsia="en-C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2000-05-17T03:15:00Z</dcterms:created>
  <dc:creator>jdasovic</dc:creator>
  <dc:description/>
  <dc:language>en-CA</dc:language>
  <cp:lastModifiedBy>Michael B. Day</cp:lastModifiedBy>
  <cp:lastPrinted>2000-05-16T22:19:00Z</cp:lastPrinted>
  <dcterms:modified xsi:type="dcterms:W3CDTF">2000-05-17T03:15:00Z</dcterms:modified>
  <cp:revision>3</cp:revision>
  <dc:subject/>
  <dc:title>Wild Goose Storage Inc</dc:title>
</cp:coreProperties>
</file>