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jc w:val="center"/>
        <w:rPr>
          <w:rFonts w:ascii="Times New Roman" w:hAnsi="Times New Roman" w:cs="Times New Roman"/>
          <w:b w:val="false"/>
          <w:sz w:val="24"/>
        </w:rPr>
      </w:pPr>
      <w:r>
        <w:rPr>
          <w:rFonts w:cs="Times New Roman" w:ascii="Times New Roman" w:hAnsi="Times New Roman"/>
          <w:b w:val="false"/>
          <w:smallCaps/>
          <w:sz w:val="24"/>
        </w:rPr>
        <w:t>Before the Public Utilities Commission of the State of California</w:t>
      </w:r>
    </w:p>
    <w:p>
      <w:pPr>
        <w:pStyle w:val="Normal"/>
        <w:rPr>
          <w:rFonts w:ascii="Times New Roman" w:hAnsi="Times New Roman" w:cs="Times New Roman"/>
          <w:b/>
          <w:sz w:val="26"/>
        </w:rPr>
      </w:pPr>
      <w:r>
        <w:rPr>
          <w:rFonts w:cs="Times New Roman"/>
          <w:b/>
          <w:sz w:val="26"/>
        </w:rPr>
      </w:r>
    </w:p>
    <w:p>
      <w:pPr>
        <w:pStyle w:val="Normal"/>
        <w:tabs>
          <w:tab w:val="clear" w:pos="720"/>
          <w:tab w:val="left" w:pos="4320" w:leader="none"/>
        </w:tabs>
        <w:rPr>
          <w:sz w:val="26"/>
        </w:rPr>
      </w:pPr>
      <w:r>
        <w:rPr>
          <w:sz w:val="26"/>
        </w:rPr>
      </w:r>
    </w:p>
    <w:p>
      <w:pPr>
        <w:pStyle w:val="Normal"/>
        <w:tabs>
          <w:tab w:val="clear" w:pos="720"/>
          <w:tab w:val="left" w:pos="4320" w:leader="none"/>
        </w:tabs>
        <w:rPr>
          <w:sz w:val="26"/>
        </w:rPr>
      </w:pPr>
      <w:r>
        <w:rPr>
          <w:sz w:val="26"/>
        </w:rPr>
      </w:r>
    </w:p>
    <w:p>
      <w:pPr>
        <w:pStyle w:val="Normal"/>
        <w:tabs>
          <w:tab w:val="clear" w:pos="720"/>
          <w:tab w:val="left" w:pos="4320" w:leader="none"/>
        </w:tabs>
        <w:rPr>
          <w:sz w:val="26"/>
        </w:rPr>
      </w:pPr>
      <w:r>
        <w:rPr>
          <w:sz w:val="26"/>
        </w:rPr>
      </w:r>
    </w:p>
    <w:tbl>
      <w:tblPr>
        <w:tblW w:w="8496" w:type="dxa"/>
        <w:jc w:val="start"/>
        <w:tblInd w:w="0" w:type="dxa"/>
        <w:tblLayout w:type="fixed"/>
        <w:tblCellMar>
          <w:top w:w="0" w:type="dxa"/>
          <w:start w:w="108" w:type="dxa"/>
          <w:bottom w:w="0" w:type="dxa"/>
          <w:end w:w="108" w:type="dxa"/>
        </w:tblCellMar>
      </w:tblPr>
      <w:tblGrid>
        <w:gridCol w:w="4428"/>
        <w:gridCol w:w="4068"/>
      </w:tblGrid>
      <w:tr>
        <w:trPr/>
        <w:tc>
          <w:tcPr>
            <w:tcW w:w="4428" w:type="dxa"/>
            <w:tcBorders>
              <w:bottom w:val="single" w:sz="6" w:space="0" w:color="000000"/>
              <w:end w:val="single" w:sz="6" w:space="0" w:color="000000"/>
            </w:tcBorders>
          </w:tcPr>
          <w:p>
            <w:pPr>
              <w:pStyle w:val="Caption"/>
              <w:snapToGrid w:val="false"/>
              <w:rPr/>
            </w:pPr>
            <w:r>
              <w:rPr/>
            </w:r>
          </w:p>
          <w:p>
            <w:pPr>
              <w:pStyle w:val="Caption"/>
              <w:rPr/>
            </w:pPr>
            <w:r>
              <w:rPr/>
              <w:t>Order Instituting Rulemaking into Distributed Generation</w:t>
            </w:r>
          </w:p>
        </w:tc>
        <w:tc>
          <w:tcPr>
            <w:tcW w:w="4068" w:type="dxa"/>
            <w:tcBorders/>
          </w:tcPr>
          <w:p>
            <w:pPr>
              <w:pStyle w:val="Caption"/>
              <w:snapToGrid w:val="false"/>
              <w:ind w:firstLine="612" w:end="0"/>
              <w:rPr/>
            </w:pPr>
            <w:r>
              <w:rPr/>
            </w:r>
          </w:p>
          <w:p>
            <w:pPr>
              <w:pStyle w:val="Caption"/>
              <w:ind w:firstLine="612" w:end="0"/>
              <w:rPr/>
            </w:pPr>
            <w:r>
              <w:rPr/>
              <w:t xml:space="preserve"> </w:t>
            </w:r>
            <w:r>
              <w:rPr/>
              <w:t>Rulemaking 99-10-025</w:t>
            </w:r>
          </w:p>
          <w:p>
            <w:pPr>
              <w:pStyle w:val="Caption"/>
              <w:ind w:firstLine="612" w:end="0"/>
              <w:rPr/>
            </w:pPr>
            <w:r>
              <w:rPr/>
              <w:t>(Filed October 21, 1999)</w:t>
            </w:r>
          </w:p>
          <w:p>
            <w:pPr>
              <w:pStyle w:val="Caption"/>
              <w:ind w:firstLine="612" w:end="0"/>
              <w:rPr/>
            </w:pPr>
            <w:r>
              <w:rPr/>
              <w:t xml:space="preserve"> </w:t>
            </w:r>
          </w:p>
        </w:tc>
      </w:tr>
    </w:tbl>
    <w:p>
      <w:pPr>
        <w:pStyle w:val="Normal"/>
        <w:rPr/>
      </w:pPr>
      <w:r>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t xml:space="preserve">REBUTTAL TESTIMONY OF ENRON NORTH AMERICA CORP. AND </w:t>
      </w:r>
    </w:p>
    <w:p>
      <w:pPr>
        <w:pStyle w:val="Normal"/>
        <w:jc w:val="center"/>
        <w:rPr>
          <w:b/>
          <w:smallCaps/>
          <w:sz w:val="28"/>
        </w:rPr>
      </w:pPr>
      <w:r>
        <w:rPr>
          <w:b/>
          <w:smallCaps/>
          <w:sz w:val="28"/>
        </w:rPr>
        <w:t xml:space="preserve">ENRON ENERGY SERVICES, INC. </w:t>
      </w:r>
    </w:p>
    <w:p>
      <w:pPr>
        <w:pStyle w:val="Normal"/>
        <w:jc w:val="center"/>
        <w:rPr>
          <w:b/>
          <w:sz w:val="28"/>
        </w:rPr>
      </w:pPr>
      <w:r>
        <w:rPr>
          <w:b/>
          <w:smallCaps/>
          <w:sz w:val="28"/>
        </w:rPr>
        <w:t>(PHASE I)</w:t>
      </w:r>
    </w:p>
    <w:p>
      <w:pPr>
        <w:pStyle w:val="BodyText"/>
        <w:spacing w:before="0" w:after="0"/>
        <w:rPr>
          <w:rFonts w:ascii="Times New Roman" w:hAnsi="Times New Roman" w:cs="Times New Roman"/>
          <w:b w:val="false"/>
          <w:sz w:val="24"/>
        </w:rPr>
      </w:pPr>
      <w:r>
        <w:rPr>
          <w:rFonts w:cs="Times New Roman" w:ascii="Times New Roman" w:hAnsi="Times New Roman"/>
          <w:b w:val="false"/>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jc w:val="center"/>
        <w:rPr>
          <w:rFonts w:ascii="Times New Roman" w:hAnsi="Times New Roman" w:cs="Times New Roman"/>
          <w:sz w:val="24"/>
        </w:rPr>
      </w:pPr>
      <w:r>
        <w:rPr>
          <w:rFonts w:cs="Times New Roman" w:ascii="Times New Roman" w:hAnsi="Times New Roman"/>
          <w:sz w:val="24"/>
        </w:rPr>
        <w:t>Introduction</w:t>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Enron North America Corp. and Enron Energy Services, Inc. (jointly "Enron") submit this rebuttal testimony concerning the two issues discussed in Enron's initial testimony.  The first issue is whether utility distribution companies (“UDCs”) should be required to provide unbundled distribution wheeling services to facilitate the sale of capacity and energy associated with distributed generation ("DG") resources into the wholesale market or to end-users located on the same or different distribution circuits.  In its initial testimony, Enron advocated the implementation of pro-forma, open access distribution tariffs.  In this rebuttal testimony, Enron affirms this fundamental position and responds to the testimonies of several parties relative to this issue.  Enron’s rebuttal testimony is sponsored by the same individuals who sponsored Enron’s initial testimony. </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The second issue addressed in Enron's initial Phase I testimony entails a determination of the role that UDCs should play in relation to DG.  In particular, the issue is whether UDCs should be permitted to install, own and/or operate DG facilities.  Enron's initial testimony asserted that UDCs should not be authorized to install (or own/operate) DG on the customer's side of the meter, but that UDC-affiliates should be permitted to compete in this area once certain conditions are met.  In this rebuttal testimony, Enron affirms its view regarding the role of UDCs, which should be to perform wires delivery functions, not compete with non-UDCs in this competitive arena. </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With respect to grid-side DG applications, Enron's initial testimony articulated the view that UDCs should be allowed to utilize grid-side DG only when doing so represents an economic alternative to "traditional" distribution system investments and only for the purpose of providing safe and reliable distribution service.  Again, Enron agreed that UDC-affiliates should be permitted to own grid-side "merchant" DG facilities subject to the same series of conditions as those that apply in the context of customer-side applications.  This rebuttal testimony affirms Enron's fundamental positions on this subject, but also acknowledges the potential merit of allowing UDCs to own grid-side DG for certain limited and narrow applications.                                </w:t>
      </w:r>
    </w:p>
    <w:p>
      <w:pPr>
        <w:pStyle w:val="Normal"/>
        <w:spacing w:lineRule="auto" w:line="480"/>
        <w:jc w:val="center"/>
        <w:rPr>
          <w:b/>
          <w:sz w:val="24"/>
        </w:rPr>
      </w:pPr>
      <w:r>
        <w:rPr>
          <w:b/>
          <w:sz w:val="24"/>
        </w:rPr>
        <w:t>Distribution Wheeling</w:t>
      </w:r>
    </w:p>
    <w:p>
      <w:pPr>
        <w:pStyle w:val="Normal"/>
        <w:numPr>
          <w:ilvl w:val="0"/>
          <w:numId w:val="1"/>
        </w:numPr>
        <w:tabs>
          <w:tab w:val="clear" w:pos="720"/>
          <w:tab w:val="left" w:pos="1080" w:leader="none"/>
        </w:tabs>
        <w:ind w:hanging="360" w:start="1080" w:end="0"/>
        <w:rPr>
          <w:sz w:val="24"/>
        </w:rPr>
      </w:pPr>
      <w:r>
        <w:rPr>
          <w:b/>
          <w:sz w:val="24"/>
        </w:rPr>
        <w:t xml:space="preserve">The Need to Implement a Distribution Wheeling Tariff is Self-Evident </w:t>
      </w:r>
    </w:p>
    <w:p>
      <w:pPr>
        <w:pStyle w:val="Normal"/>
        <w:ind w:firstLine="720" w:end="0"/>
        <w:rPr>
          <w:sz w:val="24"/>
        </w:rPr>
      </w:pPr>
      <w:r>
        <w:rPr>
          <w:sz w:val="24"/>
        </w:rPr>
      </w:r>
    </w:p>
    <w:p>
      <w:pPr>
        <w:pStyle w:val="Normal"/>
        <w:spacing w:lineRule="auto" w:line="480"/>
        <w:ind w:firstLine="720" w:end="0"/>
        <w:rPr/>
      </w:pPr>
      <w:r>
        <w:rPr>
          <w:sz w:val="24"/>
        </w:rPr>
        <w:t>As set forth Enron's initial testimony</w:t>
      </w:r>
      <w:r>
        <w:rPr>
          <w:rStyle w:val="FootnoteCharacters"/>
          <w:rStyle w:val="FootnoteReference"/>
          <w:sz w:val="24"/>
        </w:rPr>
        <w:footnoteReference w:id="2"/>
      </w:r>
      <w:r>
        <w:rPr>
          <w:sz w:val="24"/>
        </w:rPr>
        <w:t xml:space="preserve">, Enron proposes a wheeling tariff for distribution services similar to the wheeling tariff available to wholesale customers.  As such, Enron focuses on the need for terms and conditions to cover transactions from an electric service provider (“ESP”) to another retail customer.  These are CPUC-jurisdictional transactions.  </w:t>
      </w:r>
    </w:p>
    <w:p>
      <w:pPr>
        <w:pStyle w:val="Normal"/>
        <w:spacing w:lineRule="auto" w:line="480"/>
        <w:ind w:firstLine="720" w:end="0"/>
        <w:rPr>
          <w:sz w:val="24"/>
        </w:rPr>
      </w:pPr>
      <w:r>
        <w:rPr>
          <w:sz w:val="24"/>
        </w:rPr>
        <w:t>Further, the majority of these distribution transactions will likely use the transmission system at some point.   And here is the conundrum -- the tariffs or rules for direct access include no provisions defining the steps that an ESP or retail customer must follow to obtain wheeling service from the UDC.  Without such steps, the ESP or retail customer cannot and will not be assured of non-discriminatory retail access.  This puts the ESP and the retail customer at a distinct disadvantage and makes any retail-only transaction extremely uncertain.  As a result, without a pro-forma distribution tariff, ESPs and retail customers are faced with a significant barrier -- namely the regulatory and legal uncertainties associated with a retail-only transaction.</w:t>
      </w:r>
    </w:p>
    <w:p>
      <w:pPr>
        <w:pStyle w:val="Normal"/>
        <w:spacing w:lineRule="auto" w:line="480"/>
        <w:ind w:firstLine="720" w:end="0"/>
        <w:rPr>
          <w:sz w:val="24"/>
        </w:rPr>
      </w:pPr>
      <w:r>
        <w:rPr>
          <w:sz w:val="24"/>
        </w:rPr>
        <w:t xml:space="preserve">Leaving aside the issue of "distribution-only" wheeling, Enron and San Diego Gas &amp; Electric Company (“SDG&amp;E”) have discussed listing the terms and conditions for retail wheeling service and have agreed that a document designed to enforce those terms and conditions would be desirable for the retail market.  Enron intends to work with SDG&amp;E to achieve this result.  </w:t>
      </w:r>
    </w:p>
    <w:p>
      <w:pPr>
        <w:pStyle w:val="Normal"/>
        <w:spacing w:lineRule="auto" w:line="480"/>
        <w:ind w:firstLine="720" w:end="0"/>
        <w:rPr>
          <w:b/>
          <w:sz w:val="24"/>
        </w:rPr>
      </w:pPr>
      <w:r>
        <w:rPr>
          <w:sz w:val="24"/>
        </w:rPr>
        <w:t>Along with the terms and conditions of service, Enron's testimony stresses that two other essential components are required.  First, open, nondiscriminatory access requires a strict code of conduct to mitigate or eliminate the inherent conflicts of interest that the current regulatory structure imposes on the UDC. The release of information about the distribution system required to assist developers in locating new DG units represents the second essential component.</w:t>
      </w:r>
    </w:p>
    <w:p>
      <w:pPr>
        <w:pStyle w:val="Normal"/>
        <w:numPr>
          <w:ilvl w:val="0"/>
          <w:numId w:val="2"/>
        </w:numPr>
        <w:tabs>
          <w:tab w:val="clear" w:pos="720"/>
          <w:tab w:val="left" w:pos="1080" w:leader="none"/>
        </w:tabs>
        <w:spacing w:lineRule="auto" w:line="480"/>
        <w:ind w:hanging="360" w:start="1080" w:end="0"/>
        <w:rPr>
          <w:b/>
          <w:sz w:val="24"/>
        </w:rPr>
      </w:pPr>
      <w:r>
        <w:rPr>
          <w:b/>
          <w:sz w:val="24"/>
        </w:rPr>
        <w:t>Distribution-Only Service Does Exist and Should be Made Available</w:t>
      </w:r>
    </w:p>
    <w:p>
      <w:pPr>
        <w:pStyle w:val="QNum"/>
        <w:spacing w:lineRule="auto" w:line="480"/>
        <w:ind w:firstLine="720" w:start="0" w:end="0"/>
        <w:rPr/>
      </w:pPr>
      <w:r>
        <w:rPr>
          <w:rFonts w:cs="Times New Roman" w:ascii="Times New Roman" w:hAnsi="Times New Roman"/>
        </w:rPr>
        <w:t>The range of comments on this topic was narrow.  Southern California Edison’s comments were by and large confined to the assertion that distribution-only wheeling service is "not physically feasible" and, therefore, "cannot be offered" (Edison testimony, p. 24).  Edison's comments differ markedly from the ISO's comments, however.  In its comments, the ISO identifies at least two types of distribution-only wheeling that the ISO believes are both conceivable and feasible (ISO Testimony, pages 9 and 10).</w:t>
      </w:r>
      <w:r>
        <w:rPr>
          <w:rStyle w:val="FootnoteCharacters"/>
          <w:rStyle w:val="FootnoteReference"/>
          <w:rFonts w:cs="Times New Roman" w:ascii="Times New Roman" w:hAnsi="Times New Roman"/>
        </w:rPr>
        <w:footnoteReference w:id="3"/>
      </w:r>
      <w:r>
        <w:rPr>
          <w:rFonts w:cs="Times New Roman" w:ascii="Times New Roman" w:hAnsi="Times New Roman"/>
        </w:rPr>
        <w:t xml:space="preserve">  </w:t>
      </w:r>
    </w:p>
    <w:p>
      <w:pPr>
        <w:pStyle w:val="QNum"/>
        <w:spacing w:lineRule="auto" w:line="480"/>
        <w:ind w:firstLine="720" w:start="0" w:end="0"/>
        <w:rPr>
          <w:rFonts w:ascii="Times New Roman" w:hAnsi="Times New Roman" w:cs="Times New Roman"/>
        </w:rPr>
      </w:pPr>
      <w:r>
        <w:rPr>
          <w:rFonts w:cs="Times New Roman" w:ascii="Times New Roman" w:hAnsi="Times New Roman"/>
        </w:rPr>
        <w:t xml:space="preserve">PG&amp;E's testimony seems to avoid this issue.  PG&amp;E states that it opposes distribution-only wheeling on the grounds that: "(I)f you disconnect distribution circuits from the transmission grid, in most circumstances, the energy flow stops." (PG&amp;E Testimony, p 1-10).  </w:t>
      </w:r>
    </w:p>
    <w:p>
      <w:pPr>
        <w:pStyle w:val="QNum"/>
        <w:spacing w:lineRule="auto" w:line="480"/>
        <w:ind w:firstLine="720" w:start="0" w:end="0"/>
        <w:rPr/>
      </w:pPr>
      <w:r>
        <w:rPr>
          <w:rFonts w:cs="Times New Roman" w:ascii="Times New Roman" w:hAnsi="Times New Roman"/>
        </w:rPr>
        <w:t xml:space="preserve">Enron agrees strongly with the ISO and believes there are transactions that can clearly be categorized as "distribution-only" wheeling.  For example, one grocery store wheels power to another on the same distribution circuit, or one fast-food restaurant wheels to another down the street.  At some point, owing to size or location, it is logical to conclude that a DG facility would have a </w:t>
      </w:r>
      <w:r>
        <w:rPr>
          <w:rFonts w:cs="Times New Roman" w:ascii="Times New Roman" w:hAnsi="Times New Roman"/>
          <w:i/>
        </w:rPr>
        <w:t xml:space="preserve">de minimus </w:t>
      </w:r>
      <w:r>
        <w:rPr>
          <w:rFonts w:cs="Times New Roman" w:ascii="Times New Roman" w:hAnsi="Times New Roman"/>
        </w:rPr>
        <w:t xml:space="preserve">effect on the transmission system.  If small DG facilities are forced to incur ISO fees when the facilities have no effect on the transmission system, Californians may be deprived altogether of the benefits promised by the development of DG.   A closer examination is needed to determine when the fees apply and whether special fees are required for these cases.  California's consumers and its economy will benefit considerably more under this approach than one urging the Commission to turn the other way and dismiss the issue out of hand. </w:t>
      </w:r>
    </w:p>
    <w:p>
      <w:pPr>
        <w:pStyle w:val="Normal"/>
        <w:jc w:val="center"/>
        <w:rPr>
          <w:b/>
          <w:sz w:val="24"/>
        </w:rPr>
      </w:pPr>
      <w:r>
        <w:rPr>
          <w:b/>
          <w:sz w:val="24"/>
        </w:rPr>
        <w:t xml:space="preserve">Ownership and Control of DG </w:t>
      </w:r>
    </w:p>
    <w:p>
      <w:pPr>
        <w:pStyle w:val="Normal"/>
        <w:rPr>
          <w:b/>
          <w:sz w:val="24"/>
        </w:rPr>
      </w:pPr>
      <w:r>
        <w:rPr>
          <w:b/>
          <w:sz w:val="24"/>
        </w:rPr>
      </w:r>
    </w:p>
    <w:p>
      <w:pPr>
        <w:pStyle w:val="Normal"/>
        <w:spacing w:lineRule="auto" w:line="480"/>
        <w:rPr/>
      </w:pPr>
      <w:r>
        <w:rPr>
          <w:sz w:val="24"/>
        </w:rPr>
        <w:tab/>
        <w:t xml:space="preserve">The fundamental principle underlying Enron's position on DG ownership and control is that the role of UDCs should be clearly defined to reflect the newly restructured electric utility market in California.  Enron agrees with SDG&amp;E and other parties who envision the role of UDCs as delivery service companies.  This means that UDCs should act as facilitators of power transactions over their systems by delivering power pursuant to open access distribution tariffs and interconnecting DG in accordance with standard interconnection rules and protocols.  In developing policies in this area, it is also important to note that each of California's UDCs operate within corporate organizations that allows monopoly ("wires") functions to reside in one entity while competitive functions are pursued through other affiliated entities.  Enron sees no benefit - and only potential harm - in allowing </w:t>
      </w:r>
      <w:r>
        <w:rPr>
          <w:sz w:val="24"/>
          <w:u w:val="single"/>
        </w:rPr>
        <w:t>both</w:t>
      </w:r>
      <w:r>
        <w:rPr>
          <w:sz w:val="24"/>
        </w:rPr>
        <w:t xml:space="preserve"> UDCs and their affiliates to engage in competitive functions.  This also means that UDCs should be prohibited from reintegrating generation functions by offering end-users DG as an alternative to other competitive generation services that are available in the retail market.  The only "role" that UDCs should play with respect to DG located on the customer's side of the meter is to interconnect the DG facility and wheel power generated from the facility. </w:t>
      </w:r>
    </w:p>
    <w:p>
      <w:pPr>
        <w:pStyle w:val="Normal"/>
        <w:spacing w:lineRule="auto" w:line="480"/>
        <w:ind w:firstLine="720" w:end="0"/>
        <w:rPr>
          <w:sz w:val="24"/>
        </w:rPr>
      </w:pPr>
      <w:r>
        <w:rPr>
          <w:sz w:val="24"/>
        </w:rPr>
        <w:t xml:space="preserve">With respect to grid-side applications, UDCs should be authorized to make distribution system investments and undertake operational activities necessary to provide safe, reliable and affordable delivery services.  Virtually all parties agree that grid-side DG investments will rarely present an economic alternative to more traditional long-term distribution system investments in fulfilling these responsibilities.  However, in those limited circumstances when DG represents a cost-effective alternative to conventional wires upgrades, Enron agrees that UDCs should be permitted to utilize DG, but only if the UDC first meets each of the conditions described in Enron's initial testimony.     </w:t>
      </w:r>
    </w:p>
    <w:p>
      <w:pPr>
        <w:pStyle w:val="Normal"/>
        <w:spacing w:lineRule="auto" w:line="480"/>
        <w:ind w:firstLine="720" w:end="0"/>
        <w:rPr>
          <w:sz w:val="24"/>
        </w:rPr>
      </w:pPr>
      <w:r>
        <w:rPr>
          <w:sz w:val="24"/>
        </w:rPr>
        <w:t xml:space="preserve">Although the proper role of UDCs should be limited to delivery functions, Enron believes that SDG&amp;E has made a reasonable argument to allow UDCs some flexibility to utilize grid-side DG for limited and temporary applications.  For instance, SDG&amp;E has advocated for the right to own grid-side DG "to provide operational support on a temporary and short-term basis, or…for emergency purposes to support the distribution system on a temporary basis, pending more permanent consideration during the normal planning process."  SDG&amp;E Prepared (Initial) Testimony at 1-2.  Under this approach, SDG&amp;E indicated that it would not seek to "market" the output of DG it uses to meet short-term reliability or operational needs. SDG&amp;E also suggests that it be allowed to own limited DG for research, development and demonstration (RD&amp;D) purposes.  Again, Enron sees this narrow exception as one worthy of further consideration.  In sum, SDG&amp;E's testimony on this subject represents a measured and thoughtful approach that strikes a reasonable balance between the legitimate interests of UDCs with other stakeholders.     </w:t>
      </w:r>
    </w:p>
    <w:p>
      <w:pPr>
        <w:pStyle w:val="Normal"/>
        <w:spacing w:lineRule="exact" w:line="480"/>
        <w:rPr>
          <w:sz w:val="24"/>
        </w:rPr>
      </w:pPr>
      <w:r>
        <w:rPr>
          <w:sz w:val="24"/>
        </w:rPr>
      </w:r>
    </w:p>
    <w:p>
      <w:pPr>
        <w:pStyle w:val="Normal"/>
        <w:spacing w:lineRule="exact" w:line="200" w:before="240" w:after="0"/>
        <w:rPr/>
      </w:pPr>
      <w:r>
        <w:rPr>
          <w:rStyle w:val="zzmpTrailerItem"/>
        </w:rPr>
        <w:t>2704/110/X12619-1</w:t>
      </w:r>
      <w:r>
        <w:rPr/>
        <w:t xml:space="preserve"> </w:t>
      </w:r>
    </w:p>
    <w:sectPr>
      <w:footerReference w:type="default" r:id="rId2"/>
      <w:footerReference w:type="first" r:id="rId3"/>
      <w:footnotePr>
        <w:numFmt w:val="decimal"/>
      </w:footnotePr>
      <w:type w:val="nextPage"/>
      <w:pgSz w:w="12240" w:h="15840"/>
      <w:pgMar w:left="1800" w:right="180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Enron's first summary point in its testimony (p. 1) states as follows: "DG facilities must have non-discriminatory open access to the UDCs’ distribution systems under terms and conditions defined in a Commission-approved pro-forma open access distribution tariff."</w:t>
      </w:r>
    </w:p>
  </w:footnote>
  <w:footnote w:id="3">
    <w:p>
      <w:pPr>
        <w:pStyle w:val="FootnoteText"/>
        <w:rPr/>
      </w:pPr>
      <w:r>
        <w:rPr>
          <w:rStyle w:val="FootnoteCharacters"/>
        </w:rPr>
        <w:footnoteRef/>
      </w:r>
      <w:r>
        <w:rPr/>
        <w:t xml:space="preserve"> </w:t>
      </w:r>
      <w:r>
        <w:rPr/>
        <w:t xml:space="preserve">In fact the ISO stated (ISO Testimony, page 9) that "… the nature of interconnected systems is such that </w:t>
      </w:r>
      <w:r>
        <w:rPr>
          <w:b/>
          <w:i/>
        </w:rPr>
        <w:t>almost every</w:t>
      </w:r>
      <w:r>
        <w:rPr/>
        <w:t xml:space="preserve"> transaction on a Distribution System has at least some effect on ISO operations" (emphasis added).  Thus, the ISO admitted that there are some transactions that have </w:t>
      </w:r>
      <w:r>
        <w:rPr>
          <w:b/>
          <w:i/>
        </w:rPr>
        <w:t>no</w:t>
      </w:r>
      <w:r>
        <w:rPr/>
        <w:t xml:space="preserve"> effect on the transmission system.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iTrailerType" w:val="1"/>
    <w:docVar w:name="zzmpFixedDOC_ID" w:val="2704/110/X1261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rFonts w:ascii="Tahoma" w:hAnsi="Tahoma" w:cs="Tahoma"/>
      <w:b/>
      <w:sz w:val="22"/>
    </w:rPr>
  </w:style>
  <w:style w:type="paragraph" w:styleId="List">
    <w:name w:val="List"/>
    <w:basedOn w:val="BodyText"/>
    <w:pPr/>
    <w:rPr>
      <w:rFonts w:cs="NotoSans NF"/>
    </w:rPr>
  </w:style>
  <w:style w:type="paragraph" w:styleId="Caption">
    <w:name w:val="caption"/>
    <w:basedOn w:val="BodyText"/>
    <w:qFormat/>
    <w:pPr>
      <w:tabs>
        <w:tab w:val="clear" w:pos="720"/>
        <w:tab w:val="left" w:pos="4320" w:leader="none"/>
        <w:tab w:val="left" w:pos="5040" w:leader="none"/>
      </w:tabs>
      <w:spacing w:before="0" w:after="0"/>
    </w:pPr>
    <w:rPr>
      <w:rFonts w:ascii="Times New Roman" w:hAnsi="Times New Roman" w:cs="Times New Roman"/>
      <w:b w:val="false"/>
      <w:sz w:val="26"/>
    </w:rPr>
  </w:style>
  <w:style w:type="paragraph" w:styleId="Index">
    <w:name w:val="Index"/>
    <w:basedOn w:val="Normal"/>
    <w:qFormat/>
    <w:pPr>
      <w:suppressLineNumbers/>
    </w:pPr>
    <w:rPr>
      <w:rFonts w:cs="NotoSans NF"/>
    </w:rPr>
  </w:style>
  <w:style w:type="paragraph" w:styleId="FootnoteText">
    <w:name w:val="footnote text"/>
    <w:basedOn w:val="Normal"/>
    <w:pPr/>
    <w:rPr>
      <w:sz w:val="22"/>
    </w:rPr>
  </w:style>
  <w:style w:type="paragraph" w:styleId="QNum">
    <w:name w:val="QNum"/>
    <w:basedOn w:val="Normal"/>
    <w:qFormat/>
    <w:pPr>
      <w:tabs>
        <w:tab w:val="clear" w:pos="720"/>
        <w:tab w:val="left" w:pos="1440" w:leader="none"/>
        <w:tab w:val="left" w:pos="2160" w:leader="none"/>
        <w:tab w:val="left" w:pos="2880" w:leader="none"/>
      </w:tabs>
      <w:spacing w:lineRule="exact" w:line="400"/>
      <w:ind w:hanging="864" w:start="864"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2000-05-08T19:43:00Z</dcterms:created>
  <dc:creator>robert j. frank</dc:creator>
  <dc:description/>
  <dc:language>en-CA</dc:language>
  <cp:lastModifiedBy>BTC</cp:lastModifiedBy>
  <cp:lastPrinted>2000-05-08T14:45:00Z</cp:lastPrinted>
  <dcterms:modified xsi:type="dcterms:W3CDTF">2000-05-08T19:43:00Z</dcterms:modified>
  <cp:revision>2</cp:revision>
  <dc:subject/>
  <dc:title>BEFORE THE PUBLIC UTILITIES COMMISSION OF THE STATE OF CALIFORNIA</dc:title>
</cp:coreProperties>
</file>