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firstLine="720" w:start="5760" w:end="0"/>
        <w:jc w:val="center"/>
        <w:outlineLvl w:val="0"/>
        <w:rPr>
          <w:b/>
          <w:lang w:eastAsia="en-US"/>
        </w:rPr>
      </w:pPr>
      <w:r>
        <w:rPr>
          <w:b/>
          <w:lang w:eastAsia="en-US"/>
        </w:rPr>
        <w:t>Wild Goose Storage Inc.</w:t>
      </w:r>
    </w:p>
    <w:p>
      <w:pPr>
        <w:pStyle w:val="Normal"/>
        <w:numPr>
          <w:ilvl w:val="0"/>
          <w:numId w:val="0"/>
        </w:numPr>
        <w:ind w:firstLine="720" w:start="5760" w:end="0"/>
        <w:jc w:val="center"/>
        <w:outlineLvl w:val="0"/>
        <w:rPr>
          <w:b/>
          <w:lang w:eastAsia="en-US"/>
        </w:rPr>
      </w:pPr>
      <w:r>
        <w:rPr>
          <w:b/>
          <w:lang w:eastAsia="en-US"/>
        </w:rPr>
        <w:t>Witness: Paul Amirault</w:t>
      </w:r>
    </w:p>
    <w:p>
      <w:pPr>
        <w:pStyle w:val="Normal"/>
        <w:numPr>
          <w:ilvl w:val="0"/>
          <w:numId w:val="0"/>
        </w:numPr>
        <w:ind w:firstLine="720" w:start="5760" w:end="0"/>
        <w:jc w:val="center"/>
        <w:outlineLvl w:val="0"/>
        <w:rPr>
          <w:b/>
          <w:lang w:eastAsia="en-US"/>
        </w:rPr>
      </w:pPr>
      <w:r>
        <w:rPr>
          <w:b/>
          <w:lang w:eastAsia="en-US"/>
        </w:rPr>
        <w:t>Exhibit _____________</w:t>
      </w:r>
    </w:p>
    <w:p>
      <w:pPr>
        <w:pStyle w:val="Normal"/>
        <w:numPr>
          <w:ilvl w:val="0"/>
          <w:numId w:val="0"/>
        </w:numPr>
        <w:ind w:firstLine="720" w:start="5760" w:end="0"/>
        <w:jc w:val="center"/>
        <w:outlineLvl w:val="0"/>
        <w:rPr>
          <w:b/>
          <w:lang w:eastAsia="en-US"/>
        </w:rPr>
      </w:pPr>
      <w:r>
        <w:rPr>
          <w:b/>
          <w:lang w:eastAsia="en-US"/>
        </w:rPr>
        <w:t>Date________________</w:t>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t xml:space="preserve">BEFORE THE </w:t>
      </w:r>
    </w:p>
    <w:p>
      <w:pPr>
        <w:pStyle w:val="Normal"/>
        <w:numPr>
          <w:ilvl w:val="0"/>
          <w:numId w:val="0"/>
        </w:numPr>
        <w:jc w:val="center"/>
        <w:outlineLvl w:val="0"/>
        <w:rPr>
          <w:b/>
          <w:lang w:eastAsia="en-US"/>
        </w:rPr>
      </w:pPr>
      <w:r>
        <w:rPr>
          <w:b/>
          <w:lang w:eastAsia="en-US"/>
        </w:rPr>
        <w:t>PUBLIC UTILITIES COMMISSION OF THE STATE OF CALIFORNIA</w:t>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outlineLvl w:val="0"/>
        <w:rPr>
          <w:b/>
          <w:lang w:eastAsia="en-US"/>
        </w:rPr>
      </w:pPr>
      <w:r>
        <w:rPr>
          <w:b/>
          <w:lang w:eastAsia="en-US"/>
        </w:rPr>
        <w:t xml:space="preserve">Investigation on the Commission’s Own Motion to </w:t>
        <w:tab/>
        <w:t>)</w:t>
      </w:r>
    </w:p>
    <w:p>
      <w:pPr>
        <w:pStyle w:val="Normal"/>
        <w:numPr>
          <w:ilvl w:val="0"/>
          <w:numId w:val="0"/>
        </w:numPr>
        <w:outlineLvl w:val="0"/>
        <w:rPr>
          <w:b/>
          <w:lang w:eastAsia="en-US"/>
        </w:rPr>
      </w:pPr>
      <w:r>
        <w:rPr>
          <w:b/>
          <w:lang w:eastAsia="en-US"/>
        </w:rPr>
        <w:t>Consider the Costs and Benefits of Various Promising</w:t>
        <w:tab/>
        <w:t>)</w:t>
        <w:tab/>
        <w:t>I.99-03-007</w:t>
      </w:r>
    </w:p>
    <w:p>
      <w:pPr>
        <w:pStyle w:val="Normal"/>
        <w:numPr>
          <w:ilvl w:val="0"/>
          <w:numId w:val="0"/>
        </w:numPr>
        <w:outlineLvl w:val="0"/>
        <w:rPr>
          <w:b/>
          <w:lang w:eastAsia="en-US"/>
        </w:rPr>
      </w:pPr>
      <w:r>
        <w:rPr>
          <w:b/>
          <w:lang w:eastAsia="en-US"/>
        </w:rPr>
        <w:t>Revisions to the Regulatory and Market Structure</w:t>
        <w:tab/>
        <w:t>)</w:t>
      </w:r>
    </w:p>
    <w:p>
      <w:pPr>
        <w:pStyle w:val="Normal"/>
        <w:numPr>
          <w:ilvl w:val="0"/>
          <w:numId w:val="0"/>
        </w:numPr>
        <w:outlineLvl w:val="0"/>
        <w:rPr>
          <w:b/>
          <w:lang w:eastAsia="en-US"/>
        </w:rPr>
      </w:pPr>
      <w:r>
        <w:rPr>
          <w:b/>
          <w:lang w:eastAsia="en-US"/>
        </w:rPr>
        <w:t xml:space="preserve">Governing California’s Natural Gas Industry and to </w:t>
        <w:tab/>
        <w:t>)</w:t>
      </w:r>
    </w:p>
    <w:p>
      <w:pPr>
        <w:pStyle w:val="Normal"/>
        <w:numPr>
          <w:ilvl w:val="0"/>
          <w:numId w:val="0"/>
        </w:numPr>
        <w:outlineLvl w:val="0"/>
        <w:rPr>
          <w:b/>
          <w:lang w:eastAsia="en-US"/>
        </w:rPr>
      </w:pPr>
      <w:r>
        <w:rPr>
          <w:b/>
          <w:lang w:eastAsia="en-US"/>
        </w:rPr>
        <w:t xml:space="preserve">Report to the California Legislature on the </w:t>
        <w:tab/>
        <w:tab/>
        <w:t>)</w:t>
      </w:r>
    </w:p>
    <w:p>
      <w:pPr>
        <w:pStyle w:val="Normal"/>
        <w:numPr>
          <w:ilvl w:val="0"/>
          <w:numId w:val="0"/>
        </w:numPr>
        <w:outlineLvl w:val="0"/>
        <w:rPr>
          <w:b/>
          <w:lang w:eastAsia="en-US"/>
        </w:rPr>
      </w:pPr>
      <w:r>
        <w:rPr>
          <w:b/>
          <w:lang w:eastAsia="en-US"/>
        </w:rPr>
        <w:t>Commission’s Findings</w:t>
        <w:tab/>
        <w:tab/>
        <w:tab/>
        <w:tab/>
        <w:tab/>
        <w:t>)</w:t>
      </w:r>
    </w:p>
    <w:p>
      <w:pPr>
        <w:pStyle w:val="Normal"/>
        <w:numPr>
          <w:ilvl w:val="0"/>
          <w:numId w:val="0"/>
        </w:numPr>
        <w:outlineLvl w:val="0"/>
        <w:rPr>
          <w:b/>
          <w:lang w:eastAsia="en-US"/>
        </w:rPr>
      </w:pPr>
      <w:r>
        <w:rPr>
          <w:b/>
          <w:lang w:eastAsia="en-US"/>
        </w:rPr>
        <w:t>________________________________________________)</w:t>
      </w:r>
    </w:p>
    <w:p>
      <w:pPr>
        <w:pStyle w:val="Normal"/>
        <w:numPr>
          <w:ilvl w:val="0"/>
          <w:numId w:val="0"/>
        </w:numP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t>Prepared Direct Testimony of Paul Amirault</w:t>
      </w:r>
    </w:p>
    <w:p>
      <w:pPr>
        <w:pStyle w:val="Normal"/>
        <w:numPr>
          <w:ilvl w:val="0"/>
          <w:numId w:val="0"/>
        </w:numPr>
        <w:jc w:val="center"/>
        <w:outlineLvl w:val="0"/>
        <w:rPr>
          <w:b/>
          <w:lang w:eastAsia="en-US"/>
        </w:rPr>
      </w:pPr>
      <w:r>
        <w:rPr>
          <w:b/>
          <w:lang w:eastAsia="en-US"/>
        </w:rPr>
        <w:t>on Behalf of Wild Goose Storage Inc.</w:t>
      </w:r>
    </w:p>
    <w:p>
      <w:pPr>
        <w:pStyle w:val="Normal"/>
        <w:numPr>
          <w:ilvl w:val="0"/>
          <w:numId w:val="0"/>
        </w:numPr>
        <w:jc w:val="center"/>
        <w:outlineLvl w:val="0"/>
        <w:rPr>
          <w:b/>
          <w:lang w:eastAsia="en-US"/>
        </w:rPr>
      </w:pPr>
      <w:r>
        <w:rPr>
          <w:b/>
          <w:lang w:eastAsia="en-US"/>
        </w:rPr>
        <w:t>in Support of the Comprehensive Settlement Agreement</w:t>
      </w:r>
    </w:p>
    <w:p>
      <w:pPr>
        <w:pStyle w:val="Normal"/>
        <w:jc w:val="center"/>
        <w:rPr>
          <w:b/>
          <w:lang w:eastAsia="en-US"/>
        </w:rPr>
      </w:pPr>
      <w:r>
        <w:rPr>
          <w:b/>
          <w:lang w:eastAsia="en-US"/>
        </w:rPr>
      </w:r>
    </w:p>
    <w:p>
      <w:pPr>
        <w:pStyle w:val="Normal"/>
        <w:numPr>
          <w:ilvl w:val="0"/>
          <w:numId w:val="0"/>
        </w:numPr>
        <w:spacing w:lineRule="auto" w:line="360"/>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t>May 5, 2000</w:t>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p>
    <w:p>
      <w:pPr>
        <w:pStyle w:val="Normal"/>
        <w:numPr>
          <w:ilvl w:val="0"/>
          <w:numId w:val="0"/>
        </w:numPr>
        <w:jc w:val="center"/>
        <w:outlineLvl w:val="0"/>
        <w:rPr>
          <w:b/>
          <w:lang w:eastAsia="en-US"/>
        </w:rPr>
      </w:pPr>
      <w:r>
        <w:rPr>
          <w:b/>
          <w:lang w:eastAsia="en-US"/>
        </w:rPr>
      </w:r>
      <w:r>
        <w:br w:type="page"/>
      </w:r>
    </w:p>
    <w:p>
      <w:pPr>
        <w:pStyle w:val="Normal"/>
        <w:numPr>
          <w:ilvl w:val="0"/>
          <w:numId w:val="0"/>
        </w:numPr>
        <w:jc w:val="center"/>
        <w:outlineLvl w:val="0"/>
        <w:rPr>
          <w:b/>
          <w:lang w:eastAsia="en-US"/>
        </w:rPr>
      </w:pPr>
      <w:r>
        <w:rPr>
          <w:b/>
          <w:lang w:eastAsia="en-US"/>
        </w:rPr>
        <w:t xml:space="preserve"> </w:t>
      </w:r>
      <w:r>
        <w:rPr>
          <w:b/>
          <w:lang w:eastAsia="en-US"/>
        </w:rPr>
        <w:t>Prepared Direct Testimony of Paul Amirault</w:t>
      </w:r>
    </w:p>
    <w:p>
      <w:pPr>
        <w:pStyle w:val="Normal"/>
        <w:numPr>
          <w:ilvl w:val="0"/>
          <w:numId w:val="0"/>
        </w:numPr>
        <w:jc w:val="center"/>
        <w:outlineLvl w:val="0"/>
        <w:rPr>
          <w:b/>
          <w:lang w:eastAsia="en-US"/>
        </w:rPr>
      </w:pPr>
      <w:r>
        <w:rPr>
          <w:b/>
          <w:lang w:eastAsia="en-US"/>
        </w:rPr>
        <w:t>on Behalf of Wild Goose Storage Inc.</w:t>
      </w:r>
    </w:p>
    <w:p>
      <w:pPr>
        <w:pStyle w:val="Normal"/>
        <w:numPr>
          <w:ilvl w:val="0"/>
          <w:numId w:val="0"/>
        </w:numPr>
        <w:jc w:val="center"/>
        <w:outlineLvl w:val="0"/>
        <w:rPr>
          <w:b/>
          <w:lang w:eastAsia="en-US"/>
        </w:rPr>
      </w:pPr>
      <w:r>
        <w:rPr>
          <w:b/>
          <w:lang w:eastAsia="en-US"/>
        </w:rPr>
        <w:t>in Support of the Comprehensive Settlement Agreement</w:t>
      </w:r>
    </w:p>
    <w:p>
      <w:pPr>
        <w:pStyle w:val="Normal"/>
        <w:jc w:val="center"/>
        <w:rPr>
          <w:b/>
          <w:lang w:eastAsia="en-US"/>
        </w:rPr>
      </w:pPr>
      <w:r>
        <w:rPr>
          <w:b/>
          <w:lang w:eastAsia="en-US"/>
        </w:rPr>
      </w:r>
    </w:p>
    <w:p>
      <w:pPr>
        <w:pStyle w:val="Normal"/>
        <w:numPr>
          <w:ilvl w:val="0"/>
          <w:numId w:val="0"/>
        </w:numPr>
        <w:spacing w:lineRule="auto" w:line="360"/>
        <w:jc w:val="center"/>
        <w:outlineLvl w:val="0"/>
        <w:rPr>
          <w:b/>
          <w:lang w:eastAsia="en-US"/>
        </w:rPr>
      </w:pPr>
      <w:r>
        <w:rPr>
          <w:b/>
          <w:lang w:eastAsia="en-US"/>
        </w:rPr>
        <w:t>I.99-07-003</w:t>
      </w:r>
    </w:p>
    <w:p>
      <w:pPr>
        <w:pStyle w:val="Normal"/>
        <w:rPr>
          <w:b/>
          <w:lang w:eastAsia="en-US"/>
        </w:rPr>
      </w:pPr>
      <w:r>
        <w:rPr>
          <w:b/>
          <w:lang w:eastAsia="en-US"/>
        </w:rPr>
      </w:r>
    </w:p>
    <w:p>
      <w:pPr>
        <w:pStyle w:val="Normal"/>
        <w:rPr>
          <w:b/>
          <w:lang w:eastAsia="en-US"/>
        </w:rPr>
      </w:pPr>
      <w:r>
        <w:rPr>
          <w:b/>
          <w:lang w:eastAsia="en-US"/>
        </w:rPr>
      </w:r>
    </w:p>
    <w:p>
      <w:pPr>
        <w:pStyle w:val="Normal"/>
        <w:numPr>
          <w:ilvl w:val="0"/>
          <w:numId w:val="0"/>
        </w:numPr>
        <w:spacing w:lineRule="auto" w:line="360"/>
        <w:outlineLvl w:val="0"/>
        <w:rPr>
          <w:lang w:eastAsia="en-US"/>
        </w:rPr>
      </w:pPr>
      <w:r>
        <w:rPr>
          <w:b/>
          <w:lang w:eastAsia="en-US"/>
        </w:rPr>
        <w:t>Introduction and Qualifications</w:t>
      </w:r>
    </w:p>
    <w:p>
      <w:pPr>
        <w:pStyle w:val="Normal"/>
        <w:spacing w:lineRule="auto" w:line="360"/>
        <w:rPr>
          <w:lang w:eastAsia="en-US"/>
        </w:rPr>
      </w:pPr>
      <w:r>
        <w:rPr>
          <w:lang w:eastAsia="en-US"/>
        </w:rPr>
        <w:tab/>
        <w:t xml:space="preserve">My current position is Vice-President, Marketing for Wild Goose Storage Inc., a wholly owned subsidiary of Alberta Energy Company (AEC), where I am responsible for direction and strategy related to marketing the capacity and services of the Wild Goose Storage project in Butte County, California to customers.  I have been employed by AEC since October 1994, and have held positions as the Marketing Advisor in the Marketing Department,  and as Manager, Business Development, Manager, AECO Marketing, and Manager, Marketing in the Storage &amp; Hub Services Business Unit of AEC.  I have had the following previous experience in the natural gas industry in the seven years prior to my employment at AEC:  Project Manager-New Gas Acquisition, Western Gas Marketing Limited; Manager, Market Development, Alberta and Southern Gas Co., Ltd.; and various positions in supply, operations, planning and co-ordination at Esso Resources Canada Limited.   Prior to these positions, I was employed for eight years in the pipeline business with Imperial Oil, with responsibilities in engineering, operations, and business development.  I hold a Bachelor of Engineering and Management Degree from McMaster University, Hamilton, Ontario, Canada (1979) and I am a Registered Professional Engineer in the Province of Alberta, Canada. </w:t>
      </w:r>
    </w:p>
    <w:p>
      <w:pPr>
        <w:pStyle w:val="Normal"/>
        <w:spacing w:lineRule="auto" w:line="360"/>
        <w:rPr>
          <w:lang w:eastAsia="en-US"/>
        </w:rPr>
      </w:pPr>
      <w:r>
        <w:rPr>
          <w:lang w:eastAsia="en-US"/>
        </w:rPr>
      </w:r>
    </w:p>
    <w:p>
      <w:pPr>
        <w:pStyle w:val="Normal"/>
        <w:spacing w:lineRule="auto" w:line="360"/>
        <w:rPr>
          <w:b/>
          <w:lang w:eastAsia="en-US"/>
        </w:rPr>
      </w:pPr>
      <w:r>
        <w:rPr>
          <w:b/>
          <w:lang w:eastAsia="en-US"/>
        </w:rPr>
        <w:t>The Implementation of the Full Range of Promising Options Relating to Storage and Balancing by the Comprehensive Settlement Is Highly Beneficial</w:t>
      </w:r>
    </w:p>
    <w:p>
      <w:pPr>
        <w:pStyle w:val="Normal"/>
        <w:spacing w:lineRule="auto" w:line="360"/>
        <w:rPr/>
      </w:pPr>
      <w:r>
        <w:rPr>
          <w:b/>
          <w:lang w:eastAsia="en-US"/>
        </w:rPr>
        <w:tab/>
      </w:r>
      <w:r>
        <w:rPr>
          <w:lang w:eastAsia="en-US"/>
        </w:rPr>
        <w:t xml:space="preserve">The Comprehensive Gas OII Settlement Agreement for Southern California Gas Company and San Diego Gas &amp; Electric Company filed on April 17, 2000 (hereinafter “the Comprehensive Settlement”) provides for the implementation of each of the Promising Options identified by the Commission in D.99-07-015 (Appendix C) for the categories of storage and balancing.  These Promising Options are: 1) the creation of firm, tradable storage rights, 2) the establishment of a secondary market for intrastate storage capacity, 3) placing the utility at risk for unused storage resources, 4) examination of structural means for SoCalGas to provide balancing services without drawing on core assets, 5) cost and rate separation for balancing services, 6) electronic trading of imbalances, and 6) implementation of targeted operational flow orders.  WGSI supports the Comprehensive Settlement because it provides the mechanism to implement these important reforms in a manner acceptable to a broad array of interests in the California gas market, including all types of customers, the utility, competitive storage providers, gas marketers, gas producers, and interstate pipelines.  </w:t>
      </w:r>
    </w:p>
    <w:p>
      <w:pPr>
        <w:pStyle w:val="Normal"/>
        <w:spacing w:lineRule="auto" w:line="360"/>
        <w:rPr/>
      </w:pPr>
      <w:r>
        <w:rPr>
          <w:lang w:eastAsia="en-US"/>
        </w:rPr>
        <w:tab/>
        <w:t xml:space="preserve">WGSI is the first independent gas storage operator to be certificated as a public utility in California since the adoption of the Commission’s Gas Storage Policy Decision in 1993 (D.93-02-013).  </w:t>
      </w:r>
      <w:r>
        <w:rPr>
          <w:b/>
          <w:lang w:eastAsia="en-US"/>
        </w:rPr>
        <w:t xml:space="preserve"> </w:t>
      </w:r>
      <w:r>
        <w:rPr>
          <w:lang w:eastAsia="en-US"/>
        </w:rPr>
        <w:t xml:space="preserve">In this capacity, WGSI is completely at risk for its investment in its natural gas storage facility in Butte County, California, and has no opportunity to recover its costs from captive ratepayers or distribution customers, as it has no customers of either description.  The implementation of Promising Options which create unbundled storage and balancing service options on the SoCalGas system, and which transition SoCalGas to the point where it is 100% at risk for uncontracted storage capacity represents a tremendous leveling of the playing field for new independent storage competitors such as WGSI.  In addition, WGSI’s ability to successfully serve customers in the California market is fundamentally dependent on whether its </w:t>
      </w:r>
      <w:r>
        <w:rPr>
          <w:u w:val="single"/>
          <w:lang w:eastAsia="en-US"/>
        </w:rPr>
        <w:t>customers</w:t>
      </w:r>
      <w:r>
        <w:rPr>
          <w:lang w:eastAsia="en-US"/>
        </w:rPr>
        <w:t xml:space="preserve"> find benefit and value in the new storage and balancing options available under the Promising Options implemented by the Comprehensive Settlement.  If these customers see no significant value in unbundled storage services, or if the financial obligations imposed on them by bundled services make it infeasible to purchase competitive storage from another provider, they will not be inclined to contract for WGSI’s services, no matter how vigorously WGSI attempts to compete.  For that reason, this testimony concentrates on the impact of the Comprehensive Settlement on customers of storage and balancing service .</w:t>
      </w:r>
    </w:p>
    <w:p>
      <w:pPr>
        <w:pStyle w:val="Normal"/>
        <w:spacing w:lineRule="auto" w:line="360"/>
        <w:ind w:firstLine="720" w:end="0"/>
        <w:rPr>
          <w:lang w:eastAsia="en-US"/>
        </w:rPr>
      </w:pPr>
      <w:r>
        <w:rPr>
          <w:lang w:eastAsia="en-US"/>
        </w:rPr>
        <w:t xml:space="preserve">Implementation of any one of the storage and balancing Promising Options individually is not as beneficial to customers and market participants as the coordinated implementation of the entire range of Promising Options.  This is because the unbundling of storage and balancing, especially when combined with unbundled transmission, allows customers far greater flexibility in customizing the type and quantity of services they purchase from the utility or other competitors.  </w:t>
      </w:r>
    </w:p>
    <w:p>
      <w:pPr>
        <w:pStyle w:val="Normal"/>
        <w:spacing w:lineRule="auto" w:line="360"/>
        <w:ind w:firstLine="720" w:end="0"/>
        <w:rPr>
          <w:lang w:eastAsia="en-US"/>
        </w:rPr>
      </w:pPr>
      <w:r>
        <w:rPr>
          <w:lang w:eastAsia="en-US"/>
        </w:rPr>
        <w:t>A customer which uses natural gas in sufficient quantities to ship its own gas or employ the services of a marketer to do so will attempt to optimize its gas supply arrangements to achieve the lowest possible cost while obtaining an adequate degree of reliability of supply and the necessary amount of flexibility in modifying supply arrangements.    These criteria may result in a different optimal solution for any given customer.  The unbundling of storage and balancing, when combined with the unbundling of the gas commodity (already implemented for both core and noncore customers) and unbundled transmission services (already unbundled for noncore interstate transmission, and the remainder of intrastate and interstate transmission services for both core and noncore are unbundled by the Comprehensive Settlement), provide customers with ability to individually contract for the full array of gas supply services from either the utility or competitive suppliers.  If only two or three of these essential elements of natural gas service were fully unbundled, customers would not be able to customize a complete package of gas services to meet their requirements and would by default have to rely on bundled services for a portion of their gas service requirements.  This rigid, “one size fits all” regulatory structure can impose unwanted, duplicative, and costly services on SoCalGas customers.  For example, a customer with a high load factor demand profile may only need a peaking storage contract and not everyday bundled balancing services.  While some customers prefer a bundled balancing service due to their own low load factor, the high load factor customer cannot exercise market choice under the existing regulatory framework to avoid the unnecessary cost of bundling services it cannot use.  Bundled services are by their very nature less flexible from the customers’ perspective.</w:t>
      </w:r>
    </w:p>
    <w:p>
      <w:pPr>
        <w:pStyle w:val="Normal"/>
        <w:spacing w:lineRule="auto" w:line="360"/>
        <w:ind w:firstLine="720" w:end="0"/>
        <w:rPr>
          <w:lang w:eastAsia="en-US"/>
        </w:rPr>
      </w:pPr>
      <w:r>
        <w:rPr>
          <w:lang w:eastAsia="en-US"/>
        </w:rPr>
        <w:t xml:space="preserve">Each of the Promising Options related to storage and balancing contribute to the goal of a comprehensively unbundled system.  The creation of firm, tradable storage rights allows customers more flexibility to acquire or dispose of capacity when their needs change, greatly increasing flexibility and stimulating a competitive market for storage rights.  The establishment of a secondary market for intrastate storage capacity is a necessary complement to the creation of firm rights, so that customers have a source for storage services other than the utility.  In addition, market pricing of capacity may lead to significantly reduced capacity costs for customers where there is an excess of storage capacity.   By placing the utility at risk for unused storage resources, the Commission can provide a significant financial incentive for the utility to divest or otherwise dispose of excess storage assets, which are currently paid for by all customers, even though they receive little or no benefit from such assets.  </w:t>
      </w:r>
    </w:p>
    <w:p>
      <w:pPr>
        <w:pStyle w:val="Normal"/>
        <w:spacing w:lineRule="auto" w:line="360"/>
        <w:ind w:firstLine="720" w:end="0"/>
        <w:rPr>
          <w:lang w:eastAsia="en-US"/>
        </w:rPr>
      </w:pPr>
      <w:r>
        <w:rPr>
          <w:lang w:eastAsia="en-US"/>
        </w:rPr>
        <w:t xml:space="preserve">The Comprehensive Settlement also provides for separate core and noncore balancing, thereby implementing a structural separation between the two functions so that SoCalGas can provide balancing services to the noncore without drawing on core assets.   This reduces cross subsidization between classes.  The separation of costs and rates for balancing services, the essential step in unbundling, allows customers to pay for utility balancing services which are priced on an embedded cost basis, and to receive an embedded cost credit against such costs when they decline bundled utility balancing services and provide for their own balancing requirements.  The creation of a customer-friendly system for the electronic trading of imbalances greatly facilitates the creation of a liquid market in imbalance positions.   This, in turn, will provide customers with a greater opportunity to obtain maximum value from their gas supply arrangements if they possess balance positions with a positive value, or to reduce or avoid imbalance penalties through trading if they have an imbalance position which would otherwise be out of balance.  </w:t>
      </w:r>
    </w:p>
    <w:p>
      <w:pPr>
        <w:pStyle w:val="Normal"/>
        <w:spacing w:lineRule="auto" w:line="360"/>
        <w:ind w:firstLine="720" w:end="0"/>
        <w:rPr>
          <w:lang w:eastAsia="en-US"/>
        </w:rPr>
      </w:pPr>
      <w:r>
        <w:rPr>
          <w:lang w:eastAsia="en-US"/>
        </w:rPr>
        <w:t>Finally, the adoption of a system to control utility gas operations using targeted operational flow orders reduces the impact on customers who are in balance when particular customers can be  identified as the source of the imbalance.   By eliminating the uncertainties of the windowing process and substituting the use of OFOs to control operational problems,, the vast majority of SoCalGas shippers enjoy a simplified and more stable gas control environment.  The procedures proposed in the Comprehensive Settlement, which are similar to those now being pursued on the PG&amp;E system, combined with the allocation procedures for firm intrastate transmission rights, will allow customers greater certainty in scheduling gas supply and increased capability to avoid imbalance problems if they carefully track their demand and gas supply.  A greater degree of statewide consistency enables customers and their service providers to deal with similar procedures and options throughout the state and reduces inefficiency and economic disparities in gas supply arrangements caused by dissimilar regulatory arrangements.  This reduces costs for customers and increases efficiency.</w:t>
      </w:r>
    </w:p>
    <w:p>
      <w:pPr>
        <w:pStyle w:val="Normal"/>
        <w:spacing w:lineRule="auto" w:line="360"/>
        <w:ind w:firstLine="720" w:end="0"/>
        <w:rPr>
          <w:lang w:eastAsia="en-US"/>
        </w:rPr>
      </w:pPr>
      <w:r>
        <w:rPr>
          <w:lang w:eastAsia="en-US"/>
        </w:rPr>
        <w:t xml:space="preserve">Because it holds the promise of benefits for customers, the unbundling of the full array of gas services also provides a greater opportunity for competitive providers of storage or balancing, thereby enabling such competitors to enter the marketplace, earn market share, and by their presence provide a strong incentive for the utility to reduce the cost of storage and balancing services to its customers. </w:t>
      </w:r>
    </w:p>
    <w:p>
      <w:pPr>
        <w:pStyle w:val="Normal"/>
        <w:numPr>
          <w:ilvl w:val="0"/>
          <w:numId w:val="0"/>
        </w:numPr>
        <w:spacing w:lineRule="auto" w:line="360"/>
        <w:outlineLvl w:val="0"/>
        <w:rPr>
          <w:b/>
          <w:lang w:eastAsia="en-US"/>
        </w:rPr>
      </w:pPr>
      <w:r>
        <w:rPr>
          <w:b/>
          <w:lang w:eastAsia="en-US"/>
        </w:rPr>
        <w:t>The Comprehensive Settlement Is In the Public Interest</w:t>
      </w:r>
    </w:p>
    <w:p>
      <w:pPr>
        <w:pStyle w:val="Normal"/>
        <w:spacing w:lineRule="auto" w:line="360"/>
        <w:ind w:firstLine="720" w:end="0"/>
        <w:rPr>
          <w:lang w:eastAsia="en-US"/>
        </w:rPr>
      </w:pPr>
      <w:r>
        <w:rPr>
          <w:lang w:eastAsia="en-US"/>
        </w:rPr>
        <w:t>WGSI firmly supports the basic concept behind the storage and balancing Promising Options identified by the Commission and underlying the Comprehensive Settlement -- the unbundling of utility storage and balancing services.   This unbundling is beneficial because:</w:t>
      </w:r>
    </w:p>
    <w:p>
      <w:pPr>
        <w:pStyle w:val="Normal"/>
        <w:spacing w:lineRule="auto" w:line="360"/>
        <w:ind w:hanging="720" w:start="720" w:end="0"/>
        <w:rPr>
          <w:lang w:eastAsia="en-US"/>
        </w:rPr>
      </w:pPr>
      <w:r>
        <w:rPr>
          <w:lang w:eastAsia="en-US"/>
        </w:rPr>
        <w:t>*</w:t>
        <w:tab/>
        <w:t>it enhances customer choice, allowing customers the ability to purchase only those services which they require, thereby reducing their costs;</w:t>
      </w:r>
    </w:p>
    <w:p>
      <w:pPr>
        <w:pStyle w:val="Normal"/>
        <w:spacing w:lineRule="auto" w:line="360"/>
        <w:ind w:hanging="720" w:start="720" w:end="0"/>
        <w:rPr>
          <w:lang w:eastAsia="en-US"/>
        </w:rPr>
      </w:pPr>
      <w:r>
        <w:rPr>
          <w:lang w:eastAsia="en-US"/>
        </w:rPr>
        <w:t>*</w:t>
        <w:tab/>
        <w:t>it enables potential competitors of the utility to offer storage and balancing services, and this competition ultimately acts as a strong incentive to keep storage and balancing costs lower for all customers;</w:t>
      </w:r>
    </w:p>
    <w:p>
      <w:pPr>
        <w:pStyle w:val="Normal"/>
        <w:spacing w:lineRule="auto" w:line="360"/>
        <w:ind w:hanging="720" w:start="720" w:end="0"/>
        <w:rPr>
          <w:lang w:eastAsia="en-US"/>
        </w:rPr>
      </w:pPr>
      <w:r>
        <w:rPr>
          <w:lang w:eastAsia="en-US"/>
        </w:rPr>
        <w:t>*</w:t>
        <w:tab/>
        <w:t>it reduces or eliminates the cross-subsidization of low-load factor customers by high-load factor customers.</w:t>
      </w:r>
    </w:p>
    <w:p>
      <w:pPr>
        <w:pStyle w:val="Normal"/>
        <w:spacing w:lineRule="auto" w:line="360"/>
        <w:rPr>
          <w:lang w:eastAsia="en-US"/>
        </w:rPr>
      </w:pPr>
      <w:r>
        <w:rPr>
          <w:lang w:eastAsia="en-US"/>
        </w:rPr>
        <w:tab/>
        <w:t xml:space="preserve">Another key element of the Comprehensive Settlement is that it sets storage and balancing rates using embedded cost concepts instead of marginal cost concepts.  Pricing those storage and balancing services based at their embedded cost helps foster a competitive environment, as potential competitors have a predictable cost base to try to compete against, rather than one that is subject to great variation and which can be unpredictably skewed by other ratemaking considerations.  </w:t>
      </w:r>
    </w:p>
    <w:p>
      <w:pPr>
        <w:pStyle w:val="Normal"/>
        <w:spacing w:lineRule="auto" w:line="360"/>
        <w:rPr>
          <w:lang w:eastAsia="en-US"/>
        </w:rPr>
      </w:pPr>
      <w:r>
        <w:rPr>
          <w:lang w:eastAsia="en-US"/>
        </w:rPr>
        <w:tab/>
        <w:t>Putting the shareholder fully at risk for unbundled storage assets places a real and effective business incentive on the utility and its shareholders to refrain from any selective discounting to a small group of market participants so as to inhibit storage competition.  Other ratepayers will be assured that any attempt to subsidize a few storage customers would be financially counterproductive, and therefore, unlikely.  Being at risk will incent the utility shareholders to either obtain better values for their storage assets in the marketplace, or if they believe that they can not achieve satisfactory value, to rationalize their assets.  SoCalGas has held more storage than was needed by the core for many years now.   In addition, while SoCalGas was able to market most of its storage, this was possible only with substantial discounting, and the revenue shortfall related to the discounting was passed onto transmission customers.   WGSI does not believe that this system provided the utility with the appropriate financial incentives to manage its storage assets.</w:t>
      </w:r>
    </w:p>
    <w:p>
      <w:pPr>
        <w:pStyle w:val="Normal"/>
        <w:spacing w:lineRule="auto" w:line="360"/>
        <w:rPr>
          <w:lang w:eastAsia="en-US"/>
        </w:rPr>
      </w:pPr>
      <w:r>
        <w:rPr>
          <w:lang w:eastAsia="en-US"/>
        </w:rPr>
        <w:tab/>
        <w:t xml:space="preserve">Customers who have been benefiting from bundled and subsidized storage and balancing services may express concern with a regulatory structure which places the utility’s shareholders at risk for discounted storage.  Those low load factor customers who consciously want to obtain storage for security, price arbitrage, seasonal balancing or optimizing transportation arrangements should pay fair value for these services.  Where the utility shareholder is not at risk for discounts and there is an excess of storage capacity, the price will fall and not all storage will be sold at full cost.  This results in ratepayers who do not use the excess storage paying for it in the form of stranded costs.  There is no financial incentive to rationalize the amount of storage assets held by the utility.  The silent majority of ratepayers who have not been able to take advantage of these discounts in the past may not have noticed the subsidy they were providing (because it is so widely distributed) and may notice little if any change if the Comprehensive Settlement is implemented.  However, that doesn't mean the cross-subsidization should continue.  </w:t>
      </w:r>
    </w:p>
    <w:p>
      <w:pPr>
        <w:pStyle w:val="Normal"/>
        <w:spacing w:lineRule="auto" w:line="360"/>
        <w:ind w:firstLine="720" w:end="0"/>
        <w:rPr/>
      </w:pPr>
      <w:r>
        <w:rPr>
          <w:lang w:eastAsia="en-US"/>
        </w:rPr>
        <w:t>The Comprehensive Settlement rebalances customer and shareholder incentives and creates more of a “user-pays” environment. Even so, the low load-factor consumers should not fear a substantial increase in storage costs.  SoCalGas’ storage system is still a tremendous bargain in today’s market, by virtue of the fact that it is highly depreciated, and have a significant cost advantage over other potential competitors.  Even when priced at full embedded cost, SoCalGas storage is by far the lowest cost storage in California.  The storage services available to customers in the open season allocation process will bear an inventory cost of $0.67 per Dth under the terms of the Comprehensive Settlement, reflecting a configuration of inventory capacity, injection and withdrawal rights specified in the Settlement and proportional to SoCalGas’ total storage.  Even the when the Comprehensive Settlement applies the most severe restrictions on SoCalGas’ pricing flexibility for storage (a price floor of 50% of embedded cost during year 1 of storage unbundling implementation), that would permit SoCalGas to charge as little as 33.5 cents per Dth for storage inventory capacity.   This is compared to PG&amp;E’s cost of unbundled storage inventory of $1.10/Dth.</w:t>
      </w:r>
      <w:r>
        <w:rPr>
          <w:rStyle w:val="FootnoteCharacters"/>
          <w:rStyle w:val="FootnoteReference"/>
          <w:lang w:eastAsia="en-US"/>
        </w:rPr>
        <w:footnoteReference w:id="2"/>
      </w:r>
      <w:r>
        <w:rPr>
          <w:lang w:eastAsia="en-US"/>
        </w:rPr>
        <w:t xml:space="preserve">  Low-load factor customers should have ready access to reasonably priced storage in southern California.</w:t>
      </w:r>
    </w:p>
    <w:p>
      <w:pPr>
        <w:pStyle w:val="Normal"/>
        <w:spacing w:lineRule="auto" w:line="360"/>
        <w:ind w:firstLine="720" w:end="0"/>
        <w:rPr>
          <w:lang w:eastAsia="en-US"/>
        </w:rPr>
      </w:pPr>
      <w:r>
        <w:rPr>
          <w:lang w:eastAsia="en-US"/>
        </w:rPr>
        <w:t xml:space="preserve">For this same reason (the fact that this is relatively low cost storage), the risk burden on the shareholder is not onerous.  Certainly no one will be able to build new storage for less.  However, if SoCalGas’ shareholders don't like the degree of risk from holding all of the current storage assets,  or decide that it is not the business they want to be in, SoCalGas always has the option of divesting storage or taking assets out of service (in fact, the value of the cushion gas at current prices may justify taking assets out of service). </w:t>
      </w:r>
    </w:p>
    <w:p>
      <w:pPr>
        <w:pStyle w:val="Normal"/>
        <w:spacing w:lineRule="auto" w:line="360"/>
        <w:rPr/>
      </w:pPr>
      <w:r>
        <w:rPr>
          <w:b/>
          <w:lang w:eastAsia="en-US"/>
        </w:rPr>
        <w:tab/>
      </w:r>
      <w:r>
        <w:rPr>
          <w:lang w:eastAsia="en-US"/>
        </w:rPr>
        <w:t>As indicated above, the Comprehensive Settlement also includes provisions to impose restrictions on SoCalGas’ pricing flexibility in the first two years of the storage unbundling implementation.  During the first year a floor price of 50% of embedded cost must be observed, and 25% of embedded cost in the second year, with an end to price floors in year three.  This compromise proposal will have the effect of providing some degree of protection to independent storage operators from potential predatory pricing by SoCalGas during the implementation of storage unbundling.  While parties may well disagree as to the likelihood of such pricing strategies, or the extent of competition in the storage market, the independent storage operators believe that allowing a utility the unlimited ability to discount service from low cost, highly depreciated storage facilities is a substantial risk for new entrants in the storage market, and one worthy of mitigation by provisions such as those adopted in the Comprehensive Settlement.</w:t>
      </w:r>
    </w:p>
    <w:p>
      <w:pPr>
        <w:pStyle w:val="BodyText"/>
        <w:numPr>
          <w:ilvl w:val="0"/>
          <w:numId w:val="0"/>
        </w:numPr>
        <w:spacing w:lineRule="auto" w:line="360"/>
        <w:ind w:start="0" w:hanging="0" w:end="0"/>
        <w:outlineLvl w:val="0"/>
        <w:rPr>
          <w:b/>
          <w:lang w:eastAsia="en-US"/>
        </w:rPr>
      </w:pPr>
      <w:r>
        <w:rPr>
          <w:b/>
          <w:lang w:eastAsia="en-US"/>
        </w:rPr>
      </w:r>
    </w:p>
    <w:p>
      <w:pPr>
        <w:pStyle w:val="BodyText"/>
        <w:numPr>
          <w:ilvl w:val="0"/>
          <w:numId w:val="0"/>
        </w:numPr>
        <w:spacing w:lineRule="auto" w:line="360"/>
        <w:ind w:start="0" w:hanging="0" w:end="0"/>
        <w:outlineLvl w:val="0"/>
        <w:rPr>
          <w:b/>
        </w:rPr>
      </w:pPr>
      <w:r>
        <w:rPr>
          <w:b/>
        </w:rPr>
        <w:t>The Settlement Also Provides Benefits to Core Customers and Should Be Adopted</w:t>
      </w:r>
    </w:p>
    <w:p>
      <w:pPr>
        <w:pStyle w:val="Normal"/>
        <w:spacing w:lineRule="auto" w:line="360"/>
        <w:rPr/>
      </w:pPr>
      <w:r>
        <w:rPr/>
        <w:tab/>
        <w:t>An important objective, outlined in the Commission’s Promising Options decision, and indeed throughout these proceedings, is that core customers should</w:t>
      </w:r>
      <w:r>
        <w:rPr>
          <w:lang w:eastAsia="en-US"/>
        </w:rPr>
        <w:t xml:space="preserve"> clearly have the opportunity to benefit from the contemplated storage unbundling.  Under the Comprehensive Settlement , core customers and their agents will have new opportunities to select competitive storage and balancing services. To the extent these services can be obtained from competitive providers at a lower cost than the bundled service provided by SoCalGas, the core customer will see a reduction in gas supply costs.  </w:t>
      </w:r>
    </w:p>
    <w:p>
      <w:pPr>
        <w:pStyle w:val="Normal"/>
        <w:spacing w:lineRule="auto" w:line="360"/>
        <w:ind w:firstLine="720" w:end="0"/>
        <w:rPr>
          <w:lang w:eastAsia="en-US"/>
        </w:rPr>
      </w:pPr>
      <w:r>
        <w:rPr>
          <w:lang w:eastAsia="en-US"/>
        </w:rPr>
        <w:t>In addition, the fact that the core sector will no longer be responsible to balance the SoCalGas system is clear evidence of the dramatic shift between a regulatory structure emphasizing a customer’s obligation to the system and one in which the individual customer’s opportunities to manage gas supply more efficiently are cultivated and encouraged.  Under the Comprehensive Settlement, core customers will benefit from a reduced storage reservation, and can take advantage of the core aggregation program to contract for just their individual storage requirements without punitive restrictions or limitations.</w:t>
      </w:r>
    </w:p>
    <w:p>
      <w:pPr>
        <w:pStyle w:val="Normal"/>
        <w:spacing w:lineRule="auto" w:line="360"/>
        <w:ind w:firstLine="720" w:end="0"/>
        <w:rPr>
          <w:lang w:eastAsia="en-US"/>
        </w:rPr>
      </w:pPr>
      <w:r>
        <w:rPr>
          <w:lang w:eastAsia="en-US"/>
        </w:rPr>
        <w:t xml:space="preserve">In addition, as discussed in more detail in the testimony of Lad Lorenz of SoCalGas and John Burkholder of WHP, core customers will benefit significantly from the pricing of storage on an embedded cost basis.   </w:t>
      </w:r>
    </w:p>
    <w:p>
      <w:pPr>
        <w:pStyle w:val="Normal"/>
        <w:spacing w:lineRule="auto" w:line="360"/>
        <w:ind w:firstLine="720" w:end="0"/>
        <w:rPr>
          <w:lang w:eastAsia="en-US"/>
        </w:rPr>
      </w:pPr>
      <w:r>
        <w:rPr>
          <w:lang w:eastAsia="en-US"/>
        </w:rPr>
      </w:r>
    </w:p>
    <w:p>
      <w:pPr>
        <w:pStyle w:val="Normal"/>
        <w:spacing w:lineRule="auto" w:line="360"/>
        <w:ind w:firstLine="720" w:end="0"/>
        <w:rPr>
          <w:lang w:eastAsia="en-US"/>
        </w:rPr>
      </w:pPr>
      <w:r>
        <w:rPr>
          <w:b/>
          <w:lang w:eastAsia="en-US"/>
        </w:rPr>
        <w:t>Conclusion</w:t>
      </w:r>
    </w:p>
    <w:p>
      <w:pPr>
        <w:pStyle w:val="Normal"/>
        <w:spacing w:lineRule="auto" w:line="360"/>
        <w:rPr>
          <w:rFonts w:ascii="Verdana" w:hAnsi="Verdana" w:cs="Verdana"/>
          <w:lang w:eastAsia="en-US"/>
        </w:rPr>
      </w:pPr>
      <w:r>
        <w:rPr>
          <w:lang w:eastAsia="en-US"/>
        </w:rPr>
        <w:tab/>
        <w:t>For all of the above reasons, the Commission should approve the Comprehensive Settlement as being consistent with the public interest.</w:t>
      </w:r>
    </w:p>
    <w:p>
      <w:pPr>
        <w:pStyle w:val="BodyText"/>
        <w:numPr>
          <w:ilvl w:val="0"/>
          <w:numId w:val="0"/>
        </w:numPr>
        <w:spacing w:lineRule="auto" w:line="360"/>
        <w:ind w:start="0" w:hanging="0" w:end="0"/>
        <w:outlineLvl w:val="0"/>
        <w:rPr>
          <w:rFonts w:ascii="Verdana" w:hAnsi="Verdana" w:cs="Verdana"/>
          <w:lang w:eastAsia="en-US"/>
        </w:rPr>
      </w:pPr>
      <w:r>
        <w:rPr>
          <w:rFonts w:cs="Verdana" w:ascii="Verdana" w:hAnsi="Verdana"/>
          <w:lang w:eastAsia="en-US"/>
        </w:rPr>
      </w:r>
    </w:p>
    <w:p>
      <w:pPr>
        <w:pStyle w:val="BodyText"/>
        <w:numPr>
          <w:ilvl w:val="0"/>
          <w:numId w:val="0"/>
        </w:numPr>
        <w:spacing w:lineRule="auto" w:line="360"/>
        <w:ind w:start="0" w:hanging="0" w:end="0"/>
        <w:outlineLvl w:val="0"/>
        <w:rPr>
          <w:b/>
        </w:rPr>
      </w:pPr>
      <w:r>
        <w:rPr>
          <w:b/>
        </w:rPr>
      </w:r>
    </w:p>
    <w:p>
      <w:pPr>
        <w:pStyle w:val="BodyText"/>
        <w:numPr>
          <w:ilvl w:val="0"/>
          <w:numId w:val="0"/>
        </w:numPr>
        <w:spacing w:lineRule="auto" w:line="360"/>
        <w:ind w:start="0" w:hanging="0" w:end="0"/>
        <w:outlineLvl w:val="0"/>
        <w:rPr>
          <w:b/>
        </w:rPr>
      </w:pPr>
      <w:r>
        <w:rPr>
          <w:b/>
        </w:rPr>
      </w:r>
    </w:p>
    <w:p>
      <w:pPr>
        <w:pStyle w:val="Normal"/>
        <w:spacing w:lineRule="exact" w:line="200" w:before="240" w:after="0"/>
        <w:rPr/>
      </w:pPr>
      <w:r>
        <w:rPr>
          <w:rStyle w:val="zzmpTrailerItem"/>
        </w:rPr>
        <w:t>2715/016/X12282</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120"/>
        <w:rPr/>
      </w:pPr>
      <w:r>
        <w:rPr>
          <w:rStyle w:val="FootnoteCharacters"/>
        </w:rPr>
        <w:footnoteRef/>
      </w:r>
      <w:r>
        <w:rPr/>
        <w:t xml:space="preserve"> </w:t>
      </w:r>
      <w:r>
        <w:rPr/>
        <w:t>Another valuation of inventory on the PG&amp;E system can be found in the G-NFS tariff, which prices inventory capacity at $1.23/Dth.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DOC_ID" w:val="2715/016/X1228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2000-05-04T21:16:00Z</dcterms:created>
  <dc:creator>Michael B. Day</dc:creator>
  <dc:description/>
  <dc:language>en-CA</dc:language>
  <cp:lastModifiedBy>Michael B. Day</cp:lastModifiedBy>
  <cp:lastPrinted>2000-05-04T16:46:00Z</cp:lastPrinted>
  <dcterms:modified xsi:type="dcterms:W3CDTF">2000-05-04T21:16:00Z</dcterms:modified>
  <cp:revision>2</cp:revision>
  <dc:subject/>
  <dc:title>Wild Goose Storage Inc</dc:title>
</cp:coreProperties>
</file>