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lang w:eastAsia="en-US"/>
        </w:rPr>
      </w:pPr>
      <w:r>
        <w:rPr>
          <w:b/>
          <w:lang w:eastAsia="en-US"/>
        </w:rPr>
        <w:t>The Prepared Direct Testimony of Paul Amirault</w:t>
      </w:r>
    </w:p>
    <w:p>
      <w:pPr>
        <w:pStyle w:val="Normal"/>
        <w:numPr>
          <w:ilvl w:val="0"/>
          <w:numId w:val="0"/>
        </w:numPr>
        <w:jc w:val="center"/>
        <w:outlineLvl w:val="0"/>
        <w:rPr>
          <w:b/>
          <w:lang w:eastAsia="en-US"/>
        </w:rPr>
      </w:pPr>
      <w:r>
        <w:rPr>
          <w:b/>
          <w:lang w:eastAsia="en-US"/>
        </w:rPr>
        <w:t>on Behalf of Wild Goose Storage Inc.</w:t>
      </w:r>
    </w:p>
    <w:p>
      <w:pPr>
        <w:pStyle w:val="Normal"/>
        <w:numPr>
          <w:ilvl w:val="0"/>
          <w:numId w:val="0"/>
        </w:numPr>
        <w:jc w:val="center"/>
        <w:outlineLvl w:val="0"/>
        <w:rPr>
          <w:b/>
          <w:lang w:eastAsia="en-US"/>
        </w:rPr>
      </w:pPr>
      <w:r>
        <w:rPr>
          <w:b/>
          <w:lang w:eastAsia="en-US"/>
        </w:rPr>
        <w:t>in Support of the Comprehensive Settlement Agreement</w:t>
      </w:r>
    </w:p>
    <w:p>
      <w:pPr>
        <w:pStyle w:val="Normal"/>
        <w:jc w:val="center"/>
        <w:rPr>
          <w:b/>
          <w:lang w:eastAsia="en-US"/>
        </w:rPr>
      </w:pPr>
      <w:r>
        <w:rPr>
          <w:b/>
          <w:lang w:eastAsia="en-US"/>
        </w:rPr>
      </w:r>
    </w:p>
    <w:p>
      <w:pPr>
        <w:pStyle w:val="Normal"/>
        <w:numPr>
          <w:ilvl w:val="0"/>
          <w:numId w:val="0"/>
        </w:numPr>
        <w:spacing w:lineRule="auto" w:line="360"/>
        <w:jc w:val="center"/>
        <w:outlineLvl w:val="0"/>
        <w:rPr>
          <w:b/>
          <w:lang w:eastAsia="en-US"/>
        </w:rPr>
      </w:pPr>
      <w:r>
        <w:rPr>
          <w:b/>
          <w:lang w:eastAsia="en-US"/>
        </w:rPr>
        <w:t>I.99-07-003</w:t>
      </w:r>
    </w:p>
    <w:p>
      <w:pPr>
        <w:pStyle w:val="Normal"/>
        <w:rPr>
          <w:b/>
          <w:lang w:eastAsia="en-US"/>
        </w:rPr>
      </w:pPr>
      <w:r>
        <w:rPr>
          <w:b/>
          <w:lang w:eastAsia="en-US"/>
        </w:rPr>
      </w:r>
    </w:p>
    <w:p>
      <w:pPr>
        <w:pStyle w:val="Normal"/>
        <w:rPr>
          <w:b/>
          <w:lang w:eastAsia="en-US"/>
        </w:rPr>
      </w:pPr>
      <w:r>
        <w:rPr>
          <w:b/>
          <w:lang w:eastAsia="en-US"/>
        </w:rPr>
      </w:r>
    </w:p>
    <w:p>
      <w:pPr>
        <w:pStyle w:val="Normal"/>
        <w:numPr>
          <w:ilvl w:val="0"/>
          <w:numId w:val="0"/>
        </w:numPr>
        <w:spacing w:lineRule="auto" w:line="360"/>
        <w:outlineLvl w:val="0"/>
        <w:rPr>
          <w:lang w:eastAsia="en-US"/>
        </w:rPr>
      </w:pPr>
      <w:r>
        <w:rPr>
          <w:b/>
          <w:lang w:eastAsia="en-US"/>
        </w:rPr>
        <w:t>Introduction and Qualifications</w:t>
      </w:r>
    </w:p>
    <w:p>
      <w:pPr>
        <w:pStyle w:val="Normal"/>
        <w:spacing w:lineRule="auto" w:line="360"/>
        <w:rPr>
          <w:lang w:eastAsia="en-US"/>
        </w:rPr>
      </w:pPr>
      <w:r>
        <w:rPr>
          <w:lang w:eastAsia="en-US"/>
        </w:rPr>
        <w:tab/>
        <w:t xml:space="preserve">My current position is Vice-President, Marketing for Wild Goose Storage Inc., a wholly owned subsidiary of Alberta Energy Company (AEC), where I am responsible for direction and strategy related to marketing the capacity and services of the Wild Goose Storage project in Butte County, California to customers.  I have been employed by AEC since October 1994, and have held positions as the Marketing Advisor in the Marketing Department,  and as Manager, Business Development, Manager, AECO Marketing, and Manager, Marketing in the Storage &amp; Hub Services Business Unit of AEC.  I have had the following previous experience in the natural gas industry in the seven years prior to my employment at AEC:  Project Manager-New Gas Acquisition, Western Gas Marketing Limited; Manager, Market Development, Alberta and Southern Gas Co., Ltd.; and various positions in supply, operations, planning and co-ordination at Esso Resources Canada Limited.   Prior to these positions, I was employed for eight years in the pipeline business with Imperial Oil, with responsibilities in engineering, operations, and business development.  I hold a Bachelor of Engineering and Management Degree from McMaster University, Hamilton, Ontario, Canada (1979) and I am a Registered Professional Engineer in the Province of Alberta, Canada. </w:t>
      </w:r>
    </w:p>
    <w:p>
      <w:pPr>
        <w:pStyle w:val="Normal"/>
        <w:spacing w:lineRule="auto" w:line="360"/>
        <w:rPr>
          <w:lang w:eastAsia="en-US"/>
        </w:rPr>
      </w:pPr>
      <w:r>
        <w:rPr>
          <w:lang w:eastAsia="en-US"/>
        </w:rPr>
      </w:r>
    </w:p>
    <w:p>
      <w:pPr>
        <w:pStyle w:val="Normal"/>
        <w:spacing w:lineRule="auto" w:line="360"/>
        <w:rPr>
          <w:b/>
          <w:lang w:eastAsia="en-US"/>
        </w:rPr>
      </w:pPr>
      <w:r>
        <w:rPr>
          <w:b/>
          <w:lang w:eastAsia="en-US"/>
        </w:rPr>
        <w:t>The Implementation of the Full Range of Promising Options Relating to Storage and Balancing by the Comprehensive Settlement Is Highly Beneficial</w:t>
      </w:r>
    </w:p>
    <w:p>
      <w:pPr>
        <w:pStyle w:val="Normal"/>
        <w:spacing w:lineRule="auto" w:line="360"/>
        <w:rPr/>
      </w:pPr>
      <w:r>
        <w:rPr>
          <w:b/>
          <w:lang w:eastAsia="en-US"/>
        </w:rPr>
        <w:tab/>
      </w:r>
      <w:r>
        <w:rPr>
          <w:lang w:eastAsia="en-US"/>
        </w:rPr>
        <w:t xml:space="preserve">The Comprehensive Gas OII Settlement Agreement for Southern California Gas Company and San Diego Gas &amp; Electric Company filed on April 17, 2000 (hereinafter “the Comprehensive Settlement”) provides for the implementation of each of the Promising Options identified by the Commission in D.99-07-015 (Appendix C) for the categories of storage and balancing.  These Promising Options are: 1) the creation of firm, tradable storage rights, 2) the establishment of a secondary market for intrastate storage capacity, 3) placing the utility at risk for unused storage resources, 4) examination of structural means for SoCalGas to provide balancing services without drawing on core assets, 5) cost and rate separation for balancing services, 6) electronic trading of imbalances, and 6) implementation of targeted operational flow orders.  WGSI supports the Comprehensive Settlement because it provides the mechanism to implement these important reforms in a manner acceptable to a broad array of interests in the California gas market, including all types of customers, the utility, competitive storage providers, gas marketers, gas producers, and interstate pipelines.  Implementation of any one of these Promising Options individually is not as beneficial to customers and market participants as the coordinated implementation of the entire range of Promising Options.  This is because the unbundling of storage and balancing, especially when combined with unbundled transmission, allows customers far greater flexibility in customizing the type and quantity of services they purchase from the utility or other competitors.  </w:t>
      </w:r>
    </w:p>
    <w:p>
      <w:pPr>
        <w:pStyle w:val="Normal"/>
        <w:spacing w:lineRule="auto" w:line="360"/>
        <w:ind w:firstLine="720" w:end="0"/>
        <w:rPr>
          <w:lang w:eastAsia="en-US"/>
        </w:rPr>
      </w:pPr>
      <w:r>
        <w:rPr>
          <w:lang w:eastAsia="en-US"/>
        </w:rPr>
        <w:t>A customer which uses natural gas in sufficient quantities to ship its own gas or employ the services of a marketer will attempt to optimize its gas supply arrangements to achieve the lowest possible cost while obtaining an adequate degree of reliability of supply and the necessary amount of flexibility in modifying supply arrangements.    These criteria may result in a different optimal solution for any given customer.  The unbundling of storage and balancing, when combined with the unbundling of the gas commodity (already implemented for both core and noncore customers) and unbundled transmission services (already unbundled for noncore interstate transmission, the remainder of intrastate and interstate transmission for both core and noncore is unbundled by the Comprehensive Settlement), provide customers with ability to individually contract for the full array of gas supply services from either the utility or competitive suppliers.  If only two or three of these essential elements of natural gas service were fully unbundled, customers would not be able to customize a complete package of gas services to meet their requirements and would by default have to rely on bundled services for a portion of their gas service requirements.  This rigid, “one shoe fits all” regulatory structure can impose unwanted, duplicative, and costly services on SoCalGas customers.  For example, a customer with a high load factor demand profile may only need a peaking storage contract and not everyday bundled balancing services.  While some customers prefer a bundled balancing service due to their own low load factor, the high load factor customer cannot exercise market choice under the existing regulatory framework to avoid the unnecessary cost of bundling services it cannot use.  Bundled services are by their very nature less flexible from the customers’ perspective.</w:t>
      </w:r>
    </w:p>
    <w:p>
      <w:pPr>
        <w:pStyle w:val="Normal"/>
        <w:spacing w:lineRule="auto" w:line="360"/>
        <w:ind w:firstLine="720" w:end="0"/>
        <w:rPr>
          <w:lang w:eastAsia="en-US"/>
        </w:rPr>
      </w:pPr>
      <w:r>
        <w:rPr>
          <w:lang w:eastAsia="en-US"/>
        </w:rPr>
        <w:t>Each of the Promising Options related to storage and balancing contribute to the goal of a comprehensively unbundled system.  The creation of firm, tradable storage rights allows customers more flexibility to acquire or dispose of capacity when their needs change, greatly increasing flexibility and stimulating a competitive market for storage rights.  The establishment of a secondary market for intrastate storage capacity is a necessary complement to the creation of firm rights, so that customers have a source for storage services other than the utility.  By placing the utility at risk for unused storage resources, the Commission can provide a significant financial incentive for the utility to divest or otherwise dispose of excess storage assets, which are currently paid for by all customers, even though they receive little or no benefit from such assets.  The Comprehensive Settlement provides for separate core and noncore balancing, thereby implementing a structural separation between the two functions so that SoCalGas can provide balancing services to the noncore without drawing on core assets.   This reduces cross subsidization between classes.  The separation of costs and rates for balancing services, the essential step in unbundling, allows customers to pay for utility balancing services which are priced on an embedded cost basis, or to receive an embedded cost credit when they decline bundled utility balancing services and provide for their own balancing requirements.  The creation of a customer-friendly system for the electronic trading of imbalances greatly facilitates the creation of a liquid market in imbalance positions.   This, in turn, will provide customers with a greater opportunity to obtain maximum value from their gas supply arrangements if they possess balance positions with a positive value, or to reduce or avoid imbalance penalties through trading if they have an imbalance position which would otherwise be out of balance.  Finally, the adoption of a system to control utility gas operations using targeted operational flow orders reduces the impact on customers who are in balance when particular customers can be   identified as the source of the imbalance.   By exercising tighter control on individual shippers through the use of targeted OFOs, the vast majority of SoCalGas shippers enjoy a simplified and stable gas control environment.  The procedures proposed in the Comprehensive Settlement, which are similar to those now being pursued on the PG&amp;E system will reward customers who closely track their demand and gas supply.  A greater degree of statewide consistency enables customers and their service providers to deal with similar procedures and options throughout the state and reduces inefficiency and economic disparities in gas supply arrangements caused by dissimilar regulatory arrangements.  This reduces costs for customers and increases efficiency.</w:t>
      </w:r>
    </w:p>
    <w:p>
      <w:pPr>
        <w:pStyle w:val="Normal"/>
        <w:spacing w:lineRule="auto" w:line="360"/>
        <w:ind w:firstLine="720" w:end="0"/>
        <w:rPr>
          <w:b/>
          <w:lang w:eastAsia="en-US"/>
        </w:rPr>
      </w:pPr>
      <w:r>
        <w:rPr>
          <w:lang w:eastAsia="en-US"/>
        </w:rPr>
        <w:t xml:space="preserve">The unbundling of the full array of gas services also provides a greater opportunity for competitive providers of storage or balancing, thereby enabling such competitors to enter the marketplace, earn market share, and by their presence provide a strong incentive for the utility to reduce the cost of storage and balancing services to its customers.  In Alberta, the introduction of competition into the storage, balancing and transmission functions has resulted in more downward pressure on rates than regulation was able to achieve.  </w:t>
      </w:r>
    </w:p>
    <w:p>
      <w:pPr>
        <w:pStyle w:val="Normal"/>
        <w:spacing w:lineRule="auto" w:line="360"/>
        <w:rPr>
          <w:b/>
          <w:lang w:eastAsia="en-US"/>
        </w:rPr>
      </w:pPr>
      <w:r>
        <w:rPr>
          <w:b/>
          <w:lang w:eastAsia="en-US"/>
        </w:rPr>
      </w:r>
    </w:p>
    <w:p>
      <w:pPr>
        <w:pStyle w:val="Normal"/>
        <w:numPr>
          <w:ilvl w:val="0"/>
          <w:numId w:val="0"/>
        </w:numPr>
        <w:spacing w:lineRule="auto" w:line="360"/>
        <w:outlineLvl w:val="0"/>
        <w:rPr>
          <w:b/>
          <w:lang w:eastAsia="en-US"/>
        </w:rPr>
      </w:pPr>
      <w:r>
        <w:rPr>
          <w:b/>
          <w:lang w:eastAsia="en-US"/>
        </w:rPr>
        <w:t>The Comprehensive Settlement Is In the Public Interest</w:t>
      </w:r>
    </w:p>
    <w:p>
      <w:pPr>
        <w:pStyle w:val="Normal"/>
        <w:spacing w:lineRule="auto" w:line="360"/>
        <w:ind w:firstLine="720" w:end="0"/>
        <w:rPr>
          <w:lang w:eastAsia="en-US"/>
        </w:rPr>
      </w:pPr>
      <w:r>
        <w:rPr>
          <w:lang w:eastAsia="en-US"/>
        </w:rPr>
        <w:t>WGSI firmly supports the basic concept behind the storage and balancing Promising Options identified by the Commission and underlying the Comprehensive Settlement: the unbundling of utility storage and balancing services.   This unbundling is beneficial because:</w:t>
      </w:r>
    </w:p>
    <w:p>
      <w:pPr>
        <w:pStyle w:val="Normal"/>
        <w:spacing w:lineRule="auto" w:line="360"/>
        <w:ind w:hanging="720" w:start="720" w:end="0"/>
        <w:rPr>
          <w:lang w:eastAsia="en-US"/>
        </w:rPr>
      </w:pPr>
      <w:r>
        <w:rPr>
          <w:lang w:eastAsia="en-US"/>
        </w:rPr>
        <w:t>*</w:t>
        <w:tab/>
        <w:t>it enhances customer choice, allowing customers the ability to purchase only those services which they require, thereby reducing their costs;</w:t>
      </w:r>
    </w:p>
    <w:p>
      <w:pPr>
        <w:pStyle w:val="Normal"/>
        <w:spacing w:lineRule="auto" w:line="360"/>
        <w:ind w:hanging="720" w:start="720" w:end="0"/>
        <w:rPr>
          <w:lang w:eastAsia="en-US"/>
        </w:rPr>
      </w:pPr>
      <w:r>
        <w:rPr>
          <w:lang w:eastAsia="en-US"/>
        </w:rPr>
        <w:t>*</w:t>
        <w:tab/>
        <w:t>it enables potential competitors of the utility to offer storage and balancing services, and this competition ultimately acts as a strong incentive to keep storage and balancing costs lower for all customers;</w:t>
      </w:r>
    </w:p>
    <w:p>
      <w:pPr>
        <w:pStyle w:val="Normal"/>
        <w:spacing w:lineRule="auto" w:line="360"/>
        <w:ind w:hanging="720" w:start="720" w:end="0"/>
        <w:rPr>
          <w:lang w:eastAsia="en-US"/>
        </w:rPr>
      </w:pPr>
      <w:r>
        <w:rPr>
          <w:lang w:eastAsia="en-US"/>
        </w:rPr>
        <w:t>*</w:t>
        <w:tab/>
        <w:t>it reduces or eliminates the cross-subsidization of low-load factor customers by high-load factor customers.</w:t>
      </w:r>
    </w:p>
    <w:p>
      <w:pPr>
        <w:pStyle w:val="Normal"/>
        <w:spacing w:lineRule="auto" w:line="360"/>
        <w:rPr>
          <w:lang w:eastAsia="en-US"/>
        </w:rPr>
      </w:pPr>
      <w:r>
        <w:rPr>
          <w:lang w:eastAsia="en-US"/>
        </w:rPr>
        <w:tab/>
        <w:t xml:space="preserve">Another key element of the Comprehensive Settlement is that it sets storage and balancing rates using embedded cost concepts instead of marginal cost concepts.  Pricing those storage and balancing services based at their embedded cost helps foster a competitive environment, as potential competitors have a predictable cost base to try to compete against, rather than one that is subject to great variation and which can be unpredictably skewed by other ratemaking considerations.  </w:t>
      </w:r>
    </w:p>
    <w:p>
      <w:pPr>
        <w:pStyle w:val="Normal"/>
        <w:spacing w:lineRule="auto" w:line="360"/>
        <w:rPr>
          <w:lang w:eastAsia="en-US"/>
        </w:rPr>
      </w:pPr>
      <w:r>
        <w:rPr>
          <w:lang w:eastAsia="en-US"/>
        </w:rPr>
        <w:tab/>
        <w:t xml:space="preserve">Putting the shareholder fully at risk for unbundled storage assets places a real and effective business incentive on the utility and its shareholders to refrain from any selective discounting to a small group of market participants so as to inhibit storage competition.  Other ratepayers will be assured that any attempt to subsidize a few storage customers would be financially counterproductive, and therefore, unlikely.  Being at risk will incent the shareholder to either obtain better values in the marketplace, or if it believes that it can not achieve satisfactory value, to rationalize its assets.  There has been an apparent excess of storage assets for many years now on the SoCalGas system, but SoCalGas has had little incentive to do anything about it.  </w:t>
      </w:r>
    </w:p>
    <w:p>
      <w:pPr>
        <w:pStyle w:val="Normal"/>
        <w:spacing w:lineRule="auto" w:line="360"/>
        <w:rPr>
          <w:lang w:eastAsia="en-US"/>
        </w:rPr>
      </w:pPr>
      <w:r>
        <w:rPr>
          <w:lang w:eastAsia="en-US"/>
        </w:rPr>
        <w:tab/>
        <w:t xml:space="preserve">Customers who have been getting cheap bundled and subsidized storage and balancing services may express concern with a regulatory structure which places the utility’s shareholders at risk for discounted storage.  Those low load factor customers who consciously want to obtain storage for security, price arbitrage, seasonal balancing or optimizing transportation arrangements should pay fair value for these services.  Where the shareholder is not at risk for discounts and there is an excess of storage capacity, the price will fall and not all storage will be sold.  This results in ratepayers who do not use the storage paying for it in the form of stranded costs.  There is no financial incentive to rationalize the amount of storage assets held by the utility.  The silent majority of ratepayers who have not been able to take advantage of these discounts in the past may not have noticed the subsidy they were providing (because it is so widely distributed) and may notice little if any change if the Comprehensive Settlement is implemented.  However, that doesn't mean the cross-subsidization should continue.  </w:t>
      </w:r>
    </w:p>
    <w:p>
      <w:pPr>
        <w:pStyle w:val="Normal"/>
        <w:spacing w:lineRule="auto" w:line="360"/>
        <w:ind w:firstLine="720" w:end="0"/>
        <w:rPr>
          <w:lang w:eastAsia="en-US"/>
        </w:rPr>
      </w:pPr>
      <w:r>
        <w:rPr>
          <w:lang w:eastAsia="en-US"/>
        </w:rPr>
        <w:t>The Comprehensive Settlement rebalances customer and shareholder incentives and creates more of a “user-pays” environment. Even so, the low load-factor consumers should not fear a substantial increase in storage costs.  SoCalGas’ storage system is still a tremendous bargain in today’s market, by virtue of the fact that it is highly depreciated, and have a significant cost advantage over other potential competitors.  Even when priced at full embedded cost, SoCalGas storage is by far the lowest cost storage in California.  While the default package of storage will   bear an inventory cost of $0.67 per Dth under the terms of the Comprehensive Settlement, that reflects a configuration of inventory capacity, injection and withdrawal rights proportional to SoCalGas’ total storage.  However, the cost of a package of storage services configured proportionately to the amount of unbundled storage would cost approximately $0.50 per Dth for inventory.  Even if the highest floor price during the transition were applied, that represents an inventory cost of about 24 cents per Dth.   This is compared to PG&amp;E’s cost of unbundled storage inventory of $1.10/Dth.  In response to an RFP by PG&amp;E for incremental balancing storage (which admittedly involves a higher cycling rate than average SoCalGas unbundled storage) PG&amp;E bid $2.86/Dth, WGSI offered $2.43/Dth, and Lodi bid $2.14/Dth.  There is every reason for low-load factor customers to be assured that they will have access to reasonably priced storage in southern California.</w:t>
      </w:r>
    </w:p>
    <w:p>
      <w:pPr>
        <w:pStyle w:val="Normal"/>
        <w:spacing w:lineRule="auto" w:line="360"/>
        <w:ind w:firstLine="720" w:end="0"/>
        <w:rPr>
          <w:lang w:eastAsia="en-US"/>
        </w:rPr>
      </w:pPr>
      <w:r>
        <w:rPr>
          <w:lang w:eastAsia="en-US"/>
        </w:rPr>
        <w:t xml:space="preserve">For this same reason (the fact that this is relatively low cost storage), the risk burden on the shareholder is not onerous.  Certainly no one will be able to build new storage for less.  However, if SoCalGas’ shareholders don't like the degree of risk from holding all of the current storage assets,  or decide that it is not the business they want to be in, SoCalGas always has the option of divesting or taking assets out of service (in fact, the value of the cushion gas at current prices may justify taking assets out of service). </w:t>
      </w:r>
    </w:p>
    <w:p>
      <w:pPr>
        <w:pStyle w:val="Normal"/>
        <w:spacing w:lineRule="auto" w:line="360"/>
        <w:rPr>
          <w:b/>
          <w:lang w:eastAsia="en-US"/>
        </w:rPr>
      </w:pPr>
      <w:r>
        <w:rPr>
          <w:b/>
          <w:lang w:eastAsia="en-US"/>
        </w:rPr>
        <w:t>[discussion of price floors to be inserted here]</w:t>
      </w:r>
    </w:p>
    <w:p>
      <w:pPr>
        <w:pStyle w:val="Normal"/>
        <w:spacing w:lineRule="auto" w:line="360"/>
        <w:rPr>
          <w:b/>
          <w:lang w:eastAsia="en-US"/>
        </w:rPr>
      </w:pPr>
      <w:r>
        <w:rPr>
          <w:b/>
          <w:lang w:eastAsia="en-US"/>
        </w:rPr>
      </w:r>
    </w:p>
    <w:p>
      <w:pPr>
        <w:pStyle w:val="BodyText"/>
        <w:numPr>
          <w:ilvl w:val="0"/>
          <w:numId w:val="0"/>
        </w:numPr>
        <w:spacing w:lineRule="auto" w:line="360"/>
        <w:ind w:start="0" w:hanging="0" w:end="0"/>
        <w:outlineLvl w:val="0"/>
        <w:rPr>
          <w:b/>
        </w:rPr>
      </w:pPr>
      <w:r>
        <w:rPr>
          <w:b/>
        </w:rPr>
        <w:t>The Settlement Also Provides Benefits to Core Customers and Should Be Adopted</w:t>
      </w:r>
    </w:p>
    <w:p>
      <w:pPr>
        <w:pStyle w:val="Normal"/>
        <w:spacing w:lineRule="auto" w:line="360"/>
        <w:rPr/>
      </w:pPr>
      <w:r>
        <w:rPr/>
        <w:tab/>
        <w:t>An important objective, outlined in the Commission’s Promising Options decision, and indeed throughout these proceedings, is that core customers should</w:t>
      </w:r>
      <w:r>
        <w:rPr>
          <w:lang w:eastAsia="en-US"/>
        </w:rPr>
        <w:t xml:space="preserve"> clearly have the opportunity to benefit from the contemplated storage unbundling.  Under the Comprehensive Settlement , core customers and their agents will have new opportunities to select competitive storage and balancing services. To the extent these services can be obtained from competitive providers at a lower cost than the bundled service provided by SoCalGas, the core customer will see a reduction in gas supply costs.  </w:t>
      </w:r>
    </w:p>
    <w:p>
      <w:pPr>
        <w:pStyle w:val="Normal"/>
        <w:spacing w:lineRule="auto" w:line="360"/>
        <w:ind w:firstLine="720" w:end="0"/>
        <w:rPr>
          <w:lang w:eastAsia="en-US"/>
        </w:rPr>
      </w:pPr>
      <w:r>
        <w:rPr>
          <w:lang w:eastAsia="en-US"/>
        </w:rPr>
        <w:t>In addition, the fact that the core sector will no longer be responsible to balance the SoCalGas system is clear evidence of the dramatic shift between a regulatory structure emphasizing a customer’s obligation to the system and one in which the individual customer’s opportunities to manage gas supply more efficiently are cultivated and encouraged.  Under the Comprehensive Settlement, core customers can contract for just their individual storage requirements without punitive restrictions or limitations.</w:t>
      </w:r>
    </w:p>
    <w:p>
      <w:pPr>
        <w:pStyle w:val="Normal"/>
        <w:spacing w:lineRule="auto" w:line="360"/>
        <w:ind w:firstLine="720" w:end="0"/>
        <w:rPr>
          <w:lang w:eastAsia="en-US"/>
        </w:rPr>
      </w:pPr>
      <w:r>
        <w:rPr>
          <w:lang w:eastAsia="en-US"/>
        </w:rPr>
        <w:t>In addition, as discussed in more detail in the testimony of Lad Lorenz of SoCalGas and John Burkholder of WHP, core customers will benefit significantly from the pricing of storage on an embedded cost basis.</w:t>
      </w:r>
    </w:p>
    <w:p>
      <w:pPr>
        <w:pStyle w:val="Normal"/>
        <w:spacing w:lineRule="auto" w:line="360"/>
        <w:ind w:firstLine="720" w:end="0"/>
        <w:rPr>
          <w:lang w:eastAsia="en-US"/>
        </w:rPr>
      </w:pPr>
      <w:r>
        <w:rPr>
          <w:b/>
          <w:lang w:eastAsia="en-US"/>
        </w:rPr>
        <w:t>Conclusion</w:t>
      </w:r>
    </w:p>
    <w:p>
      <w:pPr>
        <w:pStyle w:val="Normal"/>
        <w:spacing w:lineRule="auto" w:line="360"/>
        <w:rPr>
          <w:rFonts w:ascii="Verdana" w:hAnsi="Verdana" w:cs="Verdana"/>
          <w:lang w:eastAsia="en-US"/>
        </w:rPr>
      </w:pPr>
      <w:r>
        <w:rPr>
          <w:lang w:eastAsia="en-US"/>
        </w:rPr>
        <w:tab/>
        <w:t>For all of the above reasons, the Commission should approve the Comprehensive Settlement as being consistent with the public interest.</w:t>
      </w:r>
    </w:p>
    <w:p>
      <w:pPr>
        <w:pStyle w:val="BodyText"/>
        <w:numPr>
          <w:ilvl w:val="0"/>
          <w:numId w:val="0"/>
        </w:numPr>
        <w:spacing w:lineRule="auto" w:line="360"/>
        <w:ind w:start="0" w:hanging="0" w:end="0"/>
        <w:outlineLvl w:val="0"/>
        <w:rPr>
          <w:rFonts w:ascii="Verdana" w:hAnsi="Verdana" w:cs="Verdana"/>
          <w:lang w:eastAsia="en-US"/>
        </w:rPr>
      </w:pPr>
      <w:r>
        <w:rPr>
          <w:rFonts w:cs="Verdana" w:ascii="Verdana" w:hAnsi="Verdana"/>
          <w:lang w:eastAsia="en-US"/>
        </w:rPr>
      </w:r>
    </w:p>
    <w:p>
      <w:pPr>
        <w:pStyle w:val="BodyText"/>
        <w:numPr>
          <w:ilvl w:val="0"/>
          <w:numId w:val="0"/>
        </w:numPr>
        <w:spacing w:lineRule="auto" w:line="360"/>
        <w:ind w:start="0" w:hanging="0" w:end="0"/>
        <w:outlineLvl w:val="0"/>
        <w:rPr>
          <w:b/>
        </w:rPr>
      </w:pPr>
      <w:r>
        <w:rPr>
          <w:b/>
        </w:rPr>
      </w:r>
    </w:p>
    <w:p>
      <w:pPr>
        <w:pStyle w:val="BodyText"/>
        <w:numPr>
          <w:ilvl w:val="0"/>
          <w:numId w:val="0"/>
        </w:numPr>
        <w:spacing w:lineRule="auto" w:line="360"/>
        <w:ind w:start="0" w:hanging="0" w:end="0"/>
        <w:outlineLvl w:val="0"/>
        <w:rPr>
          <w:b/>
        </w:rPr>
      </w:pPr>
      <w:r>
        <w:rPr>
          <w:b/>
        </w:rPr>
      </w:r>
    </w:p>
    <w:p>
      <w:pPr>
        <w:pStyle w:val="Normal"/>
        <w:spacing w:lineRule="exact" w:line="200" w:before="240" w:after="0"/>
        <w:rPr/>
      </w:pPr>
      <w:r>
        <w:rPr>
          <w:rStyle w:val="zzmpTrailerItem"/>
        </w:rPr>
        <w:t>2715/016/X12282-2</w:t>
      </w:r>
      <w:r>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DOC_ID" w:val="2715/016/X12282-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2000-05-03T21:41:00Z</dcterms:created>
  <dc:creator>Michael B. Day</dc:creator>
  <dc:description/>
  <dc:language>en-CA</dc:language>
  <cp:lastModifiedBy>Michael B. Day</cp:lastModifiedBy>
  <cp:lastPrinted>2000-05-03T17:09:00Z</cp:lastPrinted>
  <dcterms:modified xsi:type="dcterms:W3CDTF">2000-05-03T21:41:00Z</dcterms:modified>
  <cp:revision>2</cp:revision>
  <dc:subject/>
  <dc:title>The Prepared Direct Testimony of Paul Amirault</dc:title>
</cp:coreProperties>
</file>