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0" w:after="0"/>
        <w:rPr>
          <w:rFonts w:ascii="Times New Roman" w:hAnsi="Times New Roman" w:cs="Times New Roman"/>
          <w:sz w:val="24"/>
        </w:rPr>
      </w:pPr>
      <w:r>
        <w:rPr>
          <w:rFonts w:cs="Times New Roman" w:ascii="Times New Roman" w:hAnsi="Times New Roman"/>
          <w:sz w:val="24"/>
        </w:rPr>
      </w:r>
    </w:p>
    <w:p>
      <w:pPr>
        <w:pStyle w:val="BodyText"/>
        <w:spacing w:before="0" w:after="0"/>
        <w:rPr>
          <w:rFonts w:ascii="Times New Roman" w:hAnsi="Times New Roman" w:cs="Times New Roman"/>
          <w:sz w:val="24"/>
        </w:rPr>
      </w:pPr>
      <w:r>
        <w:rPr>
          <w:rFonts w:cs="Times New Roman" w:ascii="Times New Roman" w:hAnsi="Times New Roman"/>
          <w:sz w:val="24"/>
        </w:rPr>
      </w:r>
    </w:p>
    <w:p>
      <w:pPr>
        <w:pStyle w:val="BodyText"/>
        <w:spacing w:before="0" w:after="0"/>
        <w:rPr>
          <w:rFonts w:ascii="Times New Roman" w:hAnsi="Times New Roman" w:cs="Times New Roman"/>
          <w:sz w:val="24"/>
        </w:rPr>
      </w:pPr>
      <w:r>
        <w:rPr>
          <w:rFonts w:cs="Times New Roman" w:ascii="Times New Roman" w:hAnsi="Times New Roman"/>
          <w:sz w:val="24"/>
        </w:rPr>
      </w:r>
    </w:p>
    <w:p>
      <w:pPr>
        <w:pStyle w:val="BodyText"/>
        <w:jc w:val="center"/>
        <w:rPr>
          <w:rFonts w:ascii="Times New Roman" w:hAnsi="Times New Roman" w:cs="Times New Roman"/>
          <w:b w:val="false"/>
          <w:smallCaps/>
          <w:sz w:val="28"/>
        </w:rPr>
      </w:pPr>
      <w:r>
        <w:rPr>
          <w:rFonts w:cs="Times New Roman" w:ascii="Times New Roman" w:hAnsi="Times New Roman"/>
          <w:b w:val="false"/>
          <w:smallCaps/>
          <w:sz w:val="28"/>
        </w:rPr>
        <w:t>Before the Public Utilities Commission</w:t>
      </w:r>
    </w:p>
    <w:p>
      <w:pPr>
        <w:pStyle w:val="BodyText"/>
        <w:jc w:val="center"/>
        <w:rPr>
          <w:rFonts w:ascii="Times New Roman" w:hAnsi="Times New Roman" w:cs="Times New Roman"/>
          <w:b w:val="false"/>
          <w:sz w:val="28"/>
        </w:rPr>
      </w:pPr>
      <w:r>
        <w:rPr>
          <w:rFonts w:cs="Times New Roman" w:ascii="Times New Roman" w:hAnsi="Times New Roman"/>
          <w:b w:val="false"/>
          <w:smallCaps/>
          <w:sz w:val="28"/>
        </w:rPr>
        <w:t xml:space="preserve"> </w:t>
      </w:r>
      <w:r>
        <w:rPr>
          <w:rFonts w:cs="Times New Roman" w:ascii="Times New Roman" w:hAnsi="Times New Roman"/>
          <w:b w:val="false"/>
          <w:smallCaps/>
          <w:sz w:val="28"/>
        </w:rPr>
        <w:t>of the State of California</w:t>
      </w:r>
    </w:p>
    <w:p>
      <w:pPr>
        <w:pStyle w:val="Normal"/>
        <w:rPr>
          <w:rFonts w:ascii="Times New Roman" w:hAnsi="Times New Roman" w:cs="Times New Roman"/>
          <w:b/>
          <w:sz w:val="26"/>
        </w:rPr>
      </w:pPr>
      <w:r>
        <w:rPr>
          <w:rFonts w:cs="Times New Roman"/>
          <w:b/>
          <w:sz w:val="26"/>
        </w:rPr>
      </w:r>
    </w:p>
    <w:p>
      <w:pPr>
        <w:pStyle w:val="Normal"/>
        <w:tabs>
          <w:tab w:val="clear" w:pos="720"/>
          <w:tab w:val="left" w:pos="4320" w:leader="none"/>
        </w:tabs>
        <w:rPr>
          <w:sz w:val="26"/>
        </w:rPr>
      </w:pPr>
      <w:r>
        <w:rPr>
          <w:sz w:val="26"/>
        </w:rPr>
      </w:r>
    </w:p>
    <w:p>
      <w:pPr>
        <w:pStyle w:val="Normal"/>
        <w:tabs>
          <w:tab w:val="clear" w:pos="720"/>
          <w:tab w:val="left" w:pos="4320" w:leader="none"/>
        </w:tabs>
        <w:rPr>
          <w:sz w:val="26"/>
        </w:rPr>
      </w:pPr>
      <w:r>
        <w:rPr>
          <w:sz w:val="26"/>
        </w:rPr>
      </w:r>
    </w:p>
    <w:p>
      <w:pPr>
        <w:pStyle w:val="Normal"/>
        <w:tabs>
          <w:tab w:val="clear" w:pos="720"/>
          <w:tab w:val="left" w:pos="4320" w:leader="none"/>
        </w:tabs>
        <w:rPr>
          <w:sz w:val="26"/>
        </w:rPr>
      </w:pPr>
      <w:r>
        <w:rPr>
          <w:sz w:val="26"/>
        </w:rPr>
      </w:r>
    </w:p>
    <w:tbl>
      <w:tblPr>
        <w:tblW w:w="8496" w:type="dxa"/>
        <w:jc w:val="start"/>
        <w:tblInd w:w="0" w:type="dxa"/>
        <w:tblLayout w:type="fixed"/>
        <w:tblCellMar>
          <w:top w:w="0" w:type="dxa"/>
          <w:start w:w="108" w:type="dxa"/>
          <w:bottom w:w="0" w:type="dxa"/>
          <w:end w:w="108" w:type="dxa"/>
        </w:tblCellMar>
      </w:tblPr>
      <w:tblGrid>
        <w:gridCol w:w="4428"/>
        <w:gridCol w:w="4068"/>
      </w:tblGrid>
      <w:tr>
        <w:trPr/>
        <w:tc>
          <w:tcPr>
            <w:tcW w:w="4428" w:type="dxa"/>
            <w:tcBorders>
              <w:bottom w:val="single" w:sz="6" w:space="0" w:color="000000"/>
              <w:end w:val="single" w:sz="6" w:space="0" w:color="000000"/>
            </w:tcBorders>
          </w:tcPr>
          <w:p>
            <w:pPr>
              <w:pStyle w:val="Caption"/>
              <w:snapToGrid w:val="false"/>
              <w:rPr/>
            </w:pPr>
            <w:r>
              <w:rPr/>
            </w:r>
          </w:p>
          <w:p>
            <w:pPr>
              <w:pStyle w:val="Caption"/>
              <w:rPr/>
            </w:pPr>
            <w:r>
              <w:rPr/>
              <w:t>Order Instituting Rulemaking into Distributed Generation</w:t>
            </w:r>
          </w:p>
        </w:tc>
        <w:tc>
          <w:tcPr>
            <w:tcW w:w="4068" w:type="dxa"/>
            <w:tcBorders/>
          </w:tcPr>
          <w:p>
            <w:pPr>
              <w:pStyle w:val="Caption"/>
              <w:snapToGrid w:val="false"/>
              <w:ind w:firstLine="612" w:end="0"/>
              <w:rPr/>
            </w:pPr>
            <w:r>
              <w:rPr/>
            </w:r>
          </w:p>
          <w:p>
            <w:pPr>
              <w:pStyle w:val="Caption"/>
              <w:ind w:firstLine="612" w:end="0"/>
              <w:rPr/>
            </w:pPr>
            <w:r>
              <w:rPr/>
              <w:t xml:space="preserve"> </w:t>
            </w:r>
            <w:r>
              <w:rPr/>
              <w:t>Rulemaking 99-10-025</w:t>
            </w:r>
          </w:p>
          <w:p>
            <w:pPr>
              <w:pStyle w:val="Caption"/>
              <w:ind w:firstLine="612" w:end="0"/>
              <w:rPr/>
            </w:pPr>
            <w:r>
              <w:rPr/>
              <w:t>(Filed October 21, 1999)</w:t>
            </w:r>
          </w:p>
          <w:p>
            <w:pPr>
              <w:pStyle w:val="Caption"/>
              <w:ind w:firstLine="612" w:end="0"/>
              <w:rPr/>
            </w:pPr>
            <w:r>
              <w:rPr/>
              <w:t xml:space="preserve"> </w:t>
            </w:r>
          </w:p>
        </w:tc>
      </w:tr>
    </w:tbl>
    <w:p>
      <w:pPr>
        <w:pStyle w:val="Normal"/>
        <w:rPr/>
      </w:pPr>
      <w:r>
        <w:rPr/>
      </w:r>
    </w:p>
    <w:p>
      <w:pPr>
        <w:pStyle w:val="Normal"/>
        <w:jc w:val="center"/>
        <w:rPr>
          <w:b/>
          <w:smallCaps/>
          <w:sz w:val="28"/>
        </w:rPr>
      </w:pPr>
      <w:r>
        <w:rPr>
          <w:b/>
          <w:smallCaps/>
          <w:sz w:val="28"/>
        </w:rPr>
      </w:r>
    </w:p>
    <w:p>
      <w:pPr>
        <w:pStyle w:val="Normal"/>
        <w:jc w:val="center"/>
        <w:rPr>
          <w:b/>
          <w:smallCaps/>
          <w:sz w:val="28"/>
        </w:rPr>
      </w:pPr>
      <w:r>
        <w:rPr>
          <w:b/>
          <w:smallCaps/>
          <w:sz w:val="28"/>
        </w:rPr>
      </w:r>
    </w:p>
    <w:p>
      <w:pPr>
        <w:pStyle w:val="Normal"/>
        <w:jc w:val="center"/>
        <w:rPr>
          <w:b/>
          <w:smallCaps/>
          <w:sz w:val="28"/>
        </w:rPr>
      </w:pPr>
      <w:r>
        <w:rPr>
          <w:b/>
          <w:smallCaps/>
          <w:sz w:val="28"/>
        </w:rPr>
      </w:r>
    </w:p>
    <w:p>
      <w:pPr>
        <w:pStyle w:val="Normal"/>
        <w:jc w:val="center"/>
        <w:rPr>
          <w:b/>
          <w:smallCaps/>
          <w:sz w:val="28"/>
        </w:rPr>
      </w:pPr>
      <w:r>
        <w:rPr>
          <w:b/>
          <w:smallCaps/>
          <w:sz w:val="28"/>
        </w:rPr>
      </w:r>
    </w:p>
    <w:p>
      <w:pPr>
        <w:pStyle w:val="Normal"/>
        <w:jc w:val="center"/>
        <w:rPr>
          <w:b/>
          <w:smallCaps/>
          <w:sz w:val="28"/>
        </w:rPr>
      </w:pPr>
      <w:r>
        <w:rPr>
          <w:b/>
          <w:smallCaps/>
          <w:sz w:val="28"/>
        </w:rPr>
      </w:r>
    </w:p>
    <w:p>
      <w:pPr>
        <w:pStyle w:val="Normal"/>
        <w:jc w:val="center"/>
        <w:rPr>
          <w:b/>
          <w:smallCaps/>
          <w:sz w:val="28"/>
        </w:rPr>
      </w:pPr>
      <w:r>
        <w:rPr>
          <w:b/>
          <w:smallCaps/>
          <w:sz w:val="28"/>
        </w:rPr>
      </w:r>
    </w:p>
    <w:p>
      <w:pPr>
        <w:pStyle w:val="Normal"/>
        <w:jc w:val="center"/>
        <w:rPr>
          <w:b/>
          <w:smallCaps/>
          <w:sz w:val="28"/>
        </w:rPr>
      </w:pPr>
      <w:r>
        <w:rPr>
          <w:b/>
          <w:smallCaps/>
          <w:sz w:val="28"/>
        </w:rPr>
      </w:r>
    </w:p>
    <w:p>
      <w:pPr>
        <w:pStyle w:val="Normal"/>
        <w:jc w:val="center"/>
        <w:rPr>
          <w:b/>
          <w:smallCaps/>
          <w:sz w:val="28"/>
        </w:rPr>
      </w:pPr>
      <w:r>
        <w:rPr>
          <w:b/>
          <w:smallCaps/>
          <w:sz w:val="28"/>
        </w:rPr>
      </w:r>
    </w:p>
    <w:p>
      <w:pPr>
        <w:pStyle w:val="Normal"/>
        <w:jc w:val="center"/>
        <w:rPr>
          <w:b/>
          <w:smallCaps/>
          <w:sz w:val="28"/>
        </w:rPr>
      </w:pPr>
      <w:r>
        <w:rPr>
          <w:b/>
          <w:smallCaps/>
          <w:sz w:val="28"/>
        </w:rPr>
        <w:t xml:space="preserve">INITIAL TESTIMONY OF </w:t>
      </w:r>
    </w:p>
    <w:p>
      <w:pPr>
        <w:pStyle w:val="Normal"/>
        <w:jc w:val="center"/>
        <w:rPr>
          <w:b/>
          <w:smallCaps/>
          <w:sz w:val="28"/>
        </w:rPr>
      </w:pPr>
      <w:r>
        <w:rPr>
          <w:b/>
          <w:smallCaps/>
          <w:sz w:val="28"/>
        </w:rPr>
        <w:t>ENRON NORTH AMERICA CORP. AND</w:t>
      </w:r>
    </w:p>
    <w:p>
      <w:pPr>
        <w:pStyle w:val="Normal"/>
        <w:jc w:val="center"/>
        <w:rPr>
          <w:b/>
          <w:smallCaps/>
          <w:sz w:val="28"/>
        </w:rPr>
      </w:pPr>
      <w:r>
        <w:rPr>
          <w:b/>
          <w:smallCaps/>
          <w:sz w:val="28"/>
        </w:rPr>
        <w:t>ENRON ENERGY SERVICES, INC.</w:t>
      </w:r>
    </w:p>
    <w:p>
      <w:pPr>
        <w:pStyle w:val="Normal"/>
        <w:jc w:val="center"/>
        <w:rPr>
          <w:b/>
          <w:sz w:val="28"/>
        </w:rPr>
      </w:pPr>
      <w:r>
        <w:rPr>
          <w:b/>
          <w:smallCaps/>
          <w:sz w:val="28"/>
        </w:rPr>
        <w:t>(PHASE I)</w:t>
      </w:r>
    </w:p>
    <w:p>
      <w:pPr>
        <w:pStyle w:val="BodyText"/>
        <w:spacing w:before="0" w:after="0"/>
        <w:rPr>
          <w:rFonts w:ascii="Times New Roman" w:hAnsi="Times New Roman" w:cs="Times New Roman"/>
          <w:b w:val="false"/>
          <w:sz w:val="24"/>
        </w:rPr>
      </w:pPr>
      <w:r>
        <w:rPr>
          <w:rFonts w:cs="Times New Roman" w:ascii="Times New Roman" w:hAnsi="Times New Roman"/>
          <w:b w:val="false"/>
          <w:sz w:val="24"/>
        </w:rPr>
      </w:r>
    </w:p>
    <w:p>
      <w:pPr>
        <w:pStyle w:val="BodyText"/>
        <w:spacing w:before="0" w:after="0"/>
        <w:rPr>
          <w:rFonts w:ascii="Times New Roman" w:hAnsi="Times New Roman" w:cs="Times New Roman"/>
          <w:sz w:val="24"/>
        </w:rPr>
      </w:pPr>
      <w:r>
        <w:rPr>
          <w:rFonts w:cs="Times New Roman" w:ascii="Times New Roman" w:hAnsi="Times New Roman"/>
          <w:sz w:val="24"/>
        </w:rPr>
      </w:r>
    </w:p>
    <w:p>
      <w:pPr>
        <w:pStyle w:val="BodyText"/>
        <w:spacing w:before="0" w:after="0"/>
        <w:rPr>
          <w:rFonts w:ascii="Times New Roman" w:hAnsi="Times New Roman" w:cs="Times New Roman"/>
          <w:sz w:val="24"/>
        </w:rPr>
      </w:pPr>
      <w:r>
        <w:rPr>
          <w:rFonts w:cs="Times New Roman" w:ascii="Times New Roman" w:hAnsi="Times New Roman"/>
          <w:sz w:val="24"/>
        </w:rPr>
      </w:r>
    </w:p>
    <w:p>
      <w:pPr>
        <w:pStyle w:val="BodyText"/>
        <w:spacing w:before="0" w:after="0"/>
        <w:rPr>
          <w:rFonts w:ascii="Times New Roman" w:hAnsi="Times New Roman" w:cs="Times New Roman"/>
          <w:sz w:val="24"/>
        </w:rPr>
      </w:pPr>
      <w:r>
        <w:rPr>
          <w:rFonts w:cs="Times New Roman" w:ascii="Times New Roman" w:hAnsi="Times New Roman"/>
          <w:sz w:val="24"/>
        </w:rPr>
      </w:r>
    </w:p>
    <w:p>
      <w:pPr>
        <w:pStyle w:val="BodyText"/>
        <w:spacing w:before="0" w:after="0"/>
        <w:rPr>
          <w:rFonts w:ascii="Times New Roman" w:hAnsi="Times New Roman" w:cs="Times New Roman"/>
          <w:sz w:val="24"/>
        </w:rPr>
      </w:pPr>
      <w:r>
        <w:rPr>
          <w:rFonts w:cs="Times New Roman" w:ascii="Times New Roman" w:hAnsi="Times New Roman"/>
          <w:sz w:val="24"/>
        </w:rPr>
      </w:r>
    </w:p>
    <w:p>
      <w:pPr>
        <w:pStyle w:val="BodyText"/>
        <w:spacing w:before="0" w:after="0"/>
        <w:rPr>
          <w:rFonts w:ascii="Times New Roman" w:hAnsi="Times New Roman" w:cs="Times New Roman"/>
          <w:sz w:val="24"/>
        </w:rPr>
      </w:pPr>
      <w:r>
        <w:rPr>
          <w:rFonts w:cs="Times New Roman" w:ascii="Times New Roman" w:hAnsi="Times New Roman"/>
          <w:sz w:val="24"/>
        </w:rPr>
      </w:r>
    </w:p>
    <w:p>
      <w:pPr>
        <w:pStyle w:val="BodyText"/>
        <w:spacing w:before="0" w:after="0"/>
        <w:rPr>
          <w:rFonts w:ascii="Times New Roman" w:hAnsi="Times New Roman" w:cs="Times New Roman"/>
          <w:sz w:val="24"/>
        </w:rPr>
      </w:pPr>
      <w:r>
        <w:rPr>
          <w:rFonts w:cs="Times New Roman" w:ascii="Times New Roman" w:hAnsi="Times New Roman"/>
          <w:sz w:val="24"/>
        </w:rPr>
      </w:r>
    </w:p>
    <w:p>
      <w:pPr>
        <w:pStyle w:val="BodyText"/>
        <w:spacing w:before="0" w:after="0"/>
        <w:rPr>
          <w:rFonts w:ascii="Times New Roman" w:hAnsi="Times New Roman" w:cs="Times New Roman"/>
          <w:sz w:val="24"/>
        </w:rPr>
      </w:pPr>
      <w:r>
        <w:rPr>
          <w:rFonts w:cs="Times New Roman" w:ascii="Times New Roman" w:hAnsi="Times New Roman"/>
          <w:sz w:val="24"/>
        </w:rPr>
      </w:r>
    </w:p>
    <w:p>
      <w:pPr>
        <w:pStyle w:val="BodyText"/>
        <w:spacing w:before="0" w:after="0"/>
        <w:rPr>
          <w:rFonts w:ascii="Times New Roman" w:hAnsi="Times New Roman" w:cs="Times New Roman"/>
          <w:sz w:val="24"/>
        </w:rPr>
      </w:pPr>
      <w:r>
        <w:rPr>
          <w:rFonts w:cs="Times New Roman" w:ascii="Times New Roman" w:hAnsi="Times New Roman"/>
          <w:sz w:val="24"/>
        </w:rPr>
      </w:r>
    </w:p>
    <w:p>
      <w:pPr>
        <w:pStyle w:val="BodyText"/>
        <w:spacing w:before="0" w:after="0"/>
        <w:rPr>
          <w:rFonts w:ascii="Times New Roman" w:hAnsi="Times New Roman" w:cs="Times New Roman"/>
          <w:sz w:val="24"/>
        </w:rPr>
      </w:pPr>
      <w:r>
        <w:rPr>
          <w:rFonts w:cs="Times New Roman" w:ascii="Times New Roman" w:hAnsi="Times New Roman"/>
          <w:sz w:val="24"/>
        </w:rPr>
      </w:r>
    </w:p>
    <w:p>
      <w:pPr>
        <w:pStyle w:val="BodyText"/>
        <w:spacing w:before="0" w:after="0"/>
        <w:rPr>
          <w:rFonts w:ascii="Times New Roman" w:hAnsi="Times New Roman" w:cs="Times New Roman"/>
          <w:sz w:val="24"/>
        </w:rPr>
      </w:pPr>
      <w:r>
        <w:rPr>
          <w:rFonts w:cs="Times New Roman" w:ascii="Times New Roman" w:hAnsi="Times New Roman"/>
          <w:sz w:val="24"/>
        </w:rPr>
      </w:r>
    </w:p>
    <w:p>
      <w:pPr>
        <w:pStyle w:val="BodyText"/>
        <w:spacing w:before="0" w:after="0"/>
        <w:rPr>
          <w:rFonts w:ascii="Times New Roman" w:hAnsi="Times New Roman" w:cs="Times New Roman"/>
          <w:sz w:val="24"/>
        </w:rPr>
      </w:pPr>
      <w:r>
        <w:rPr>
          <w:rFonts w:cs="Times New Roman" w:ascii="Times New Roman" w:hAnsi="Times New Roman"/>
          <w:sz w:val="24"/>
        </w:rPr>
      </w:r>
    </w:p>
    <w:p>
      <w:pPr>
        <w:pStyle w:val="BodyText"/>
        <w:spacing w:before="0" w:after="0"/>
        <w:rPr>
          <w:rFonts w:ascii="Times New Roman" w:hAnsi="Times New Roman" w:cs="Times New Roman"/>
          <w:sz w:val="24"/>
        </w:rPr>
      </w:pPr>
      <w:r>
        <w:rPr>
          <w:rFonts w:cs="Times New Roman" w:ascii="Times New Roman" w:hAnsi="Times New Roman"/>
          <w:sz w:val="24"/>
        </w:rPr>
      </w:r>
    </w:p>
    <w:p>
      <w:pPr>
        <w:pStyle w:val="BodyText"/>
        <w:spacing w:before="0" w:after="0"/>
        <w:rPr>
          <w:rFonts w:ascii="Times New Roman" w:hAnsi="Times New Roman" w:cs="Times New Roman"/>
          <w:sz w:val="24"/>
        </w:rPr>
      </w:pPr>
      <w:r>
        <w:rPr>
          <w:rFonts w:cs="Times New Roman" w:ascii="Times New Roman" w:hAnsi="Times New Roman"/>
          <w:sz w:val="24"/>
        </w:rPr>
      </w:r>
    </w:p>
    <w:p>
      <w:pPr>
        <w:pStyle w:val="BodyText"/>
        <w:spacing w:before="0" w:after="0"/>
        <w:rPr>
          <w:rFonts w:ascii="Times New Roman" w:hAnsi="Times New Roman" w:cs="Times New Roman"/>
          <w:sz w:val="24"/>
        </w:rPr>
      </w:pPr>
      <w:r>
        <w:rPr>
          <w:rFonts w:cs="Times New Roman" w:ascii="Times New Roman" w:hAnsi="Times New Roman"/>
          <w:sz w:val="24"/>
        </w:rPr>
      </w:r>
      <w:r>
        <w:br w:type="page"/>
      </w:r>
    </w:p>
    <w:p>
      <w:pPr>
        <w:pStyle w:val="BodyText"/>
        <w:spacing w:before="0" w:after="0"/>
        <w:rPr>
          <w:rFonts w:ascii="Times New Roman" w:hAnsi="Times New Roman" w:cs="Times New Roman"/>
          <w:sz w:val="24"/>
        </w:rPr>
      </w:pPr>
      <w:r>
        <w:rPr>
          <w:rFonts w:cs="Times New Roman" w:ascii="Times New Roman" w:hAnsi="Times New Roman"/>
          <w:sz w:val="24"/>
        </w:rPr>
      </w:r>
    </w:p>
    <w:p>
      <w:pPr>
        <w:pStyle w:val="BodyText"/>
        <w:spacing w:before="0" w:after="0"/>
        <w:jc w:val="center"/>
        <w:rPr>
          <w:rFonts w:ascii="Times New Roman" w:hAnsi="Times New Roman" w:cs="Times New Roman"/>
          <w:sz w:val="24"/>
        </w:rPr>
      </w:pPr>
      <w:r>
        <w:rPr>
          <w:rFonts w:cs="Times New Roman" w:ascii="Times New Roman" w:hAnsi="Times New Roman"/>
          <w:sz w:val="24"/>
        </w:rPr>
        <w:t>Introduction</w:t>
      </w:r>
    </w:p>
    <w:p>
      <w:pPr>
        <w:pStyle w:val="BodyText"/>
        <w:spacing w:before="0" w:after="0"/>
        <w:rPr>
          <w:rFonts w:ascii="Times New Roman" w:hAnsi="Times New Roman" w:cs="Times New Roman"/>
          <w:sz w:val="24"/>
        </w:rPr>
      </w:pPr>
      <w:r>
        <w:rPr>
          <w:rFonts w:cs="Times New Roman" w:ascii="Times New Roman" w:hAnsi="Times New Roman"/>
          <w:sz w:val="24"/>
        </w:rPr>
      </w:r>
    </w:p>
    <w:p>
      <w:pPr>
        <w:pStyle w:val="BodyText"/>
        <w:spacing w:lineRule="auto" w:line="480" w:before="0" w:after="0"/>
        <w:ind w:firstLine="720" w:end="0"/>
        <w:rPr>
          <w:rFonts w:ascii="Times New Roman" w:hAnsi="Times New Roman" w:cs="Times New Roman"/>
          <w:b w:val="false"/>
          <w:sz w:val="24"/>
        </w:rPr>
      </w:pPr>
      <w:r>
        <w:rPr>
          <w:rFonts w:cs="Times New Roman" w:ascii="Times New Roman" w:hAnsi="Times New Roman"/>
          <w:b w:val="false"/>
          <w:sz w:val="24"/>
        </w:rPr>
        <w:t xml:space="preserve">Enron North America Corp. and Enron Energy Services, Inc. (jointly, "Enron") respectfully submit this testimony in accordance with the Scoping Memo and Ruling issued by Commissioner Bilas on January 20, 2000.  This testimony is sponsored jointly by two Enron witnesses, Susan Mara and Thomas Hoatson, whose background and credentials are attached to this testimony as Exhibit Enron-1.  </w:t>
      </w:r>
    </w:p>
    <w:p>
      <w:pPr>
        <w:pStyle w:val="BodyText"/>
        <w:spacing w:lineRule="auto" w:line="480" w:before="0" w:after="0"/>
        <w:ind w:firstLine="720" w:end="0"/>
        <w:rPr>
          <w:rFonts w:ascii="Times New Roman" w:hAnsi="Times New Roman" w:cs="Times New Roman"/>
          <w:b w:val="false"/>
          <w:sz w:val="24"/>
        </w:rPr>
      </w:pPr>
      <w:r>
        <w:rPr>
          <w:rFonts w:cs="Times New Roman" w:ascii="Times New Roman" w:hAnsi="Times New Roman"/>
          <w:b w:val="false"/>
          <w:sz w:val="24"/>
        </w:rPr>
        <w:t>Enron's testimony addresses two issues.  The first issue is whether UDCs should be required to provide an unbundled distribution wheeling service to facilitate the sale of capacity and energy associated with distributed generation ("DG") resources to wholesale markets and to end-users located on the same or different distribution circuits. The second issue concerns the role that utility distribution companies (“UDCs”) should play with respect to DG, and more specifically, whether UDCs should be permitted to own and operate DG facilities.  Enron's initial testimony on these issues is set forth below.</w:t>
      </w:r>
    </w:p>
    <w:p>
      <w:pPr>
        <w:pStyle w:val="BodyText"/>
        <w:spacing w:lineRule="auto" w:line="480" w:before="0" w:after="0"/>
        <w:ind w:firstLine="720" w:end="0"/>
        <w:rPr>
          <w:rFonts w:ascii="Times New Roman" w:hAnsi="Times New Roman" w:cs="Times New Roman"/>
          <w:b w:val="false"/>
          <w:sz w:val="24"/>
        </w:rPr>
      </w:pPr>
      <w:r>
        <w:rPr>
          <w:rFonts w:cs="Times New Roman" w:ascii="Times New Roman" w:hAnsi="Times New Roman"/>
          <w:b w:val="false"/>
          <w:sz w:val="24"/>
        </w:rPr>
        <w:t xml:space="preserve">                          </w:t>
      </w:r>
    </w:p>
    <w:p>
      <w:pPr>
        <w:pStyle w:val="BodyText"/>
        <w:spacing w:before="0" w:after="0"/>
        <w:jc w:val="center"/>
        <w:rPr>
          <w:rFonts w:ascii="Times New Roman" w:hAnsi="Times New Roman" w:cs="Times New Roman"/>
          <w:sz w:val="24"/>
        </w:rPr>
      </w:pPr>
      <w:r>
        <w:rPr>
          <w:rFonts w:cs="Times New Roman" w:ascii="Times New Roman" w:hAnsi="Times New Roman"/>
          <w:sz w:val="24"/>
        </w:rPr>
        <w:t>Issue 1:  Distribution Wheeling</w:t>
      </w:r>
    </w:p>
    <w:p>
      <w:pPr>
        <w:pStyle w:val="BodyText"/>
        <w:spacing w:before="0" w:after="0"/>
        <w:jc w:val="center"/>
        <w:rPr>
          <w:rFonts w:ascii="Times New Roman" w:hAnsi="Times New Roman" w:cs="Times New Roman"/>
          <w:sz w:val="24"/>
        </w:rPr>
      </w:pPr>
      <w:r>
        <w:rPr>
          <w:rFonts w:cs="Times New Roman" w:ascii="Times New Roman" w:hAnsi="Times New Roman"/>
          <w:sz w:val="24"/>
        </w:rPr>
      </w:r>
    </w:p>
    <w:p>
      <w:pPr>
        <w:pStyle w:val="BodyText"/>
        <w:spacing w:before="0" w:after="0"/>
        <w:rPr>
          <w:rFonts w:ascii="Times New Roman" w:hAnsi="Times New Roman" w:cs="Times New Roman"/>
          <w:b w:val="false"/>
          <w:sz w:val="24"/>
        </w:rPr>
      </w:pPr>
      <w:r>
        <w:rPr>
          <w:rFonts w:cs="Times New Roman" w:ascii="Times New Roman" w:hAnsi="Times New Roman"/>
          <w:sz w:val="24"/>
        </w:rPr>
        <w:t>Summary of Recommendations</w:t>
      </w:r>
    </w:p>
    <w:p>
      <w:pPr>
        <w:pStyle w:val="BodyText"/>
        <w:spacing w:before="0" w:after="0"/>
        <w:rPr>
          <w:rFonts w:ascii="Times New Roman" w:hAnsi="Times New Roman" w:cs="Times New Roman"/>
          <w:b w:val="false"/>
          <w:sz w:val="24"/>
        </w:rPr>
      </w:pPr>
      <w:r>
        <w:rPr>
          <w:rFonts w:cs="Times New Roman" w:ascii="Times New Roman" w:hAnsi="Times New Roman"/>
          <w:b w:val="false"/>
          <w:sz w:val="24"/>
        </w:rPr>
      </w:r>
    </w:p>
    <w:p>
      <w:pPr>
        <w:pStyle w:val="BodyText"/>
        <w:spacing w:lineRule="auto" w:line="480" w:before="0" w:after="0"/>
        <w:ind w:firstLine="720" w:end="0"/>
        <w:rPr>
          <w:rFonts w:ascii="Times New Roman" w:hAnsi="Times New Roman" w:cs="Times New Roman"/>
          <w:b w:val="false"/>
          <w:sz w:val="24"/>
        </w:rPr>
      </w:pPr>
      <w:r>
        <w:rPr>
          <w:rFonts w:cs="Times New Roman" w:ascii="Times New Roman" w:hAnsi="Times New Roman"/>
          <w:b w:val="false"/>
          <w:sz w:val="24"/>
        </w:rPr>
        <w:t>In this portion of this testimony, Enron makes the following recommendations:</w:t>
      </w:r>
    </w:p>
    <w:p>
      <w:pPr>
        <w:pStyle w:val="BodyText"/>
        <w:numPr>
          <w:ilvl w:val="0"/>
          <w:numId w:val="15"/>
        </w:numPr>
        <w:tabs>
          <w:tab w:val="clear" w:pos="720"/>
          <w:tab w:val="left" w:pos="1080" w:leader="none"/>
        </w:tabs>
        <w:spacing w:lineRule="auto" w:line="480" w:before="0" w:after="0"/>
        <w:ind w:hanging="360" w:start="1080" w:end="0"/>
        <w:rPr>
          <w:rFonts w:ascii="Times New Roman" w:hAnsi="Times New Roman" w:cs="Times New Roman"/>
          <w:b w:val="false"/>
          <w:sz w:val="24"/>
        </w:rPr>
      </w:pPr>
      <w:r>
        <w:rPr>
          <w:rFonts w:cs="Times New Roman" w:ascii="Times New Roman" w:hAnsi="Times New Roman"/>
          <w:b w:val="false"/>
          <w:sz w:val="24"/>
        </w:rPr>
        <w:t>DG facilities must have non-discriminatory open access to the UDCs’ distribution systems under terms and conditions defined in a Commission-approved pro-forma open access distribution tariff.</w:t>
      </w:r>
    </w:p>
    <w:p>
      <w:pPr>
        <w:pStyle w:val="BodyText"/>
        <w:numPr>
          <w:ilvl w:val="0"/>
          <w:numId w:val="15"/>
        </w:numPr>
        <w:tabs>
          <w:tab w:val="clear" w:pos="720"/>
          <w:tab w:val="left" w:pos="1080" w:leader="none"/>
        </w:tabs>
        <w:spacing w:lineRule="auto" w:line="480" w:before="0" w:after="0"/>
        <w:ind w:hanging="360" w:start="1080" w:end="0"/>
        <w:rPr>
          <w:rFonts w:ascii="Times New Roman" w:hAnsi="Times New Roman" w:cs="Times New Roman"/>
          <w:b w:val="false"/>
          <w:sz w:val="24"/>
        </w:rPr>
      </w:pPr>
      <w:r>
        <w:rPr>
          <w:rFonts w:cs="Times New Roman" w:ascii="Times New Roman" w:hAnsi="Times New Roman"/>
          <w:b w:val="false"/>
          <w:sz w:val="24"/>
        </w:rPr>
        <w:t>Until UDCs unbundle their merchant functions, they should be subject to a strict code of conduct to counter their inherent internal conflicts of interest.</w:t>
      </w:r>
    </w:p>
    <w:p>
      <w:pPr>
        <w:pStyle w:val="BodyText"/>
        <w:numPr>
          <w:ilvl w:val="0"/>
          <w:numId w:val="15"/>
        </w:numPr>
        <w:tabs>
          <w:tab w:val="clear" w:pos="720"/>
          <w:tab w:val="left" w:pos="1080" w:leader="none"/>
        </w:tabs>
        <w:spacing w:lineRule="auto" w:line="480" w:before="0" w:after="0"/>
        <w:ind w:hanging="360" w:start="1080" w:end="0"/>
        <w:rPr>
          <w:rFonts w:ascii="Times New Roman" w:hAnsi="Times New Roman" w:cs="Times New Roman"/>
          <w:b w:val="false"/>
          <w:sz w:val="24"/>
        </w:rPr>
      </w:pPr>
      <w:r>
        <w:rPr>
          <w:rFonts w:cs="Times New Roman" w:ascii="Times New Roman" w:hAnsi="Times New Roman"/>
          <w:b w:val="false"/>
          <w:sz w:val="24"/>
        </w:rPr>
        <w:t>The Commission should require UDCs to release current information about the distribution system by means of a public and easily accessed platform, such as a web page.</w:t>
      </w:r>
    </w:p>
    <w:p>
      <w:pPr>
        <w:pStyle w:val="BodyText"/>
        <w:numPr>
          <w:ilvl w:val="0"/>
          <w:numId w:val="15"/>
        </w:numPr>
        <w:tabs>
          <w:tab w:val="clear" w:pos="720"/>
          <w:tab w:val="left" w:pos="1080" w:leader="none"/>
        </w:tabs>
        <w:spacing w:lineRule="auto" w:line="480" w:before="0" w:after="0"/>
        <w:ind w:hanging="360" w:start="1080" w:end="0"/>
        <w:rPr>
          <w:rFonts w:ascii="Times New Roman" w:hAnsi="Times New Roman" w:cs="Times New Roman"/>
          <w:b w:val="false"/>
          <w:sz w:val="24"/>
        </w:rPr>
      </w:pPr>
      <w:r>
        <w:rPr>
          <w:rFonts w:cs="Times New Roman" w:ascii="Times New Roman" w:hAnsi="Times New Roman"/>
          <w:b w:val="false"/>
          <w:sz w:val="24"/>
        </w:rPr>
        <w:t>Distribution-only service should be made available in appropriate cases, and should bear charges reflecting that level of service.</w:t>
      </w:r>
    </w:p>
    <w:p>
      <w:pPr>
        <w:pStyle w:val="BodyText"/>
        <w:numPr>
          <w:ilvl w:val="0"/>
          <w:numId w:val="15"/>
        </w:numPr>
        <w:tabs>
          <w:tab w:val="clear" w:pos="720"/>
          <w:tab w:val="left" w:pos="1080" w:leader="none"/>
        </w:tabs>
        <w:spacing w:lineRule="auto" w:line="480" w:before="0" w:after="0"/>
        <w:ind w:hanging="360" w:start="1080" w:end="0"/>
        <w:rPr>
          <w:rFonts w:ascii="Times New Roman" w:hAnsi="Times New Roman" w:cs="Times New Roman"/>
          <w:b w:val="false"/>
          <w:sz w:val="24"/>
        </w:rPr>
      </w:pPr>
      <w:r>
        <w:rPr>
          <w:rFonts w:cs="Times New Roman" w:ascii="Times New Roman" w:hAnsi="Times New Roman"/>
          <w:b w:val="false"/>
          <w:sz w:val="24"/>
        </w:rPr>
        <w:t>Requirements for transmission and distribution markets should be compatible, despite jurisdictional differences.</w:t>
      </w:r>
    </w:p>
    <w:p>
      <w:pPr>
        <w:pStyle w:val="BodyText"/>
        <w:numPr>
          <w:ilvl w:val="0"/>
          <w:numId w:val="15"/>
        </w:numPr>
        <w:tabs>
          <w:tab w:val="clear" w:pos="720"/>
          <w:tab w:val="left" w:pos="1080" w:leader="none"/>
        </w:tabs>
        <w:spacing w:lineRule="auto" w:line="480" w:before="0" w:after="0"/>
        <w:ind w:hanging="360" w:start="1080" w:end="0"/>
        <w:rPr>
          <w:rFonts w:ascii="Times New Roman" w:hAnsi="Times New Roman" w:cs="Times New Roman"/>
          <w:b w:val="false"/>
          <w:sz w:val="24"/>
        </w:rPr>
      </w:pPr>
      <w:r>
        <w:rPr>
          <w:rFonts w:cs="Times New Roman" w:ascii="Times New Roman" w:hAnsi="Times New Roman"/>
          <w:b w:val="false"/>
          <w:sz w:val="24"/>
        </w:rPr>
        <w:t>Locational market power is not likely to arise at the distribution level.</w:t>
      </w:r>
    </w:p>
    <w:p>
      <w:pPr>
        <w:pStyle w:val="BodyText"/>
        <w:spacing w:lineRule="auto" w:line="480" w:before="0" w:after="0"/>
        <w:rPr>
          <w:rFonts w:ascii="Times New Roman" w:hAnsi="Times New Roman" w:cs="Times New Roman"/>
          <w:b w:val="false"/>
          <w:sz w:val="24"/>
        </w:rPr>
      </w:pPr>
      <w:r>
        <w:rPr>
          <w:rFonts w:cs="Times New Roman" w:ascii="Times New Roman" w:hAnsi="Times New Roman"/>
          <w:b w:val="false"/>
          <w:sz w:val="24"/>
        </w:rPr>
        <w:t>These points are developed more fully in the following sections.</w:t>
      </w:r>
    </w:p>
    <w:p>
      <w:pPr>
        <w:pStyle w:val="BodyText"/>
        <w:spacing w:lineRule="auto" w:line="480" w:before="0" w:after="0"/>
        <w:rPr>
          <w:rFonts w:ascii="Times New Roman" w:hAnsi="Times New Roman" w:cs="Times New Roman"/>
          <w:b w:val="false"/>
          <w:sz w:val="24"/>
        </w:rPr>
      </w:pPr>
      <w:r>
        <w:rPr>
          <w:rFonts w:cs="Times New Roman" w:ascii="Times New Roman" w:hAnsi="Times New Roman"/>
          <w:b w:val="false"/>
          <w:sz w:val="24"/>
        </w:rPr>
      </w:r>
    </w:p>
    <w:p>
      <w:pPr>
        <w:pStyle w:val="BodyText"/>
        <w:numPr>
          <w:ilvl w:val="0"/>
          <w:numId w:val="18"/>
        </w:numPr>
        <w:tabs>
          <w:tab w:val="left" w:pos="720" w:leader="none"/>
        </w:tabs>
        <w:spacing w:before="0" w:after="0"/>
        <w:ind w:hanging="360" w:start="720" w:end="0"/>
        <w:rPr>
          <w:rFonts w:ascii="Times New Roman" w:hAnsi="Times New Roman" w:cs="Times New Roman"/>
          <w:b w:val="false"/>
          <w:i/>
          <w:i/>
          <w:sz w:val="24"/>
        </w:rPr>
      </w:pPr>
      <w:r>
        <w:rPr>
          <w:rFonts w:cs="Times New Roman" w:ascii="Times New Roman" w:hAnsi="Times New Roman"/>
          <w:i/>
          <w:sz w:val="24"/>
        </w:rPr>
        <w:t>Market participants should be granted non-discriminatory and open access to the UDCs' distribution systems</w:t>
      </w:r>
    </w:p>
    <w:p>
      <w:pPr>
        <w:pStyle w:val="BodyText"/>
        <w:spacing w:before="0" w:after="0"/>
        <w:rPr>
          <w:rFonts w:ascii="Times New Roman" w:hAnsi="Times New Roman" w:cs="Times New Roman"/>
          <w:b w:val="false"/>
          <w:i/>
          <w:i/>
          <w:sz w:val="24"/>
        </w:rPr>
      </w:pPr>
      <w:r>
        <w:rPr>
          <w:rFonts w:cs="Times New Roman" w:ascii="Times New Roman" w:hAnsi="Times New Roman"/>
          <w:b w:val="false"/>
          <w:i/>
          <w:sz w:val="24"/>
        </w:rPr>
      </w:r>
    </w:p>
    <w:p>
      <w:pPr>
        <w:pStyle w:val="BodyText"/>
        <w:spacing w:lineRule="auto" w:line="480" w:before="0" w:after="0"/>
        <w:ind w:firstLine="720" w:end="0"/>
        <w:rPr>
          <w:rFonts w:ascii="Times New Roman" w:hAnsi="Times New Roman" w:cs="Times New Roman"/>
          <w:b w:val="false"/>
          <w:sz w:val="24"/>
        </w:rPr>
      </w:pPr>
      <w:r>
        <w:rPr>
          <w:rFonts w:cs="Times New Roman" w:ascii="Times New Roman" w:hAnsi="Times New Roman"/>
          <w:b w:val="false"/>
          <w:sz w:val="24"/>
        </w:rPr>
        <w:t xml:space="preserve">Competitive markets bring benefits to consumers through lower prices and innovation.  A competitive market requires access to information, access to customers and the absence of artificial entry barriers.  California clearly has begun to develop a strong competitive market for wholesale transactions on the transmission system.  Yet, additional work remains to establish competitive retail markets.  The focus of that work should include the development of nondiscriminatory, open access distribution service.   </w:t>
      </w:r>
    </w:p>
    <w:p>
      <w:pPr>
        <w:pStyle w:val="BodyText"/>
        <w:spacing w:lineRule="auto" w:line="480" w:before="0" w:after="0"/>
        <w:ind w:firstLine="720" w:end="0"/>
        <w:rPr>
          <w:rFonts w:ascii="Times New Roman" w:hAnsi="Times New Roman" w:cs="Times New Roman"/>
          <w:b w:val="false"/>
          <w:sz w:val="24"/>
        </w:rPr>
      </w:pPr>
      <w:r>
        <w:rPr>
          <w:rFonts w:cs="Times New Roman" w:ascii="Times New Roman" w:hAnsi="Times New Roman"/>
          <w:b w:val="false"/>
          <w:sz w:val="24"/>
        </w:rPr>
        <w:t>As the promise of DG takes hold in California, developers, energy service providers and customers are confronted with a system in which the UDCs have positioned  themselves as active competitors in this new market while at the same time controlling access to the distribution grid.  These kinds of conflicts of interest in the wholesale market led the Federal Energy Regulatory Commission (“FERC”) to make dramatic changes in the wholesale markets it regulates.  For natural gas, the FERC required pipelines to exit the merchant business – the business of selling commodity to customers – and to become pure delivery, or “pipes”, companies.  For electricity, the FERC required transmission-owning utilities to adopt a pro-forma tariff to provide open access to all users; implement a bulletin board containing current data on the transmission system and the wheeling being offered; and abide by a strict code of conduct to separate their wires functions from their wholesale sales functions.  These FERC actions were designed to create a competitive wholesale market through open access.</w:t>
      </w:r>
    </w:p>
    <w:p>
      <w:pPr>
        <w:pStyle w:val="BodyText"/>
        <w:spacing w:lineRule="auto" w:line="480" w:before="0" w:after="0"/>
        <w:ind w:firstLine="720" w:end="0"/>
        <w:rPr>
          <w:rFonts w:ascii="Times New Roman" w:hAnsi="Times New Roman" w:cs="Times New Roman"/>
          <w:b w:val="false"/>
          <w:sz w:val="24"/>
        </w:rPr>
      </w:pPr>
      <w:r>
        <w:rPr>
          <w:rFonts w:cs="Times New Roman" w:ascii="Times New Roman" w:hAnsi="Times New Roman"/>
          <w:b w:val="false"/>
          <w:sz w:val="24"/>
        </w:rPr>
        <w:t>The same conditions that led FERC to take its actions are present today on the distribution system.  The distribution system is currently a monopoly owned, operated and maintained by the UDCs.  Customers want the option of buying from alternative suppliers.  DG developers and energy service providers (“ESPs”) want to bring innovation to customers, but to do so need non-discriminatory, open and comparable access to the distribution system.  Until the UDCs’ merchant functions are unbundled from their wires businesses, a pro-forma tariff, public release of distribution system information and a strict code of conduct are needed to achieve open access.</w:t>
      </w:r>
    </w:p>
    <w:p>
      <w:pPr>
        <w:pStyle w:val="BodyText"/>
        <w:numPr>
          <w:ilvl w:val="0"/>
          <w:numId w:val="11"/>
        </w:numPr>
        <w:tabs>
          <w:tab w:val="left" w:pos="720" w:leader="none"/>
        </w:tabs>
        <w:spacing w:before="0" w:after="0"/>
        <w:ind w:hanging="360" w:start="720" w:end="0"/>
        <w:rPr>
          <w:rFonts w:ascii="Times New Roman" w:hAnsi="Times New Roman" w:cs="Times New Roman"/>
          <w:i/>
          <w:i/>
          <w:sz w:val="24"/>
        </w:rPr>
      </w:pPr>
      <w:r>
        <w:rPr>
          <w:rFonts w:cs="Times New Roman" w:ascii="Times New Roman" w:hAnsi="Times New Roman"/>
          <w:i/>
          <w:sz w:val="24"/>
        </w:rPr>
        <w:t>Comparability of service requires a statewide, uniform open access distribution tariff</w:t>
      </w:r>
    </w:p>
    <w:p>
      <w:pPr>
        <w:pStyle w:val="BodyText"/>
        <w:spacing w:before="0" w:after="0"/>
        <w:rPr>
          <w:rFonts w:ascii="Times New Roman" w:hAnsi="Times New Roman" w:cs="Times New Roman"/>
          <w:b w:val="false"/>
          <w:i/>
          <w:i/>
          <w:sz w:val="24"/>
        </w:rPr>
      </w:pPr>
      <w:r>
        <w:rPr>
          <w:rFonts w:cs="Times New Roman" w:ascii="Times New Roman" w:hAnsi="Times New Roman"/>
          <w:b w:val="false"/>
          <w:i/>
          <w:sz w:val="24"/>
        </w:rPr>
      </w:r>
    </w:p>
    <w:p>
      <w:pPr>
        <w:pStyle w:val="BodyText"/>
        <w:spacing w:lineRule="auto" w:line="480" w:before="0" w:after="0"/>
        <w:ind w:firstLine="720" w:end="0"/>
        <w:rPr>
          <w:rFonts w:ascii="Times New Roman" w:hAnsi="Times New Roman" w:cs="Times New Roman"/>
          <w:b w:val="false"/>
          <w:sz w:val="24"/>
        </w:rPr>
      </w:pPr>
      <w:r>
        <w:rPr>
          <w:rFonts w:cs="Times New Roman" w:ascii="Times New Roman" w:hAnsi="Times New Roman"/>
          <w:b w:val="false"/>
          <w:sz w:val="24"/>
        </w:rPr>
        <w:t>This Commission previously recognized the need for a uniform pro-forma tariff in the proceeding on direct access implementation.  There the Commission said:</w:t>
      </w:r>
    </w:p>
    <w:p>
      <w:pPr>
        <w:pStyle w:val="BodyText"/>
        <w:spacing w:before="0" w:after="0"/>
        <w:ind w:start="720" w:end="720"/>
        <w:rPr>
          <w:rFonts w:ascii="Times New Roman" w:hAnsi="Times New Roman" w:cs="Times New Roman"/>
          <w:b w:val="false"/>
          <w:sz w:val="24"/>
        </w:rPr>
      </w:pPr>
      <w:r>
        <w:rPr>
          <w:rFonts w:cs="Times New Roman" w:ascii="Times New Roman" w:hAnsi="Times New Roman"/>
          <w:b w:val="false"/>
          <w:sz w:val="24"/>
        </w:rPr>
        <w:t>“…</w:t>
      </w:r>
      <w:r>
        <w:rPr>
          <w:rFonts w:cs="Times New Roman" w:ascii="Times New Roman" w:hAnsi="Times New Roman"/>
          <w:b w:val="false"/>
          <w:sz w:val="24"/>
        </w:rPr>
        <w:t xml:space="preserve">(W)e have attempted to move toward the use of a uniform direct access tariff for statewide use  .  .  .   Such a tariff will eliminate inconsistent and differing rules among the utilities.”   </w:t>
      </w:r>
    </w:p>
    <w:p>
      <w:pPr>
        <w:pStyle w:val="BodyText"/>
        <w:spacing w:before="0" w:after="0"/>
        <w:ind w:end="720"/>
        <w:rPr>
          <w:rFonts w:ascii="Times New Roman" w:hAnsi="Times New Roman" w:cs="Times New Roman"/>
          <w:b w:val="false"/>
          <w:sz w:val="24"/>
        </w:rPr>
      </w:pPr>
      <w:r>
        <w:rPr>
          <w:rFonts w:cs="Times New Roman" w:ascii="Times New Roman" w:hAnsi="Times New Roman"/>
          <w:b w:val="false"/>
          <w:sz w:val="24"/>
        </w:rPr>
      </w:r>
    </w:p>
    <w:p>
      <w:pPr>
        <w:pStyle w:val="BodyText"/>
        <w:spacing w:lineRule="auto" w:line="480" w:before="0" w:after="0"/>
        <w:ind w:end="720"/>
        <w:rPr>
          <w:rFonts w:ascii="Times New Roman" w:hAnsi="Times New Roman" w:cs="Times New Roman"/>
          <w:b w:val="false"/>
          <w:sz w:val="24"/>
        </w:rPr>
      </w:pPr>
      <w:r>
        <w:rPr>
          <w:rFonts w:cs="Times New Roman" w:ascii="Times New Roman" w:hAnsi="Times New Roman"/>
          <w:b w:val="false"/>
          <w:sz w:val="24"/>
        </w:rPr>
        <w:t xml:space="preserve">Decision 97-10-087, page 2.  In that decision, the Commission adopted a uniform tariff (with slight variations by utility), which it created from the proposals offered by interested parties. The tariff covers many aspects of direct access: how customers switch, release of customer data, obligations of energy service providers and the like.  Distribution service is also mentioned briefly in one provision.  Section B.2.d, “General Obligations of UDCs,” states:  </w:t>
      </w:r>
    </w:p>
    <w:p>
      <w:pPr>
        <w:pStyle w:val="BodyText"/>
        <w:spacing w:before="0" w:after="0"/>
        <w:ind w:start="720" w:end="720"/>
        <w:rPr>
          <w:rFonts w:ascii="Times New Roman" w:hAnsi="Times New Roman" w:cs="Times New Roman"/>
          <w:b w:val="false"/>
          <w:sz w:val="24"/>
        </w:rPr>
      </w:pPr>
      <w:r>
        <w:rPr>
          <w:rFonts w:cs="Times New Roman" w:ascii="Times New Roman" w:hAnsi="Times New Roman"/>
          <w:b w:val="false"/>
          <w:sz w:val="24"/>
        </w:rPr>
        <w:t>“…</w:t>
      </w:r>
      <w:r>
        <w:rPr>
          <w:rFonts w:cs="Times New Roman" w:ascii="Times New Roman" w:hAnsi="Times New Roman"/>
          <w:b w:val="false"/>
          <w:sz w:val="24"/>
        </w:rPr>
        <w:t>(T)he UDC will provide … distribution services under applicable tariffs and contracts for delivery of electric power to Direct Access customers.”</w:t>
      </w:r>
    </w:p>
    <w:p>
      <w:pPr>
        <w:pStyle w:val="BodyText"/>
        <w:spacing w:before="0" w:after="0"/>
        <w:ind w:start="720" w:end="0"/>
        <w:rPr>
          <w:rFonts w:ascii="Times New Roman" w:hAnsi="Times New Roman" w:cs="Times New Roman"/>
          <w:b w:val="false"/>
          <w:sz w:val="24"/>
        </w:rPr>
      </w:pPr>
      <w:r>
        <w:rPr>
          <w:rFonts w:cs="Times New Roman" w:ascii="Times New Roman" w:hAnsi="Times New Roman"/>
          <w:b w:val="false"/>
          <w:sz w:val="24"/>
        </w:rPr>
      </w:r>
    </w:p>
    <w:p>
      <w:pPr>
        <w:pStyle w:val="BodyText"/>
        <w:spacing w:lineRule="auto" w:line="480" w:before="0" w:after="0"/>
        <w:rPr>
          <w:rFonts w:ascii="Times New Roman" w:hAnsi="Times New Roman" w:cs="Times New Roman"/>
          <w:b w:val="false"/>
          <w:sz w:val="24"/>
        </w:rPr>
      </w:pPr>
      <w:r>
        <w:rPr>
          <w:rFonts w:cs="Times New Roman" w:ascii="Times New Roman" w:hAnsi="Times New Roman"/>
          <w:b w:val="false"/>
          <w:sz w:val="24"/>
        </w:rPr>
        <w:t>With the advent of a whole new class of suppliers, called Distributed Generators, California should turn its focus to the goal of non-discriminatory, comparable open access to the distribution system.  Specific provisions covering the terms and conditions of such open access should be incorporated into the Direct Access Tariff.</w:t>
      </w:r>
    </w:p>
    <w:p>
      <w:pPr>
        <w:pStyle w:val="BodyText"/>
        <w:spacing w:lineRule="auto" w:line="480" w:before="0" w:after="0"/>
        <w:ind w:firstLine="720" w:end="0"/>
        <w:rPr>
          <w:rFonts w:ascii="Times New Roman" w:hAnsi="Times New Roman" w:cs="Times New Roman"/>
          <w:b w:val="false"/>
          <w:sz w:val="24"/>
        </w:rPr>
      </w:pPr>
      <w:r>
        <w:rPr>
          <w:rFonts w:cs="Times New Roman" w:ascii="Times New Roman" w:hAnsi="Times New Roman"/>
          <w:b w:val="false"/>
          <w:sz w:val="24"/>
        </w:rPr>
        <w:t xml:space="preserve">The California UDCs have wholesale distribution tariffs already on file.  Those tariffs are the subject of litigation at the FERC (Docket No. ER97-2358).  Thus, the UDCs have already taken the step to provide distribution service to some market participants.  Those tariffs should serve as a template for a retail distribution tariff based on the FERC point-to-point transmission tariff.  For the portions of the distribution system that are configured in a network, the FERC network transmission service tariff can provide the basis for that service.  Enron recommends that the Commission direct the Commission's Energy Division to convene workshops June 1 with the goal of building an open access distribution tariff for California modeled on the FERC's wholesale tariffs.  </w:t>
      </w:r>
    </w:p>
    <w:p>
      <w:pPr>
        <w:pStyle w:val="BodyText"/>
        <w:numPr>
          <w:ilvl w:val="0"/>
          <w:numId w:val="14"/>
        </w:numPr>
        <w:tabs>
          <w:tab w:val="left" w:pos="720" w:leader="none"/>
        </w:tabs>
        <w:spacing w:before="0" w:after="0"/>
        <w:ind w:hanging="360" w:start="720" w:end="0"/>
        <w:rPr>
          <w:rFonts w:ascii="Times New Roman" w:hAnsi="Times New Roman" w:cs="Times New Roman"/>
          <w:i/>
          <w:i/>
          <w:sz w:val="24"/>
        </w:rPr>
      </w:pPr>
      <w:r>
        <w:rPr>
          <w:rFonts w:cs="Times New Roman" w:ascii="Times New Roman" w:hAnsi="Times New Roman"/>
          <w:i/>
          <w:sz w:val="24"/>
        </w:rPr>
        <w:t xml:space="preserve">A pro-forma, open access distribution tariff is key to establishing a market for Distributed Generation. </w:t>
      </w:r>
    </w:p>
    <w:p>
      <w:pPr>
        <w:pStyle w:val="BodyText"/>
        <w:spacing w:before="0" w:after="0"/>
        <w:rPr>
          <w:rFonts w:ascii="Times New Roman" w:hAnsi="Times New Roman" w:cs="Times New Roman"/>
          <w:b w:val="false"/>
          <w:i/>
          <w:i/>
          <w:sz w:val="24"/>
          <w:u w:val="single"/>
        </w:rPr>
      </w:pPr>
      <w:r>
        <w:rPr>
          <w:rFonts w:cs="Times New Roman" w:ascii="Times New Roman" w:hAnsi="Times New Roman"/>
          <w:b w:val="false"/>
          <w:i/>
          <w:sz w:val="24"/>
          <w:u w:val="single"/>
        </w:rPr>
      </w:r>
    </w:p>
    <w:p>
      <w:pPr>
        <w:pStyle w:val="BodyText"/>
        <w:spacing w:lineRule="auto" w:line="480" w:before="0" w:after="0"/>
        <w:ind w:firstLine="720" w:end="0"/>
        <w:rPr>
          <w:rFonts w:ascii="Times New Roman" w:hAnsi="Times New Roman" w:cs="Times New Roman"/>
          <w:b w:val="false"/>
          <w:sz w:val="24"/>
        </w:rPr>
      </w:pPr>
      <w:r>
        <w:rPr>
          <w:rFonts w:cs="Times New Roman" w:ascii="Times New Roman" w:hAnsi="Times New Roman"/>
          <w:b w:val="false"/>
          <w:sz w:val="24"/>
        </w:rPr>
        <w:t>At present, the distribution system is a monopoly owned and operated by the UDCs.  Distributed Generators, ESPs and direct access customers need access to it.  The pro-forma tariff is the key to providing open, nondiscriminatory access to distribution service.</w:t>
      </w:r>
    </w:p>
    <w:p>
      <w:pPr>
        <w:pStyle w:val="BodyText"/>
        <w:spacing w:lineRule="auto" w:line="480" w:before="0" w:after="0"/>
        <w:ind w:firstLine="720" w:end="0"/>
        <w:rPr>
          <w:rFonts w:ascii="Times New Roman" w:hAnsi="Times New Roman" w:cs="Times New Roman"/>
          <w:b w:val="false"/>
          <w:sz w:val="24"/>
        </w:rPr>
      </w:pPr>
      <w:r>
        <w:rPr>
          <w:rFonts w:cs="Times New Roman" w:ascii="Times New Roman" w:hAnsi="Times New Roman"/>
          <w:b w:val="false"/>
          <w:sz w:val="24"/>
        </w:rPr>
        <w:t xml:space="preserve">This approach is consistent with the FERC’s decision to order all transmission-owning utilities to adopt a single, nationwide, pro-forma tariff.  In advancing this approach, FERC concluded: </w:t>
      </w:r>
    </w:p>
    <w:p>
      <w:pPr>
        <w:pStyle w:val="BodyText"/>
        <w:spacing w:before="0" w:after="0"/>
        <w:ind w:start="720" w:end="720"/>
        <w:rPr>
          <w:rFonts w:ascii="Times New Roman" w:hAnsi="Times New Roman" w:cs="Times New Roman"/>
          <w:b w:val="false"/>
          <w:sz w:val="24"/>
        </w:rPr>
      </w:pPr>
      <w:r>
        <w:rPr>
          <w:rFonts w:cs="Times New Roman" w:ascii="Times New Roman" w:hAnsi="Times New Roman"/>
          <w:b w:val="false"/>
          <w:sz w:val="24"/>
        </w:rPr>
        <w:t>“</w:t>
      </w:r>
      <w:r>
        <w:rPr>
          <w:rFonts w:cs="Times New Roman" w:ascii="Times New Roman" w:hAnsi="Times New Roman"/>
          <w:b w:val="false"/>
          <w:sz w:val="24"/>
        </w:rPr>
        <w:t>...potential benefits to the Nation’s electricity consumers and the economy as a whole confirm the need to take generic action to remove barriers to competition.”  (Order 888, 18 CFR Parts 35 and 385, Docket Nos.  RM95-8-000 and RM94-7-001, Final Rule, April 24, 1996, at 760680)</w:t>
      </w:r>
    </w:p>
    <w:p>
      <w:pPr>
        <w:pStyle w:val="BodyText"/>
        <w:spacing w:before="0" w:after="0"/>
        <w:ind w:start="720" w:end="720"/>
        <w:rPr>
          <w:rFonts w:ascii="Times New Roman" w:hAnsi="Times New Roman" w:cs="Times New Roman"/>
          <w:b w:val="false"/>
          <w:sz w:val="24"/>
        </w:rPr>
      </w:pPr>
      <w:r>
        <w:rPr>
          <w:rFonts w:cs="Times New Roman" w:ascii="Times New Roman" w:hAnsi="Times New Roman"/>
          <w:b w:val="false"/>
          <w:sz w:val="24"/>
        </w:rPr>
      </w:r>
    </w:p>
    <w:p>
      <w:pPr>
        <w:pStyle w:val="BodyText"/>
        <w:spacing w:before="0" w:after="0"/>
        <w:rPr>
          <w:rFonts w:ascii="Times New Roman" w:hAnsi="Times New Roman" w:cs="Times New Roman"/>
          <w:b w:val="false"/>
          <w:sz w:val="24"/>
        </w:rPr>
      </w:pPr>
      <w:r>
        <w:rPr>
          <w:rFonts w:cs="Times New Roman" w:ascii="Times New Roman" w:hAnsi="Times New Roman"/>
          <w:b w:val="false"/>
          <w:sz w:val="24"/>
        </w:rPr>
        <w:t>Specifically, FERC found:</w:t>
      </w:r>
    </w:p>
    <w:p>
      <w:pPr>
        <w:pStyle w:val="BodyText"/>
        <w:spacing w:before="0" w:after="0"/>
        <w:rPr>
          <w:rFonts w:ascii="Times New Roman" w:hAnsi="Times New Roman" w:cs="Times New Roman"/>
          <w:b w:val="false"/>
          <w:sz w:val="24"/>
        </w:rPr>
      </w:pPr>
      <w:r>
        <w:rPr>
          <w:rFonts w:cs="Times New Roman" w:ascii="Times New Roman" w:hAnsi="Times New Roman"/>
          <w:b w:val="false"/>
          <w:sz w:val="24"/>
        </w:rPr>
      </w:r>
    </w:p>
    <w:p>
      <w:pPr>
        <w:pStyle w:val="BodyText"/>
        <w:spacing w:before="0" w:after="0"/>
        <w:ind w:start="720" w:end="720"/>
        <w:rPr>
          <w:rFonts w:ascii="Times New Roman" w:hAnsi="Times New Roman" w:cs="Times New Roman"/>
          <w:b w:val="false"/>
          <w:sz w:val="24"/>
        </w:rPr>
      </w:pPr>
      <w:r>
        <w:rPr>
          <w:rFonts w:cs="Times New Roman" w:ascii="Times New Roman" w:hAnsi="Times New Roman"/>
          <w:b w:val="false"/>
          <w:sz w:val="24"/>
        </w:rPr>
        <w:t>“</w:t>
      </w:r>
      <w:r>
        <w:rPr>
          <w:rFonts w:cs="Times New Roman" w:ascii="Times New Roman" w:hAnsi="Times New Roman"/>
          <w:b w:val="false"/>
          <w:sz w:val="24"/>
        </w:rPr>
        <w:t xml:space="preserve">In this Rule, the Commission seeks to remedy both existing and future undue discrimination in the industry and realize the significant customer benefits that will come with open access...  We have learned from the experience in the natural gas area the importance of addressing competitive transition issues early and with as much certainty to market participants as possible.  Accordingly, ... the Commission...:  requires all public utilities that own, control or operate facilities used for transmitting electric energy...  </w:t>
      </w:r>
    </w:p>
    <w:p>
      <w:pPr>
        <w:pStyle w:val="BodyText"/>
        <w:spacing w:before="0" w:after="0"/>
        <w:ind w:start="720" w:end="720"/>
        <w:rPr>
          <w:rFonts w:ascii="Times New Roman" w:hAnsi="Times New Roman" w:cs="Times New Roman"/>
          <w:b w:val="false"/>
          <w:sz w:val="24"/>
        </w:rPr>
      </w:pPr>
      <w:r>
        <w:rPr>
          <w:rFonts w:cs="Times New Roman" w:ascii="Times New Roman" w:hAnsi="Times New Roman"/>
          <w:b w:val="false"/>
          <w:sz w:val="24"/>
        </w:rPr>
      </w:r>
    </w:p>
    <w:p>
      <w:pPr>
        <w:pStyle w:val="BodyText"/>
        <w:numPr>
          <w:ilvl w:val="0"/>
          <w:numId w:val="9"/>
        </w:numPr>
        <w:tabs>
          <w:tab w:val="clear" w:pos="720"/>
          <w:tab w:val="left" w:pos="1080" w:leader="none"/>
        </w:tabs>
        <w:spacing w:before="0" w:after="0"/>
        <w:ind w:hanging="360" w:start="1080" w:end="720"/>
        <w:rPr>
          <w:rFonts w:ascii="Times New Roman" w:hAnsi="Times New Roman" w:cs="Times New Roman"/>
          <w:b w:val="false"/>
          <w:sz w:val="24"/>
        </w:rPr>
      </w:pPr>
      <w:r>
        <w:rPr>
          <w:rFonts w:cs="Times New Roman" w:ascii="Times New Roman" w:hAnsi="Times New Roman"/>
          <w:b w:val="false"/>
          <w:sz w:val="24"/>
        </w:rPr>
        <w:t xml:space="preserve">to file open-access non-discriminatory transmission  tariffs that contain minimum terms and conditions of non-discriminatory service ;  </w:t>
      </w:r>
    </w:p>
    <w:p>
      <w:pPr>
        <w:pStyle w:val="BodyText"/>
        <w:numPr>
          <w:ilvl w:val="0"/>
          <w:numId w:val="9"/>
        </w:numPr>
        <w:tabs>
          <w:tab w:val="clear" w:pos="720"/>
          <w:tab w:val="left" w:pos="1080" w:leader="none"/>
        </w:tabs>
        <w:spacing w:before="0" w:after="0"/>
        <w:ind w:hanging="360" w:start="1080" w:end="720"/>
        <w:rPr>
          <w:rFonts w:ascii="Times New Roman" w:hAnsi="Times New Roman" w:cs="Times New Roman"/>
          <w:b w:val="false"/>
          <w:sz w:val="24"/>
        </w:rPr>
      </w:pPr>
      <w:r>
        <w:rPr>
          <w:rFonts w:cs="Times New Roman" w:ascii="Times New Roman" w:hAnsi="Times New Roman"/>
          <w:b w:val="false"/>
          <w:sz w:val="24"/>
        </w:rPr>
        <w:t>to take transmission service (including ancillary services) for their own new wholesale sales and purchases of electric energy under the open access tariffs;</w:t>
      </w:r>
    </w:p>
    <w:p>
      <w:pPr>
        <w:pStyle w:val="BodyText"/>
        <w:numPr>
          <w:ilvl w:val="0"/>
          <w:numId w:val="9"/>
        </w:numPr>
        <w:tabs>
          <w:tab w:val="clear" w:pos="720"/>
          <w:tab w:val="left" w:pos="1080" w:leader="none"/>
        </w:tabs>
        <w:spacing w:before="0" w:after="0"/>
        <w:ind w:hanging="360" w:start="1080" w:end="720"/>
        <w:rPr>
          <w:rFonts w:ascii="Times New Roman" w:hAnsi="Times New Roman" w:cs="Times New Roman"/>
          <w:b w:val="false"/>
          <w:sz w:val="24"/>
        </w:rPr>
      </w:pPr>
      <w:r>
        <w:rPr>
          <w:rFonts w:cs="Times New Roman" w:ascii="Times New Roman" w:hAnsi="Times New Roman"/>
          <w:b w:val="false"/>
          <w:sz w:val="24"/>
        </w:rPr>
        <w:t>to develop and maintain a same-time information system that will give existing and potential transmission users the same access to transmission information that the public utility enjoys  .  .  .  ”</w:t>
      </w:r>
    </w:p>
    <w:p>
      <w:pPr>
        <w:pStyle w:val="BodyText"/>
        <w:spacing w:before="0" w:after="0"/>
        <w:ind w:end="720"/>
        <w:rPr>
          <w:rFonts w:ascii="Times New Roman" w:hAnsi="Times New Roman" w:cs="Times New Roman"/>
          <w:b w:val="false"/>
          <w:sz w:val="24"/>
        </w:rPr>
      </w:pPr>
      <w:r>
        <w:rPr>
          <w:rFonts w:cs="Times New Roman" w:ascii="Times New Roman" w:hAnsi="Times New Roman"/>
          <w:b w:val="false"/>
          <w:sz w:val="24"/>
        </w:rPr>
      </w:r>
    </w:p>
    <w:p>
      <w:pPr>
        <w:pStyle w:val="BodyText"/>
        <w:spacing w:lineRule="auto" w:line="480" w:before="0" w:after="0"/>
        <w:ind w:end="720"/>
        <w:rPr>
          <w:rFonts w:ascii="Times New Roman" w:hAnsi="Times New Roman" w:cs="Times New Roman"/>
          <w:b w:val="false"/>
          <w:sz w:val="24"/>
        </w:rPr>
      </w:pPr>
      <w:r>
        <w:rPr>
          <w:rFonts w:cs="Times New Roman" w:ascii="Times New Roman" w:hAnsi="Times New Roman"/>
          <w:b w:val="false"/>
          <w:sz w:val="24"/>
        </w:rPr>
        <w:t>Id. at 76032 – 760633.  The development of DG and a new category of suppliers, ESPs, requires the same.  A uniform, statewide pro-forma distribution tariff provides the essential foundation the market needs to flourish -- certainty and reduced entry barriers.</w:t>
      </w:r>
    </w:p>
    <w:p>
      <w:pPr>
        <w:pStyle w:val="BodyText"/>
        <w:numPr>
          <w:ilvl w:val="0"/>
          <w:numId w:val="5"/>
        </w:numPr>
        <w:tabs>
          <w:tab w:val="left" w:pos="720" w:leader="none"/>
        </w:tabs>
        <w:spacing w:before="0" w:after="0"/>
        <w:ind w:hanging="360" w:start="720" w:end="0"/>
        <w:rPr>
          <w:rFonts w:ascii="Times New Roman" w:hAnsi="Times New Roman" w:cs="Times New Roman"/>
          <w:i/>
          <w:i/>
          <w:sz w:val="24"/>
        </w:rPr>
      </w:pPr>
      <w:r>
        <w:rPr>
          <w:rFonts w:cs="Times New Roman" w:ascii="Times New Roman" w:hAnsi="Times New Roman"/>
          <w:i/>
          <w:sz w:val="24"/>
        </w:rPr>
        <w:t>Distribution-only service should be available to maximize flexibility for customers – not as a cost-avoidance technique.</w:t>
      </w:r>
    </w:p>
    <w:p>
      <w:pPr>
        <w:pStyle w:val="BodyText"/>
        <w:spacing w:before="0" w:after="0"/>
        <w:rPr>
          <w:rFonts w:ascii="Times New Roman" w:hAnsi="Times New Roman" w:cs="Times New Roman"/>
          <w:b w:val="false"/>
          <w:i/>
          <w:i/>
          <w:sz w:val="24"/>
          <w:u w:val="single"/>
        </w:rPr>
      </w:pPr>
      <w:r>
        <w:rPr>
          <w:rFonts w:cs="Times New Roman" w:ascii="Times New Roman" w:hAnsi="Times New Roman"/>
          <w:b w:val="false"/>
          <w:i/>
          <w:sz w:val="24"/>
          <w:u w:val="single"/>
        </w:rPr>
      </w:r>
    </w:p>
    <w:p>
      <w:pPr>
        <w:pStyle w:val="BodyText"/>
        <w:spacing w:lineRule="auto" w:line="480" w:before="0" w:after="0"/>
        <w:ind w:firstLine="720" w:end="0"/>
        <w:rPr>
          <w:rFonts w:ascii="Times New Roman" w:hAnsi="Times New Roman" w:cs="Times New Roman"/>
          <w:b w:val="false"/>
          <w:sz w:val="24"/>
        </w:rPr>
      </w:pPr>
      <w:r>
        <w:rPr>
          <w:rFonts w:cs="Times New Roman" w:ascii="Times New Roman" w:hAnsi="Times New Roman"/>
          <w:b w:val="false"/>
          <w:sz w:val="24"/>
        </w:rPr>
        <w:t xml:space="preserve">Notwithstanding the immediate need for an open access distribution tariff, Enron recognizes that, in many cases, DG facilities will need both distribution and transmission service to meet their needs.  Nonetheless, Enron believes that distribution-only service exists and may be particularly appropriate for some DG situations.  One example of such a case might be a McDonalds that installs a DG facility and wants to wheel its excess power to another McDonalds nearby to which it has a physical connection through the distribution system.  </w:t>
      </w:r>
    </w:p>
    <w:p>
      <w:pPr>
        <w:pStyle w:val="BodyText"/>
        <w:spacing w:lineRule="auto" w:line="480" w:before="0" w:after="0"/>
        <w:ind w:firstLine="720" w:end="0"/>
        <w:rPr>
          <w:rFonts w:ascii="Times New Roman" w:hAnsi="Times New Roman" w:cs="Times New Roman"/>
          <w:b w:val="false"/>
          <w:sz w:val="24"/>
        </w:rPr>
      </w:pPr>
      <w:r>
        <w:rPr>
          <w:rFonts w:cs="Times New Roman" w:ascii="Times New Roman" w:hAnsi="Times New Roman"/>
          <w:b w:val="false"/>
          <w:sz w:val="24"/>
        </w:rPr>
        <w:t xml:space="preserve">The effect that a 200-kilowatt facility on the distribution system will have on the 45,000-Megawatt transmission system operated by the California Independent System Operator (“ISO”) is likely to be minimal.  It therefore seems inappropriate to charge small DG facilities with ISO fees, such as grid management charges of $0.83/MWh, neutrality charges, UFE, wheeling charges of several mills a kWh and more.  To do so could stymie the fledgling DG industry.  Perhaps a closer examination is needed to determine when the fees apply and whether special fees are required for these cases.  </w:t>
      </w:r>
    </w:p>
    <w:p>
      <w:pPr>
        <w:pStyle w:val="BodyText"/>
        <w:numPr>
          <w:ilvl w:val="0"/>
          <w:numId w:val="7"/>
        </w:numPr>
        <w:tabs>
          <w:tab w:val="left" w:pos="720" w:leader="none"/>
        </w:tabs>
        <w:spacing w:before="0" w:after="0"/>
        <w:ind w:hanging="360" w:start="720" w:end="0"/>
        <w:rPr>
          <w:rFonts w:ascii="Times New Roman" w:hAnsi="Times New Roman" w:cs="Times New Roman"/>
          <w:i/>
          <w:i/>
          <w:sz w:val="24"/>
        </w:rPr>
      </w:pPr>
      <w:r>
        <w:rPr>
          <w:rFonts w:cs="Times New Roman" w:ascii="Times New Roman" w:hAnsi="Times New Roman"/>
          <w:i/>
          <w:sz w:val="24"/>
        </w:rPr>
        <w:t xml:space="preserve">There is a need for strict codes of conduct and public information release until the UDCs unbundle their merchant functions </w:t>
      </w:r>
    </w:p>
    <w:p>
      <w:pPr>
        <w:pStyle w:val="BodyText"/>
        <w:spacing w:before="0" w:after="0"/>
        <w:rPr>
          <w:rFonts w:ascii="Times New Roman" w:hAnsi="Times New Roman" w:cs="Times New Roman"/>
          <w:b w:val="false"/>
          <w:i/>
          <w:i/>
          <w:sz w:val="24"/>
        </w:rPr>
      </w:pPr>
      <w:r>
        <w:rPr>
          <w:rFonts w:cs="Times New Roman" w:ascii="Times New Roman" w:hAnsi="Times New Roman"/>
          <w:b w:val="false"/>
          <w:i/>
          <w:sz w:val="24"/>
        </w:rPr>
      </w:r>
    </w:p>
    <w:p>
      <w:pPr>
        <w:pStyle w:val="BodyText"/>
        <w:spacing w:lineRule="auto" w:line="480" w:before="0" w:after="0"/>
        <w:ind w:firstLine="720" w:end="0"/>
        <w:rPr>
          <w:rFonts w:ascii="Times New Roman" w:hAnsi="Times New Roman" w:cs="Times New Roman"/>
          <w:b w:val="false"/>
          <w:sz w:val="24"/>
        </w:rPr>
      </w:pPr>
      <w:r>
        <w:rPr>
          <w:rFonts w:cs="Times New Roman" w:ascii="Times New Roman" w:hAnsi="Times New Roman"/>
          <w:b w:val="false"/>
          <w:sz w:val="24"/>
        </w:rPr>
        <w:t>The UDCs currently confront an internal conflict of interest that hampers their ability to ensure non-discriminatory access and avoid exercise of market power and cross subsidization.  Within the UDCs’ “wires” businesses are a number of utility staff involved in selling commodity to their bundled customers or supporting that activity. These functions are not part of the “wires” business, but represent a ”merchant function” within the UDCs’ wires businesses.    This creates the potential for the merchant staff of the UDC to be treated preferentially compared to ESPs.</w:t>
      </w:r>
    </w:p>
    <w:p>
      <w:pPr>
        <w:pStyle w:val="BodyText"/>
        <w:spacing w:lineRule="auto" w:line="480" w:before="0" w:after="0"/>
        <w:ind w:firstLine="720" w:end="0"/>
        <w:rPr>
          <w:rFonts w:ascii="Times New Roman" w:hAnsi="Times New Roman" w:cs="Times New Roman"/>
          <w:b w:val="false"/>
          <w:sz w:val="24"/>
        </w:rPr>
      </w:pPr>
      <w:r>
        <w:rPr>
          <w:rFonts w:cs="Times New Roman" w:ascii="Times New Roman" w:hAnsi="Times New Roman"/>
          <w:b w:val="false"/>
          <w:sz w:val="24"/>
        </w:rPr>
        <w:t xml:space="preserve">The FERC addressed this conflict in its Orders 888 and 889 for transmission-owning utilities.  Order 889 (Docket No. RM95-9-000, 18 CFR, part 37) sets forth requirements that transmission service providers must follow, including the information to be provided and the transactions to be accommodated electronically.  It also included a standard of conduct that limits all contacts between personnel in the UDC’s wires business and the merchant business.  California consumers would benefit significantly from similar rules for the California distribution system.  The three California UDCs have complied with the FERC’s requirements for their wholesale businesses and implemented those changes quickly.  The same will be true when California adopts requirements for open access distribution. </w:t>
      </w:r>
    </w:p>
    <w:p>
      <w:pPr>
        <w:pStyle w:val="BodyText"/>
        <w:spacing w:lineRule="auto" w:line="480" w:before="0" w:after="0"/>
        <w:ind w:firstLine="720" w:end="0"/>
        <w:rPr/>
      </w:pPr>
      <w:r>
        <w:rPr>
          <w:rFonts w:cs="Times New Roman" w:ascii="Times New Roman" w:hAnsi="Times New Roman"/>
          <w:b w:val="false"/>
          <w:sz w:val="24"/>
        </w:rPr>
        <w:t xml:space="preserve">The Commission should follow the successful wholesale model and require the UDCs to release information on the distribution system to a web-based platform and follow a code of conduct that governs transactions and communications between the UDCs’ merchant and wires businesses.  This step is necessary to ensure that ESPs have the same access to the distribution system that the merchant staffs of the UDCs enjoy. </w:t>
      </w:r>
      <w:r>
        <w:rPr>
          <w:rFonts w:cs="Times New Roman" w:ascii="Times New Roman" w:hAnsi="Times New Roman"/>
          <w:i/>
          <w:sz w:val="24"/>
        </w:rPr>
        <w:t xml:space="preserve"> </w:t>
      </w:r>
    </w:p>
    <w:p>
      <w:pPr>
        <w:pStyle w:val="BodyText"/>
        <w:numPr>
          <w:ilvl w:val="0"/>
          <w:numId w:val="12"/>
        </w:numPr>
        <w:tabs>
          <w:tab w:val="clear" w:pos="720"/>
          <w:tab w:val="left" w:pos="1080" w:leader="none"/>
        </w:tabs>
        <w:spacing w:before="0" w:after="0"/>
        <w:ind w:hanging="360" w:start="1080" w:end="0"/>
        <w:rPr>
          <w:rFonts w:ascii="Times New Roman" w:hAnsi="Times New Roman" w:cs="Times New Roman"/>
          <w:i/>
          <w:i/>
          <w:sz w:val="24"/>
        </w:rPr>
      </w:pPr>
      <w:r>
        <w:rPr>
          <w:rFonts w:cs="Times New Roman" w:ascii="Times New Roman" w:hAnsi="Times New Roman"/>
          <w:i/>
          <w:sz w:val="24"/>
        </w:rPr>
        <w:t xml:space="preserve">Jurisdictional considerations do not impede the development of an open access distribution tariff </w:t>
      </w:r>
    </w:p>
    <w:p>
      <w:pPr>
        <w:pStyle w:val="BodyText"/>
        <w:spacing w:before="0" w:after="0"/>
        <w:rPr>
          <w:rFonts w:ascii="Times New Roman" w:hAnsi="Times New Roman" w:cs="Times New Roman"/>
          <w:b w:val="false"/>
          <w:i/>
          <w:i/>
          <w:sz w:val="24"/>
        </w:rPr>
      </w:pPr>
      <w:r>
        <w:rPr>
          <w:rFonts w:cs="Times New Roman" w:ascii="Times New Roman" w:hAnsi="Times New Roman"/>
          <w:b w:val="false"/>
          <w:i/>
          <w:sz w:val="24"/>
        </w:rPr>
      </w:r>
    </w:p>
    <w:p>
      <w:pPr>
        <w:pStyle w:val="BodyText"/>
        <w:spacing w:lineRule="auto" w:line="480" w:before="0" w:after="0"/>
        <w:ind w:firstLine="720" w:end="0"/>
        <w:rPr>
          <w:rFonts w:ascii="Times New Roman" w:hAnsi="Times New Roman" w:cs="Times New Roman"/>
          <w:b w:val="false"/>
          <w:sz w:val="24"/>
        </w:rPr>
      </w:pPr>
      <w:r>
        <w:rPr>
          <w:rFonts w:cs="Times New Roman" w:ascii="Times New Roman" w:hAnsi="Times New Roman"/>
          <w:b w:val="false"/>
          <w:sz w:val="24"/>
        </w:rPr>
        <w:t>The line separating FERC and CPUC jurisdiction is fairly clear, though arguably challenging to discern in the world of direct access and unbundled distribution.  The FERC governs all unbundled wheeling services associated with "sales for resale" or wholesale transactions. Therefore, when DG is used to sell power to a Scheduling Coordinator or a utility, all aspects of the transaction, including the unbundled transmission and distribution components, are FERC-jurisdictional services.   Likewise, when the output from DG facility is sold to an ESP, the transaction is a sale for resale and FERC regulates it.  On the other hand, DG or ESP sales to end-use customers are CPUC-jurisdictional transactions to the extent they utilize distribution services.  And as mentioned above, just as some transactions take place only on the transmission system and are solely FERC-jurisdictional, other transactions take place solely on the distribution system and are solely CPUC-jurisdictional.  For example, if a Safeway store installed a DG facility and wanted to wheel to another Safeway store on the same distribution circuit, that transaction would be purely a CPUC-jurisdictional event.</w:t>
      </w:r>
    </w:p>
    <w:p>
      <w:pPr>
        <w:pStyle w:val="BodyText"/>
        <w:spacing w:lineRule="auto" w:line="480" w:before="0" w:after="0"/>
        <w:ind w:firstLine="720" w:end="0"/>
        <w:rPr>
          <w:rFonts w:ascii="Times New Roman" w:hAnsi="Times New Roman" w:cs="Times New Roman"/>
          <w:b w:val="false"/>
          <w:sz w:val="24"/>
        </w:rPr>
      </w:pPr>
      <w:r>
        <w:rPr>
          <w:rFonts w:cs="Times New Roman" w:ascii="Times New Roman" w:hAnsi="Times New Roman"/>
          <w:b w:val="false"/>
          <w:sz w:val="24"/>
        </w:rPr>
        <w:t xml:space="preserve">Where differing jurisdictions exist, effective markets require seamless access to ensure maximum market flexibility. Seamless access requires consistent and compatible requirements within and between markets.  Incompatibilities between transmission and distribution markets would create unnecessary barriers to entry and inefficiencies.  Consequently, transmission and distribution services should be provided under comparable terms and conditions, whether wholesale or retail, and promoting this compatibility should be a goal of this proceeding. </w:t>
      </w:r>
    </w:p>
    <w:p>
      <w:pPr>
        <w:pStyle w:val="BodyText"/>
        <w:spacing w:lineRule="auto" w:line="480" w:before="0" w:after="0"/>
        <w:ind w:firstLine="720" w:end="0"/>
        <w:rPr>
          <w:rFonts w:ascii="Times New Roman" w:hAnsi="Times New Roman" w:cs="Times New Roman"/>
          <w:b w:val="false"/>
          <w:sz w:val="24"/>
        </w:rPr>
      </w:pPr>
      <w:r>
        <w:rPr>
          <w:rFonts w:cs="Times New Roman" w:ascii="Times New Roman" w:hAnsi="Times New Roman"/>
          <w:b w:val="false"/>
          <w:sz w:val="24"/>
        </w:rPr>
        <w:t>With respect to concerns raised regarding potential conflicts between the interconnection standards being developed and the extent of FERC jurisdiction over DG-related transactions, parties across the nation have recognized the market-limiting effect of inconsistent and often onerous interconnection rules.  Several parties have begun to look at developing a nationwide standard.</w:t>
      </w:r>
    </w:p>
    <w:p>
      <w:pPr>
        <w:pStyle w:val="BodyText"/>
        <w:spacing w:lineRule="auto" w:line="480" w:before="0" w:after="0"/>
        <w:ind w:firstLine="720" w:end="0"/>
        <w:rPr>
          <w:rFonts w:ascii="Times New Roman" w:hAnsi="Times New Roman" w:cs="Times New Roman"/>
          <w:b w:val="false"/>
          <w:sz w:val="24"/>
        </w:rPr>
      </w:pPr>
      <w:r>
        <w:rPr>
          <w:rFonts w:cs="Times New Roman" w:ascii="Times New Roman" w:hAnsi="Times New Roman"/>
          <w:b w:val="false"/>
          <w:sz w:val="24"/>
        </w:rPr>
        <w:t xml:space="preserve">Moreover, California could further seamless access by seeking FERC acceptance of the new Rule 21 interconnection standards.  Parties could jointly file the standards at FERC and request that the FERC allow these interconnection standards to be incorporated into the wholesale transmission and distribution tariffs. </w:t>
      </w:r>
      <w:r>
        <w:br w:type="page"/>
      </w:r>
    </w:p>
    <w:p>
      <w:pPr>
        <w:pStyle w:val="BodyText"/>
        <w:spacing w:lineRule="auto" w:line="480" w:before="0" w:after="0"/>
        <w:ind w:firstLine="720" w:end="0"/>
        <w:rPr>
          <w:rFonts w:ascii="Times New Roman" w:hAnsi="Times New Roman" w:cs="Times New Roman"/>
          <w:b w:val="false"/>
          <w:sz w:val="24"/>
        </w:rPr>
      </w:pPr>
      <w:r>
        <w:rPr>
          <w:rFonts w:cs="Times New Roman" w:ascii="Times New Roman" w:hAnsi="Times New Roman"/>
          <w:b w:val="false"/>
          <w:sz w:val="24"/>
        </w:rPr>
      </w:r>
    </w:p>
    <w:p>
      <w:pPr>
        <w:pStyle w:val="BodyText"/>
        <w:numPr>
          <w:ilvl w:val="0"/>
          <w:numId w:val="20"/>
        </w:numPr>
        <w:tabs>
          <w:tab w:val="clear" w:pos="720"/>
          <w:tab w:val="left" w:pos="1080" w:leader="none"/>
        </w:tabs>
        <w:spacing w:lineRule="auto" w:line="480" w:before="0" w:after="0"/>
        <w:ind w:hanging="360" w:start="1080" w:end="0"/>
        <w:rPr>
          <w:rFonts w:ascii="Times New Roman" w:hAnsi="Times New Roman" w:cs="Times New Roman"/>
          <w:b w:val="false"/>
          <w:sz w:val="24"/>
        </w:rPr>
      </w:pPr>
      <w:r>
        <w:rPr>
          <w:rFonts w:cs="Times New Roman" w:ascii="Times New Roman" w:hAnsi="Times New Roman"/>
          <w:i/>
          <w:sz w:val="24"/>
        </w:rPr>
        <w:t xml:space="preserve">Locational market power is of minimal concern on the distribution system </w:t>
      </w:r>
    </w:p>
    <w:p>
      <w:pPr>
        <w:pStyle w:val="BodyText"/>
        <w:spacing w:lineRule="auto" w:line="480" w:before="0" w:after="0"/>
        <w:ind w:firstLine="720" w:end="0"/>
        <w:rPr>
          <w:rFonts w:ascii="Times New Roman" w:hAnsi="Times New Roman" w:cs="Times New Roman"/>
          <w:b w:val="false"/>
          <w:sz w:val="24"/>
        </w:rPr>
      </w:pPr>
      <w:r>
        <w:rPr>
          <w:rFonts w:cs="Times New Roman" w:ascii="Times New Roman" w:hAnsi="Times New Roman"/>
          <w:b w:val="false"/>
          <w:sz w:val="24"/>
        </w:rPr>
        <w:t xml:space="preserve">Much attention and concern has centered on the ability of buyers or sellers to exercise locational market power on the transmission system.  Obviously, a plan to facilitate the construction of distributed generation requires one to ask the same question. </w:t>
      </w:r>
    </w:p>
    <w:p>
      <w:pPr>
        <w:pStyle w:val="BodyText"/>
        <w:spacing w:lineRule="auto" w:line="480" w:before="0" w:after="0"/>
        <w:ind w:firstLine="720" w:end="0"/>
        <w:rPr>
          <w:rFonts w:ascii="Times New Roman" w:hAnsi="Times New Roman" w:cs="Times New Roman"/>
          <w:b w:val="false"/>
          <w:sz w:val="24"/>
        </w:rPr>
      </w:pPr>
      <w:r>
        <w:rPr>
          <w:rFonts w:cs="Times New Roman" w:ascii="Times New Roman" w:hAnsi="Times New Roman"/>
          <w:b w:val="false"/>
          <w:sz w:val="24"/>
        </w:rPr>
        <w:t>Two types of DG facilities are likely: (1) DG constructed for customers or for power production, and (2) DG built specifically as a low-cost alternative to putting wires in the air.  With the first case, the DG developers would be expected to pay for the upgrades necessary to integrate the power onto the system.  This has been the practice at utilities for more than twenty years.  The UDCs can encourage developers to site plants in favorable locations by notifying market participants of places on the system where DG facilities could be installed at low cost.  With the second case, the UDC or the ISO would identify the need for an upgrade and a market participant could propose a DG facility as a low-cost alternative.  In that process of substituting generation for wires, the ISO/UDC and the DG developer would have entered into an agreement by which the developer would be required to sell power to the market at an agreed-upon price for a period of time.  In this way, a true substitution can be made.  Otherwise, the DG facility would be no alternative at all.</w:t>
      </w:r>
    </w:p>
    <w:p>
      <w:pPr>
        <w:pStyle w:val="BodyText"/>
        <w:spacing w:lineRule="auto" w:line="480" w:before="0" w:after="0"/>
        <w:ind w:firstLine="720" w:end="0"/>
        <w:rPr>
          <w:rFonts w:ascii="Times New Roman" w:hAnsi="Times New Roman" w:cs="Times New Roman"/>
          <w:b w:val="false"/>
          <w:sz w:val="24"/>
        </w:rPr>
      </w:pPr>
      <w:r>
        <w:rPr>
          <w:rFonts w:cs="Times New Roman" w:ascii="Times New Roman" w:hAnsi="Times New Roman"/>
          <w:b w:val="false"/>
          <w:sz w:val="24"/>
        </w:rPr>
        <w:t>To encourage wise DG development, the UDC should be obligated to release information to the market on its website.  Useful information includes planned wires upgrades, locations with excess wires capacity, areas where DG facilities could be integrated at a modest cost, projections about area growth and other relevant data.  A market thrives on information.  We urge the Commission to order the UDCs to release current information about the distribution system as conditions change and to make this information available to all market participants in a user-friendly form.  Not only will this encourage more efficient development, it will mitigate the potential for market power abuses.</w:t>
      </w:r>
    </w:p>
    <w:p>
      <w:pPr>
        <w:pStyle w:val="Heading"/>
        <w:rPr>
          <w:b/>
        </w:rPr>
      </w:pPr>
      <w:r>
        <w:rPr>
          <w:b/>
        </w:rPr>
        <w:t>Issue 2:  UDC Ownership and Control</w:t>
      </w:r>
    </w:p>
    <w:p>
      <w:pPr>
        <w:pStyle w:val="Normal"/>
        <w:rPr>
          <w:b/>
          <w:sz w:val="24"/>
        </w:rPr>
      </w:pPr>
      <w:r>
        <w:rPr>
          <w:b/>
          <w:sz w:val="24"/>
        </w:rPr>
      </w:r>
    </w:p>
    <w:p>
      <w:pPr>
        <w:pStyle w:val="Normal"/>
        <w:spacing w:lineRule="auto" w:line="480"/>
        <w:rPr>
          <w:b/>
          <w:sz w:val="24"/>
        </w:rPr>
      </w:pPr>
      <w:r>
        <w:rPr>
          <w:b/>
          <w:sz w:val="24"/>
        </w:rPr>
        <w:t>Summary of Recommendations</w:t>
      </w:r>
    </w:p>
    <w:p>
      <w:pPr>
        <w:pStyle w:val="Normal"/>
        <w:spacing w:lineRule="auto" w:line="480"/>
        <w:ind w:firstLine="720" w:end="0"/>
        <w:rPr>
          <w:sz w:val="24"/>
        </w:rPr>
      </w:pPr>
      <w:r>
        <w:rPr>
          <w:sz w:val="24"/>
        </w:rPr>
        <w:t>In this ensuing testimony, Enron makes the following recommendations:</w:t>
      </w:r>
    </w:p>
    <w:p>
      <w:pPr>
        <w:pStyle w:val="Normal"/>
        <w:numPr>
          <w:ilvl w:val="0"/>
          <w:numId w:val="8"/>
        </w:numPr>
        <w:tabs>
          <w:tab w:val="clear" w:pos="720"/>
          <w:tab w:val="left" w:pos="1080" w:leader="none"/>
        </w:tabs>
        <w:spacing w:lineRule="auto" w:line="480"/>
        <w:ind w:hanging="360" w:start="1080" w:end="0"/>
        <w:rPr>
          <w:sz w:val="24"/>
        </w:rPr>
      </w:pPr>
      <w:r>
        <w:rPr>
          <w:sz w:val="24"/>
        </w:rPr>
        <w:t>The Commission should recognize the different functions and characteristics of customer-side DG and grid-side DG, and develop policies that reflect these differences.</w:t>
      </w:r>
    </w:p>
    <w:p>
      <w:pPr>
        <w:pStyle w:val="Normal"/>
        <w:numPr>
          <w:ilvl w:val="0"/>
          <w:numId w:val="4"/>
        </w:numPr>
        <w:tabs>
          <w:tab w:val="clear" w:pos="720"/>
          <w:tab w:val="left" w:pos="1080" w:leader="none"/>
        </w:tabs>
        <w:spacing w:lineRule="auto" w:line="480"/>
        <w:ind w:hanging="360" w:start="1080" w:end="0"/>
        <w:rPr>
          <w:sz w:val="24"/>
        </w:rPr>
      </w:pPr>
      <w:r>
        <w:rPr>
          <w:sz w:val="24"/>
        </w:rPr>
        <w:t>UDCs should not be allowed to provide customer-side DG, and UDC affiliates should be allowed to compete for customer-side DG only if:</w:t>
      </w:r>
    </w:p>
    <w:p>
      <w:pPr>
        <w:pStyle w:val="Normal"/>
        <w:numPr>
          <w:ilvl w:val="0"/>
          <w:numId w:val="3"/>
        </w:numPr>
        <w:tabs>
          <w:tab w:val="clear" w:pos="720"/>
          <w:tab w:val="left" w:pos="1440" w:leader="none"/>
        </w:tabs>
        <w:spacing w:lineRule="auto" w:line="480"/>
        <w:ind w:hanging="360" w:start="1440" w:end="0"/>
        <w:rPr>
          <w:sz w:val="24"/>
        </w:rPr>
      </w:pPr>
      <w:r>
        <w:rPr>
          <w:sz w:val="24"/>
        </w:rPr>
        <w:t>The Commission adopts a code of conduct that prevents UDC affiliates from gaining an unfair advantage over other competitors;</w:t>
      </w:r>
    </w:p>
    <w:p>
      <w:pPr>
        <w:pStyle w:val="Normal"/>
        <w:numPr>
          <w:ilvl w:val="0"/>
          <w:numId w:val="21"/>
        </w:numPr>
        <w:tabs>
          <w:tab w:val="clear" w:pos="720"/>
          <w:tab w:val="left" w:pos="1440" w:leader="none"/>
        </w:tabs>
        <w:spacing w:lineRule="auto" w:line="480"/>
        <w:ind w:hanging="360" w:start="1440" w:end="0"/>
        <w:rPr>
          <w:sz w:val="24"/>
        </w:rPr>
      </w:pPr>
      <w:r>
        <w:rPr>
          <w:sz w:val="24"/>
        </w:rPr>
        <w:t>The affiliate’s UDC makes pro-forma interconnection agreements available to all competitors on a nondiscriminatory basis;</w:t>
      </w:r>
    </w:p>
    <w:p>
      <w:pPr>
        <w:pStyle w:val="Normal"/>
        <w:numPr>
          <w:ilvl w:val="0"/>
          <w:numId w:val="16"/>
        </w:numPr>
        <w:tabs>
          <w:tab w:val="clear" w:pos="720"/>
          <w:tab w:val="left" w:pos="1440" w:leader="none"/>
        </w:tabs>
        <w:spacing w:lineRule="auto" w:line="480"/>
        <w:ind w:hanging="360" w:start="1440" w:end="0"/>
        <w:rPr>
          <w:sz w:val="24"/>
        </w:rPr>
      </w:pPr>
      <w:r>
        <w:rPr>
          <w:sz w:val="24"/>
        </w:rPr>
        <w:t>The affiliate’s UDC has available a Commission-approved open access distribution tariff;</w:t>
      </w:r>
    </w:p>
    <w:p>
      <w:pPr>
        <w:pStyle w:val="Normal"/>
        <w:numPr>
          <w:ilvl w:val="0"/>
          <w:numId w:val="6"/>
        </w:numPr>
        <w:tabs>
          <w:tab w:val="clear" w:pos="720"/>
          <w:tab w:val="left" w:pos="1440" w:leader="none"/>
        </w:tabs>
        <w:spacing w:lineRule="auto" w:line="480"/>
        <w:ind w:hanging="360" w:start="1440" w:end="0"/>
        <w:rPr>
          <w:sz w:val="24"/>
        </w:rPr>
      </w:pPr>
      <w:r>
        <w:rPr>
          <w:sz w:val="24"/>
        </w:rPr>
        <w:t>The UDC planning process is transparent to all DG providers; and</w:t>
      </w:r>
    </w:p>
    <w:p>
      <w:pPr>
        <w:pStyle w:val="Normal"/>
        <w:numPr>
          <w:ilvl w:val="0"/>
          <w:numId w:val="22"/>
        </w:numPr>
        <w:tabs>
          <w:tab w:val="clear" w:pos="720"/>
          <w:tab w:val="left" w:pos="1440" w:leader="none"/>
        </w:tabs>
        <w:spacing w:lineRule="auto" w:line="480"/>
        <w:ind w:hanging="360" w:start="1440" w:end="0"/>
        <w:rPr>
          <w:sz w:val="24"/>
        </w:rPr>
      </w:pPr>
      <w:r>
        <w:rPr>
          <w:sz w:val="24"/>
        </w:rPr>
        <w:t>The Commission has developed rate structures that give UDCs the proper incentives to interconnect with non-UDC providers of DG and that encourage customer-side DG.</w:t>
      </w:r>
    </w:p>
    <w:p>
      <w:pPr>
        <w:pStyle w:val="Normal"/>
        <w:numPr>
          <w:ilvl w:val="0"/>
          <w:numId w:val="10"/>
        </w:numPr>
        <w:tabs>
          <w:tab w:val="left" w:pos="720" w:leader="none"/>
        </w:tabs>
        <w:spacing w:lineRule="auto" w:line="480"/>
        <w:ind w:hanging="360" w:start="720" w:end="0"/>
        <w:rPr>
          <w:sz w:val="24"/>
        </w:rPr>
      </w:pPr>
      <w:r>
        <w:rPr>
          <w:sz w:val="24"/>
        </w:rPr>
        <w:t>The Commission should explore ways to provide proper incentives to UDCs to interconnect with non-UDC providers of DG.</w:t>
      </w:r>
    </w:p>
    <w:p>
      <w:pPr>
        <w:pStyle w:val="Normal"/>
        <w:numPr>
          <w:ilvl w:val="0"/>
          <w:numId w:val="19"/>
        </w:numPr>
        <w:tabs>
          <w:tab w:val="left" w:pos="720" w:leader="none"/>
        </w:tabs>
        <w:spacing w:lineRule="auto" w:line="480"/>
        <w:ind w:hanging="360" w:start="720" w:end="0"/>
        <w:rPr>
          <w:sz w:val="24"/>
        </w:rPr>
      </w:pPr>
      <w:r>
        <w:rPr>
          <w:sz w:val="24"/>
        </w:rPr>
        <w:t>Grid-side DG investments by UDCs should be allowed only if the installation is an economic alternative to distribution system upgrades.</w:t>
      </w:r>
    </w:p>
    <w:p>
      <w:pPr>
        <w:pStyle w:val="Normal"/>
        <w:spacing w:lineRule="auto" w:line="480"/>
        <w:rPr>
          <w:b/>
          <w:sz w:val="24"/>
        </w:rPr>
      </w:pPr>
      <w:r>
        <w:rPr>
          <w:b/>
          <w:sz w:val="24"/>
        </w:rPr>
        <w:t>Introduction</w:t>
      </w:r>
    </w:p>
    <w:p>
      <w:pPr>
        <w:pStyle w:val="Normal"/>
        <w:spacing w:lineRule="auto" w:line="480"/>
        <w:ind w:firstLine="720" w:end="0"/>
        <w:rPr/>
      </w:pPr>
      <w:r>
        <w:rPr>
          <w:sz w:val="24"/>
        </w:rPr>
        <w:t xml:space="preserve">Among the important policy questions included in Phase I of this proceeding is the key issue of what role the UDCs should play in the emerging DG market.  More specifically, the Commission invited testimony on who should be allowed to "install, own, and operate" DG facilities.  In D.99-10-065, the Commission examined this issue in two distinct contexts:  (1) DG installations on the </w:t>
      </w:r>
      <w:r>
        <w:rPr>
          <w:i/>
          <w:sz w:val="24"/>
        </w:rPr>
        <w:t>customer's side</w:t>
      </w:r>
      <w:r>
        <w:rPr>
          <w:sz w:val="24"/>
        </w:rPr>
        <w:t xml:space="preserve"> of the meter for self-supply or retail sales, and (2) DG investments located on the </w:t>
      </w:r>
      <w:r>
        <w:rPr>
          <w:i/>
          <w:sz w:val="24"/>
        </w:rPr>
        <w:t xml:space="preserve">distribution grid </w:t>
      </w:r>
      <w:r>
        <w:rPr>
          <w:sz w:val="24"/>
        </w:rPr>
        <w:t xml:space="preserve">as a mechanism for improving system reliability or avoiding upgrades.  The OIR specifically instructed parties to discuss whether the policies for customer-side applications should be different than the policies that will apply to grid-side DG.  OIR at 7, fn.5.  The policies should be different in recognition of the different contexts and applications for DG investments.  The ensuing testimony urges the Commission to develop policies that recognize the fundamental differences between grid-side investments and units installed on an end-user's property.  </w:t>
      </w:r>
    </w:p>
    <w:p>
      <w:pPr>
        <w:pStyle w:val="Normal"/>
        <w:spacing w:lineRule="auto" w:line="480"/>
        <w:ind w:firstLine="720" w:end="0"/>
        <w:rPr>
          <w:sz w:val="24"/>
        </w:rPr>
      </w:pPr>
      <w:r>
        <w:rPr>
          <w:sz w:val="24"/>
        </w:rPr>
        <w:t xml:space="preserve">In addition to distinguishing between grid-side and customer-side DG installations, the rules adopted by the Commission should also refine and clarify the role of UDCs as a provider of unbundled distribution services.  As the Commission has recognized, the issue of whether UDCs should be permitted to own and operate DG is closely linked to the much larger task of defining the UDCs’ future role and service obligations in an industry characterized by comprehensive unbundling, consumer choice and competition.  In this regard, Enron agrees with the Commission's earlier observation that issues related to UDC ownership and control of DG are "intertwined with the issue of what the role of the UDC should be in the [DG] market."  Decision (D.) 99-10-065 at 20, and that "[r]esolving this issue also involves a discussion about what the role of the UDC should be for on-grid distributed generation, and whether there should be an unbundling of distribution related services."  D.99-10-065 at 20.  As explained in this testimony, the Commission should adopt policies that enable DG owners and end-users to freely access the distribution system by requiring UDCs to provide unbundled distribution wheeling services.  </w:t>
      </w:r>
    </w:p>
    <w:p>
      <w:pPr>
        <w:pStyle w:val="Normal"/>
        <w:spacing w:lineRule="auto" w:line="480"/>
        <w:ind w:firstLine="720" w:end="0"/>
        <w:rPr>
          <w:sz w:val="24"/>
        </w:rPr>
      </w:pPr>
      <w:r>
        <w:rPr>
          <w:sz w:val="24"/>
        </w:rPr>
        <w:t xml:space="preserve">In sum, it is essential to clearly delineate the nature and scope of the UDCs’ regulated service obligations before the Commission finalizes any of its positions relative to DG ownership and/or control.  The overall public policy goal of the Commission's regulations on DG should be to increase customer choice and promote competition in the retail energy sector.  The Commission's policies relative to DG will ultimately be tested by the degree to which they remove regulatory barriers and allow customers to reap the benefits of technological advancements.  As noted in the ensuing discussion, however, some UDCs may resist the implementation of these policies because of possible impacts on regulated revenues and/or profits.  To minimize or eliminate this risk, the Commission should explore new performance-based rate (PBR) structures for distribution services that provide UDCs with appropriate incentives to interconnect DG by non-UDC providers.  While these issues are scheduled to be addressed in Phase II testimony, we simply note that additional regulatory measures may be necessary to effectively implement the policies Enron recommends on DG ownership.       </w:t>
      </w:r>
    </w:p>
    <w:p>
      <w:pPr>
        <w:pStyle w:val="Normal"/>
        <w:rPr>
          <w:b/>
          <w:sz w:val="24"/>
        </w:rPr>
      </w:pPr>
      <w:r>
        <w:rPr>
          <w:b/>
          <w:sz w:val="24"/>
        </w:rPr>
        <w:t>Customer-side DG</w:t>
      </w:r>
    </w:p>
    <w:p>
      <w:pPr>
        <w:pStyle w:val="Normal"/>
        <w:rPr>
          <w:b/>
          <w:sz w:val="24"/>
        </w:rPr>
      </w:pPr>
      <w:r>
        <w:rPr>
          <w:b/>
          <w:sz w:val="24"/>
        </w:rPr>
      </w:r>
    </w:p>
    <w:p>
      <w:pPr>
        <w:pStyle w:val="Normal"/>
        <w:spacing w:lineRule="auto" w:line="480"/>
        <w:rPr>
          <w:sz w:val="24"/>
        </w:rPr>
      </w:pPr>
      <w:r>
        <w:rPr>
          <w:sz w:val="24"/>
        </w:rPr>
        <w:tab/>
        <w:t>In the OIR, the Commission recognized two “policy scenarios” for DG located on the customer’s side of the meter:</w:t>
      </w:r>
    </w:p>
    <w:p>
      <w:pPr>
        <w:pStyle w:val="Normal"/>
        <w:numPr>
          <w:ilvl w:val="0"/>
          <w:numId w:val="17"/>
        </w:numPr>
        <w:ind w:hanging="360" w:start="1080" w:end="0"/>
        <w:rPr>
          <w:sz w:val="24"/>
        </w:rPr>
      </w:pPr>
      <w:r>
        <w:rPr>
          <w:sz w:val="24"/>
        </w:rPr>
        <w:t>UDCs and non-UDCs allowed; and</w:t>
      </w:r>
    </w:p>
    <w:p>
      <w:pPr>
        <w:pStyle w:val="Normal"/>
        <w:rPr>
          <w:sz w:val="24"/>
        </w:rPr>
      </w:pPr>
      <w:r>
        <w:rPr>
          <w:sz w:val="24"/>
        </w:rPr>
      </w:r>
    </w:p>
    <w:p>
      <w:pPr>
        <w:pStyle w:val="Normal"/>
        <w:numPr>
          <w:ilvl w:val="0"/>
          <w:numId w:val="17"/>
        </w:numPr>
        <w:ind w:hanging="360" w:start="1080" w:end="0"/>
        <w:rPr>
          <w:sz w:val="24"/>
        </w:rPr>
      </w:pPr>
      <w:r>
        <w:rPr>
          <w:sz w:val="24"/>
        </w:rPr>
        <w:t>UDCs prohibited, non-UDCs only.</w:t>
      </w:r>
    </w:p>
    <w:p>
      <w:pPr>
        <w:pStyle w:val="Normal"/>
        <w:rPr>
          <w:sz w:val="24"/>
        </w:rPr>
      </w:pPr>
      <w:r>
        <w:rPr>
          <w:sz w:val="24"/>
        </w:rPr>
      </w:r>
    </w:p>
    <w:p>
      <w:pPr>
        <w:pStyle w:val="Normal"/>
        <w:spacing w:lineRule="auto" w:line="480"/>
        <w:rPr>
          <w:sz w:val="24"/>
        </w:rPr>
      </w:pPr>
      <w:r>
        <w:rPr>
          <w:sz w:val="24"/>
        </w:rPr>
        <w:t xml:space="preserve">OIR at 7.  The OIR further noted that DG installed on the customer’s side of the meter could be used in several ways: </w:t>
      </w:r>
    </w:p>
    <w:p>
      <w:pPr>
        <w:pStyle w:val="BodyTextIndent"/>
        <w:numPr>
          <w:ilvl w:val="0"/>
          <w:numId w:val="13"/>
        </w:numPr>
        <w:ind w:hanging="360" w:start="1080" w:end="0"/>
        <w:rPr/>
      </w:pPr>
      <w:r>
        <w:rPr/>
        <w:t xml:space="preserve">as an alternative to taking electric service from the UDC; </w:t>
      </w:r>
    </w:p>
    <w:p>
      <w:pPr>
        <w:pStyle w:val="BodyTextIndent"/>
        <w:rPr/>
      </w:pPr>
      <w:r>
        <w:rPr/>
      </w:r>
    </w:p>
    <w:p>
      <w:pPr>
        <w:pStyle w:val="BodyTextIndent"/>
        <w:numPr>
          <w:ilvl w:val="0"/>
          <w:numId w:val="13"/>
        </w:numPr>
        <w:ind w:hanging="360" w:start="1080" w:end="0"/>
        <w:rPr/>
      </w:pPr>
      <w:r>
        <w:rPr/>
        <w:t xml:space="preserve">to provide end-users with primary power, with the UDC supplying backup power; </w:t>
      </w:r>
    </w:p>
    <w:p>
      <w:pPr>
        <w:pStyle w:val="BodyTextIndent"/>
        <w:ind w:start="0" w:end="0"/>
        <w:rPr/>
      </w:pPr>
      <w:r>
        <w:rPr/>
      </w:r>
    </w:p>
    <w:p>
      <w:pPr>
        <w:pStyle w:val="BodyTextIndent"/>
        <w:numPr>
          <w:ilvl w:val="0"/>
          <w:numId w:val="13"/>
        </w:numPr>
        <w:ind w:hanging="360" w:start="1080" w:end="0"/>
        <w:rPr/>
      </w:pPr>
      <w:r>
        <w:rPr/>
        <w:t xml:space="preserve">for emergency backup power only, with the UDC providing most or all of the end-user’s electrical needs; or </w:t>
      </w:r>
    </w:p>
    <w:p>
      <w:pPr>
        <w:pStyle w:val="BodyTextIndent"/>
        <w:ind w:start="0" w:end="0"/>
        <w:rPr/>
      </w:pPr>
      <w:r>
        <w:rPr/>
      </w:r>
    </w:p>
    <w:p>
      <w:pPr>
        <w:pStyle w:val="BodyTextIndent"/>
        <w:numPr>
          <w:ilvl w:val="0"/>
          <w:numId w:val="13"/>
        </w:numPr>
        <w:ind w:hanging="360" w:start="1080" w:end="0"/>
        <w:rPr/>
      </w:pPr>
      <w:r>
        <w:rPr/>
        <w:t>to provide the end-user with primary power and to sell the excess.</w:t>
      </w:r>
    </w:p>
    <w:p>
      <w:pPr>
        <w:pStyle w:val="Normal"/>
        <w:rPr>
          <w:sz w:val="24"/>
        </w:rPr>
      </w:pPr>
      <w:r>
        <w:rPr>
          <w:sz w:val="24"/>
        </w:rPr>
      </w:r>
    </w:p>
    <w:p>
      <w:pPr>
        <w:pStyle w:val="Normal"/>
        <w:spacing w:lineRule="auto" w:line="480"/>
        <w:rPr/>
      </w:pPr>
      <w:r>
        <w:rPr>
          <w:sz w:val="24"/>
        </w:rPr>
        <w:t>OIR at 6.  Thus, DG applications on the customer's side of the meter will be used primarily by individual customers to displace some or all of the energy supply that is otherwise delivered by UDCs.</w:t>
      </w:r>
      <w:r>
        <w:rPr>
          <w:rStyle w:val="FootnoteCharacters"/>
          <w:rStyle w:val="FootnoteReference"/>
          <w:sz w:val="24"/>
        </w:rPr>
        <w:footnoteReference w:id="2"/>
      </w:r>
      <w:r>
        <w:rPr>
          <w:sz w:val="24"/>
        </w:rPr>
        <w:t xml:space="preserve">  </w:t>
      </w:r>
    </w:p>
    <w:p>
      <w:pPr>
        <w:pStyle w:val="Normal"/>
        <w:spacing w:lineRule="auto" w:line="480"/>
        <w:ind w:firstLine="720" w:end="0"/>
        <w:rPr/>
      </w:pPr>
      <w:r>
        <w:rPr>
          <w:sz w:val="24"/>
        </w:rPr>
        <w:t>In D.99-10-065, the Commission stated that "</w:t>
      </w:r>
      <w:r>
        <w:rPr>
          <w:i/>
          <w:sz w:val="24"/>
        </w:rPr>
        <w:t>[e]xcept for market power arguments,</w:t>
      </w:r>
      <w:r>
        <w:rPr>
          <w:sz w:val="24"/>
        </w:rPr>
        <w:t xml:space="preserve"> none of the parties expressed compelling reasons why the regulated UDCs and their unregulated affiliates should not be allowed participate in customer-side distributed generation."  D.99-10-065 at 20 (emphasis added).  In the OIR, the Commission identified "a need to review the current regulatory framework so that the deployment of distributed generation can be facilitated, and unnecessary barriers eliminated."  OIR at 3.  If the Commission's goal is to implement rules that will facilitate a </w:t>
      </w:r>
      <w:r>
        <w:rPr>
          <w:i/>
          <w:sz w:val="24"/>
        </w:rPr>
        <w:t>competitive</w:t>
      </w:r>
      <w:r>
        <w:rPr>
          <w:sz w:val="24"/>
        </w:rPr>
        <w:t xml:space="preserve"> DG market, addressing vertical market power concerns must be the Commission's primary concern - but not its only one - in considering whether to permit UDCs to make DG investments on either side of the customer's meter.  Another objective should be to clearly define the role of UDCs in a restructured retail environment.  As noted in the OIR:</w:t>
      </w:r>
    </w:p>
    <w:p>
      <w:pPr>
        <w:pStyle w:val="sub1"/>
        <w:spacing w:lineRule="auto" w:line="240"/>
        <w:ind w:hanging="0" w:start="720" w:end="0"/>
        <w:rPr>
          <w:rFonts w:ascii="Times New Roman" w:hAnsi="Times New Roman" w:cs="Times New Roman"/>
          <w:sz w:val="24"/>
        </w:rPr>
      </w:pPr>
      <w:r>
        <w:rPr>
          <w:rFonts w:cs="Times New Roman" w:ascii="Times New Roman" w:hAnsi="Times New Roman"/>
          <w:sz w:val="24"/>
        </w:rPr>
        <w:t xml:space="preserve">[D]istributed generation and DER technologies are likely to increase competition in the electric generation market and provide end-users with another choice as to how their electricity can be supplied….Increased competition and choice are consistent with Assembly Bill (AB) 1890 (Stats. 1996, ch. 854).  Public Utilities Code §330(d), which was added by AB 1890, states that it is in the best interests of the ratepayers and the state to move from a regulated electric monopoly framework, 'to a framework under which competition would be allowed in the supply of electric power and customers would be allowed to have the right to choose their supplier of electric power.'  </w:t>
      </w:r>
      <w:r>
        <w:rPr>
          <w:rFonts w:cs="Times New Roman" w:ascii="Times New Roman" w:hAnsi="Times New Roman"/>
          <w:i/>
          <w:sz w:val="24"/>
        </w:rPr>
        <w:t>The opening of this rulemaking represents another step towards this new framework.</w:t>
      </w:r>
    </w:p>
    <w:p>
      <w:pPr>
        <w:pStyle w:val="Normal"/>
        <w:ind w:firstLine="720" w:end="0"/>
        <w:rPr>
          <w:rFonts w:ascii="Times New Roman" w:hAnsi="Times New Roman" w:cs="Times New Roman"/>
          <w:sz w:val="24"/>
        </w:rPr>
      </w:pPr>
      <w:r>
        <w:rPr>
          <w:rFonts w:cs="Times New Roman"/>
          <w:sz w:val="24"/>
        </w:rPr>
      </w:r>
    </w:p>
    <w:p>
      <w:pPr>
        <w:pStyle w:val="Normal"/>
        <w:spacing w:lineRule="auto" w:line="480"/>
        <w:rPr>
          <w:sz w:val="24"/>
        </w:rPr>
      </w:pPr>
      <w:r>
        <w:rPr>
          <w:sz w:val="24"/>
        </w:rPr>
        <w:t xml:space="preserve">OIR at 3 (footnote omitted) (emphasis added).  The "new framework" should include a market structure where all competitive generation functions are fully unbundled from regulated distribution services.  </w:t>
      </w:r>
    </w:p>
    <w:p>
      <w:pPr>
        <w:pStyle w:val="Normal"/>
        <w:spacing w:lineRule="auto" w:line="480"/>
        <w:ind w:firstLine="720" w:end="0"/>
        <w:rPr/>
      </w:pPr>
      <w:r>
        <w:rPr>
          <w:sz w:val="24"/>
        </w:rPr>
        <w:t>With respect to DG on the customer's side of the meter, the existing regulatory structure provides a clear point of demarcation between regulated and unregulated services.  As the Commission has already noted, customers have historically enjoyed the right to install self-generation, and new DG technologies are an extension of these current practices.  From a regulatory standpoint, customer-side DG installations also differ from grid-side applications because they are physically located where, historically, the obligation to serve of UDCs in California (and elsewhere) does not extend, i.e., on the customer side of the meter.</w:t>
      </w:r>
      <w:r>
        <w:rPr>
          <w:rStyle w:val="FootnoteCharacters"/>
          <w:rStyle w:val="FootnoteReference"/>
          <w:sz w:val="24"/>
        </w:rPr>
        <w:footnoteReference w:id="3"/>
      </w:r>
      <w:r>
        <w:rPr>
          <w:sz w:val="24"/>
        </w:rPr>
        <w:t xml:space="preserve"> </w:t>
      </w:r>
    </w:p>
    <w:p>
      <w:pPr>
        <w:pStyle w:val="Normal"/>
        <w:spacing w:lineRule="auto" w:line="480"/>
        <w:ind w:firstLine="720" w:end="0"/>
        <w:rPr>
          <w:sz w:val="24"/>
        </w:rPr>
      </w:pPr>
      <w:r>
        <w:rPr>
          <w:sz w:val="24"/>
        </w:rPr>
        <w:t xml:space="preserve">It is unclear whether any of the UDCs in this proceeding seek to shift this traditional "bright line" by extending regulated service obligations beyond the meter and on to the customer’s premises.  The record of R.98-12-015 reveals a lack of unanimity among the UDCs on whether they wish to compete with unregulated companies on the customer's side of the meter.  For instance, Pacific Gas and Electric Company (PG&amp;E) stated in R.98-12-015 that it "has no desire to participate as a regulated utility in the market for customer-side distributed generation...[which] position should allay the concerns of commenters who argue that UDCs and LDCs should not be permitted to offer distributed generation services behind the meter."  PG&amp;E Reply Comments at page 39 (May 17, 1999).  In the same comments, however, PG&amp;E went on to state that its unregulated affiliates "may well participate in customer-side DG."  Reply Comments at 39, fn.33.  Conversely, San Diego Gas &amp; Electric Company (SDG&amp;E) took the position that “[t]he UDC should have the same opportunities as other parties to participate in the emerging DG market,” and that “customers should have the option of choosing whomever they want, including the UDC.”  SDG&amp;E Reply Comments in R.98-12-015 at 12. </w:t>
      </w:r>
    </w:p>
    <w:p>
      <w:pPr>
        <w:pStyle w:val="Normal"/>
        <w:spacing w:lineRule="auto" w:line="480"/>
        <w:ind w:firstLine="720" w:end="0"/>
        <w:rPr>
          <w:sz w:val="24"/>
        </w:rPr>
      </w:pPr>
      <w:r>
        <w:rPr>
          <w:sz w:val="24"/>
        </w:rPr>
        <w:t>It would be both counter-productive and unprecedented to permit UDCs to offer competitive services (of any type) on the customer’s side of the meter – especially when UDCs have one or more unregulated affiliates that have the ability to compete in this arena.  However, UDC-affiliates should be allowed to compete on the customer’s side of the meter provided that the following conditions exist:</w:t>
      </w:r>
    </w:p>
    <w:p>
      <w:pPr>
        <w:pStyle w:val="Normal"/>
        <w:ind w:firstLine="720" w:end="0"/>
        <w:rPr>
          <w:sz w:val="24"/>
        </w:rPr>
      </w:pPr>
      <w:r>
        <w:rPr>
          <w:sz w:val="24"/>
        </w:rPr>
      </w:r>
    </w:p>
    <w:p>
      <w:pPr>
        <w:pStyle w:val="BodyTextIndent"/>
        <w:numPr>
          <w:ilvl w:val="0"/>
          <w:numId w:val="2"/>
        </w:numPr>
        <w:ind w:hanging="360" w:start="1080" w:end="0"/>
        <w:rPr/>
      </w:pPr>
      <w:r>
        <w:rPr/>
        <w:t xml:space="preserve">The Commission adopts an affiliate code of conduct to ensure that UDC-affiliates do not gain an unfair advantage over other potential competitors.  Obviously, this includes regulations that ensure affiliates of UDCs will not be given preferential access to distribution system or customer-specific information in addition to rules that ensure that affiliates enjoy no preference with respect to interconnection.  It is imperative, therefore, that the current code of conduct governing affiliate transactions is appropriately amended or modified to apply to customer-side DG installations.  </w:t>
      </w:r>
    </w:p>
    <w:p>
      <w:pPr>
        <w:pStyle w:val="BodyTextIndent"/>
        <w:rPr/>
      </w:pPr>
      <w:r>
        <w:rPr/>
      </w:r>
    </w:p>
    <w:p>
      <w:pPr>
        <w:pStyle w:val="BodyTextIndent"/>
        <w:numPr>
          <w:ilvl w:val="0"/>
          <w:numId w:val="2"/>
        </w:numPr>
        <w:ind w:hanging="360" w:start="1080" w:end="0"/>
        <w:rPr/>
      </w:pPr>
      <w:r>
        <w:rPr/>
        <w:t>The affiliate's UDC has Commission-approved pro-forma interconnection agreements available to all competitors on a nondiscriminatory basis.</w:t>
      </w:r>
    </w:p>
    <w:p>
      <w:pPr>
        <w:pStyle w:val="BodyTextIndent"/>
        <w:ind w:start="0" w:end="0"/>
        <w:rPr/>
      </w:pPr>
      <w:r>
        <w:rPr/>
      </w:r>
    </w:p>
    <w:p>
      <w:pPr>
        <w:pStyle w:val="BodyTextIndent"/>
        <w:numPr>
          <w:ilvl w:val="0"/>
          <w:numId w:val="2"/>
        </w:numPr>
        <w:ind w:hanging="360" w:start="1080" w:end="0"/>
        <w:rPr/>
      </w:pPr>
      <w:r>
        <w:rPr/>
        <w:t xml:space="preserve">The affiliate's UDC has a Commission-approved, open access distribution tariff. </w:t>
      </w:r>
    </w:p>
    <w:p>
      <w:pPr>
        <w:pStyle w:val="BodyTextIndent"/>
        <w:ind w:start="0" w:end="0"/>
        <w:rPr/>
      </w:pPr>
      <w:r>
        <w:rPr/>
      </w:r>
    </w:p>
    <w:p>
      <w:pPr>
        <w:pStyle w:val="BodyTextIndent"/>
        <w:numPr>
          <w:ilvl w:val="0"/>
          <w:numId w:val="2"/>
        </w:numPr>
        <w:ind w:hanging="360" w:start="1080" w:end="0"/>
        <w:rPr/>
      </w:pPr>
      <w:r>
        <w:rPr/>
        <w:t>The UDC planning process for distribution investments is made fully transparent to unaffiliated DG providers.</w:t>
      </w:r>
    </w:p>
    <w:p>
      <w:pPr>
        <w:pStyle w:val="BodyTextIndent"/>
        <w:ind w:start="0" w:end="0"/>
        <w:rPr/>
      </w:pPr>
      <w:r>
        <w:rPr/>
      </w:r>
    </w:p>
    <w:p>
      <w:pPr>
        <w:pStyle w:val="BodyTextIndent"/>
        <w:numPr>
          <w:ilvl w:val="0"/>
          <w:numId w:val="2"/>
        </w:numPr>
        <w:ind w:hanging="360" w:start="1080" w:end="0"/>
        <w:rPr/>
      </w:pPr>
      <w:r>
        <w:rPr/>
        <w:t xml:space="preserve">The UDC operates under a PBR rate structure that eliminates any financial disincentive for the UDC to interconnect and otherwise encourages customer-side DG. </w:t>
      </w:r>
    </w:p>
    <w:p>
      <w:pPr>
        <w:pStyle w:val="Normal"/>
        <w:ind w:firstLine="720" w:end="0"/>
        <w:rPr>
          <w:sz w:val="24"/>
        </w:rPr>
      </w:pPr>
      <w:r>
        <w:rPr>
          <w:sz w:val="24"/>
        </w:rPr>
      </w:r>
    </w:p>
    <w:p>
      <w:pPr>
        <w:pStyle w:val="Normal"/>
        <w:spacing w:lineRule="auto" w:line="480"/>
        <w:ind w:firstLine="720" w:end="0"/>
        <w:rPr>
          <w:sz w:val="24"/>
        </w:rPr>
      </w:pPr>
      <w:r>
        <w:rPr>
          <w:sz w:val="24"/>
        </w:rPr>
        <w:t xml:space="preserve">These conditions would promote a competitive DG market by clearly defining UDCs as providers of safe, reliable and affordable distribution service.  The UDC's role should also include a regulatory obligation to interconnect with non-UDC providers, transport such power on the distribution system and deliver customer-generated power to other customers on the distribution system. </w:t>
      </w:r>
    </w:p>
    <w:p>
      <w:pPr>
        <w:pStyle w:val="Normal"/>
        <w:rPr>
          <w:b/>
          <w:sz w:val="24"/>
        </w:rPr>
      </w:pPr>
      <w:r>
        <w:rPr>
          <w:b/>
          <w:sz w:val="24"/>
        </w:rPr>
        <w:t>Grid-Side DG</w:t>
      </w:r>
    </w:p>
    <w:p>
      <w:pPr>
        <w:pStyle w:val="Normal"/>
        <w:ind w:firstLine="720" w:end="0"/>
        <w:rPr>
          <w:b/>
          <w:sz w:val="24"/>
        </w:rPr>
      </w:pPr>
      <w:r>
        <w:rPr>
          <w:b/>
          <w:sz w:val="24"/>
        </w:rPr>
      </w:r>
    </w:p>
    <w:p>
      <w:pPr>
        <w:pStyle w:val="Normal"/>
        <w:spacing w:lineRule="auto" w:line="480"/>
        <w:ind w:firstLine="720" w:end="0"/>
        <w:rPr>
          <w:sz w:val="24"/>
        </w:rPr>
      </w:pPr>
      <w:r>
        <w:rPr>
          <w:sz w:val="24"/>
        </w:rPr>
        <w:t>As noted in the OIR, DG located on the grid can be used to supply energy and capacity, or to provide ancillary services to the distribution system.  The energy and capacity associated with grid-side DG could be sold into either the wholesale or retail markets.  Some parties also contend grid-side installations could be used as economic alternatives to avoid upgrades on the distribution system.  The OIR recognized three possible scenarios with respect to the ownership and/or control of grid-side DG:</w:t>
      </w:r>
    </w:p>
    <w:p>
      <w:pPr>
        <w:pStyle w:val="Normal"/>
        <w:numPr>
          <w:ilvl w:val="0"/>
          <w:numId w:val="1"/>
        </w:numPr>
        <w:ind w:hanging="360" w:start="1080" w:end="0"/>
        <w:rPr>
          <w:sz w:val="24"/>
        </w:rPr>
      </w:pPr>
      <w:r>
        <w:rPr>
          <w:sz w:val="24"/>
        </w:rPr>
        <w:t xml:space="preserve">UDCs and non-UDCs allowed </w:t>
      </w:r>
    </w:p>
    <w:p>
      <w:pPr>
        <w:pStyle w:val="Normal"/>
        <w:ind w:start="720" w:end="0"/>
        <w:rPr>
          <w:sz w:val="24"/>
        </w:rPr>
      </w:pPr>
      <w:r>
        <w:rPr>
          <w:sz w:val="24"/>
        </w:rPr>
      </w:r>
    </w:p>
    <w:p>
      <w:pPr>
        <w:pStyle w:val="Normal"/>
        <w:numPr>
          <w:ilvl w:val="0"/>
          <w:numId w:val="1"/>
        </w:numPr>
        <w:ind w:hanging="360" w:start="1080" w:end="0"/>
        <w:rPr>
          <w:sz w:val="24"/>
        </w:rPr>
      </w:pPr>
      <w:r>
        <w:rPr>
          <w:sz w:val="24"/>
        </w:rPr>
        <w:t>UDCs prohibited, non-UDCs only</w:t>
      </w:r>
    </w:p>
    <w:p>
      <w:pPr>
        <w:pStyle w:val="Normal"/>
        <w:rPr>
          <w:sz w:val="24"/>
        </w:rPr>
      </w:pPr>
      <w:r>
        <w:rPr>
          <w:sz w:val="24"/>
        </w:rPr>
      </w:r>
    </w:p>
    <w:p>
      <w:pPr>
        <w:pStyle w:val="Normal"/>
        <w:numPr>
          <w:ilvl w:val="0"/>
          <w:numId w:val="1"/>
        </w:numPr>
        <w:ind w:hanging="360" w:start="1080" w:end="0"/>
        <w:rPr>
          <w:sz w:val="24"/>
        </w:rPr>
      </w:pPr>
      <w:r>
        <w:rPr>
          <w:sz w:val="24"/>
        </w:rPr>
        <w:t>UDCs only.</w:t>
      </w:r>
    </w:p>
    <w:p>
      <w:pPr>
        <w:pStyle w:val="Normal"/>
        <w:ind w:firstLine="720" w:end="0"/>
        <w:rPr>
          <w:sz w:val="24"/>
        </w:rPr>
      </w:pPr>
      <w:r>
        <w:rPr>
          <w:sz w:val="24"/>
        </w:rPr>
        <w:t xml:space="preserve">  </w:t>
      </w:r>
    </w:p>
    <w:p>
      <w:pPr>
        <w:pStyle w:val="Normal"/>
        <w:spacing w:lineRule="auto" w:line="480"/>
        <w:ind w:firstLine="720" w:end="0"/>
        <w:rPr>
          <w:sz w:val="24"/>
        </w:rPr>
      </w:pPr>
      <w:r>
        <w:rPr>
          <w:sz w:val="24"/>
        </w:rPr>
        <w:t xml:space="preserve">In D.98-12-015, the Commission observed that UDCs are currently allowed to own and operate grid-side DG for reliability purposes, to provide ancillary services or as a substitute for upgrading the distribution system.  Decision 99-10-065 at 25.  The question now raised in the OIR is whether the Commission should prospectively limit the ability of UDCs and/or non-UDCs to install and own grid-side DG.  </w:t>
      </w:r>
    </w:p>
    <w:p>
      <w:pPr>
        <w:pStyle w:val="Normal"/>
        <w:spacing w:lineRule="auto" w:line="480"/>
        <w:ind w:firstLine="720" w:end="0"/>
        <w:rPr>
          <w:sz w:val="24"/>
        </w:rPr>
      </w:pPr>
      <w:r>
        <w:rPr>
          <w:sz w:val="24"/>
        </w:rPr>
        <w:t>As noted above, the service obligations of UDCs should be limited to the delivery of safe, reliable and affordable distribution service.  While California's current regulatory framework requires the UDC to serve as the purchasing agent for retail customers for generation services, consumers would suffer if the Commission expanded the scope of this obligation by allowing UDCs to install generation facilities, distributed or otherwise, to fulfill these obligations.  Allowing UDCs to recreate, to some extent, a vertical monopoly would turn back the clock on electric restructuring and create the same kinds of regulatory issues and potential for abuses that we experienced before AB 1890.</w:t>
      </w:r>
    </w:p>
    <w:p>
      <w:pPr>
        <w:pStyle w:val="Normal"/>
        <w:spacing w:lineRule="auto" w:line="480"/>
        <w:ind w:firstLine="720" w:end="0"/>
        <w:rPr>
          <w:sz w:val="24"/>
        </w:rPr>
      </w:pPr>
      <w:r>
        <w:rPr>
          <w:sz w:val="24"/>
        </w:rPr>
        <w:t xml:space="preserve">The sale of generation facilities by California's UDCs represents perhaps the most successful element of the state's restructuring program.  California expended an enormous amount of time and resources to put the current wholesale structure in place.  Those efforts have brought significant benefits to the state's consumers of electricity.  Recreating the inferior, vertically integrated monopoly structure would threaten those benefits and move California back into a costly, litigious and inefficient regulatory process that the state's stakeholders and the Legislature unanimously rejected in favor of AB 1890.  Therefore, to the extent that UDCs want to participate in grid-side DG investments, those investments should be economic alternatives to “traditional” distribution system upgrades.  Moreover, market participants should have access to operational and technical information about the distribution network and should have the opportunity to propose cost-effective investments of their own.  With a properly structured PBR rate structure, the UDC should be indifferent as to whether it increases efficiency by "building" the distribution facility, or "buying" it from a third-party provider.  This indifference will lead to lower costs and innovation for consumers and increased earnings for the UDC.  Thus, while UDCs should be prohibited from reintegrating generation functions, there is value in establishing appropriate incentive mechanisms that promote economic grid-side investments so that UDCs have reason to promote the deployment of economic DG investments on the distribution grid. </w:t>
      </w:r>
    </w:p>
    <w:p>
      <w:pPr>
        <w:pStyle w:val="Normal"/>
        <w:spacing w:lineRule="auto" w:line="480"/>
        <w:ind w:firstLine="720" w:end="0"/>
        <w:rPr/>
      </w:pPr>
      <w:r>
        <w:rPr>
          <w:sz w:val="24"/>
        </w:rPr>
        <w:t>Similar to customer-side applications, only "non-UDCs" (i.e., UDC-affiliates and unaffiliated entities) should be allowed to utilize grid-side DG to supply energy and capacity to both wholesale and retail customers.</w:t>
      </w:r>
      <w:r>
        <w:rPr>
          <w:rStyle w:val="FootnoteCharacters"/>
          <w:rStyle w:val="FootnoteReference"/>
          <w:sz w:val="24"/>
        </w:rPr>
        <w:footnoteReference w:id="4"/>
      </w:r>
      <w:r>
        <w:rPr>
          <w:sz w:val="24"/>
        </w:rPr>
        <w:t xml:space="preserve">  The UDC's role should include interconnecting DG - wherever it is located - and facilitating investments by third-party providers in order to avoid the need for the UDC to make distribution-related investments that might increase the costs of distribution service for consumers.  Grid-side DG investments by UDCs should be allowed when such installations offer an economic alternative to UDC distribution system upgrades.  However, these UDC-sponsored applications should be used solely for grid support and to fulfill reliability obligations and not to sell energy to retail customers.  This will prevent re-creating the vertically integrated monopoly utility that California has replaced with a market-oriented approach.</w:t>
      </w:r>
    </w:p>
    <w:p>
      <w:pPr>
        <w:pStyle w:val="Normal"/>
        <w:rPr>
          <w:sz w:val="24"/>
        </w:rPr>
      </w:pPr>
      <w:r>
        <w:rPr>
          <w:sz w:val="24"/>
        </w:rPr>
      </w:r>
    </w:p>
    <w:p>
      <w:pPr>
        <w:pStyle w:val="Normal"/>
        <w:rPr>
          <w:sz w:val="24"/>
        </w:rPr>
      </w:pPr>
      <w:r>
        <w:rPr>
          <w:sz w:val="24"/>
        </w:rPr>
      </w:r>
    </w:p>
    <w:p>
      <w:pPr>
        <w:pStyle w:val="Normal"/>
        <w:spacing w:lineRule="exact" w:line="200" w:before="240" w:after="0"/>
        <w:rPr/>
      </w:pPr>
      <w:r>
        <w:rPr>
          <w:rStyle w:val="zzmpTrailerItem"/>
        </w:rPr>
        <w:t>2704/110/X11814-1</w:t>
      </w:r>
      <w:r>
        <w:rPr/>
        <w:t xml:space="preserve"> </w:t>
      </w:r>
    </w:p>
    <w:sectPr>
      <w:footerReference w:type="default" r:id="rId2"/>
      <w:footerReference w:type="first" r:id="rId3"/>
      <w:footnotePr>
        <w:numFmt w:val="decimal"/>
      </w:footnotePr>
      <w:type w:val="nextPage"/>
      <w:pgSz w:w="12240" w:h="15840"/>
      <w:pgMar w:left="1800" w:right="1800" w:gutter="0" w:header="0" w:top="1440" w:footer="720" w:bottom="1440"/>
      <w:pgNumType w:start="0"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 w:name="Palatino">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0">
              <wp:simplePos x="0" y="0"/>
              <wp:positionH relativeFrom="margin">
                <wp:align>center</wp:align>
              </wp:positionH>
              <wp:positionV relativeFrom="paragraph">
                <wp:posOffset>635</wp:posOffset>
              </wp:positionV>
              <wp:extent cx="1276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1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sz w:val="24"/>
        </w:rPr>
        <w:t>Although customers control these decisions, the rates and regulations established by the Commission may significantly impact whether these customers will enjoy the economic benefits DG technologies.  These issues will be addressed in Phase II of this proceeding.</w:t>
      </w:r>
    </w:p>
    <w:p>
      <w:pPr>
        <w:pStyle w:val="FootnoteText"/>
        <w:rPr>
          <w:sz w:val="24"/>
        </w:rPr>
      </w:pPr>
      <w:r>
        <w:rPr>
          <w:sz w:val="24"/>
        </w:rPr>
      </w:r>
    </w:p>
  </w:footnote>
  <w:footnote w:id="3">
    <w:p>
      <w:pPr>
        <w:pStyle w:val="Normal"/>
        <w:rPr/>
      </w:pPr>
      <w:r>
        <w:rPr>
          <w:rStyle w:val="FootnoteCharacters"/>
        </w:rPr>
        <w:footnoteRef/>
      </w:r>
      <w:r>
        <w:rPr/>
        <w:t xml:space="preserve"> </w:t>
      </w:r>
      <w:r>
        <w:rPr>
          <w:sz w:val="24"/>
        </w:rPr>
        <w:t xml:space="preserve">In fact, to the extent that any of the enterprises affiliated with California IOUs have been permitted to “compete” on the customer’s side of the meter, it has been through their unregulated operations.  UDCs that now advocate for the </w:t>
      </w:r>
      <w:r>
        <w:rPr>
          <w:i/>
          <w:sz w:val="24"/>
        </w:rPr>
        <w:t>right</w:t>
      </w:r>
      <w:r>
        <w:rPr>
          <w:sz w:val="24"/>
        </w:rPr>
        <w:t xml:space="preserve"> as UDCs to make DG installations on the customer’s side of the meter logically should also assume a concurrent </w:t>
      </w:r>
      <w:r>
        <w:rPr>
          <w:i/>
          <w:sz w:val="24"/>
        </w:rPr>
        <w:t>obligation</w:t>
      </w:r>
      <w:r>
        <w:rPr>
          <w:sz w:val="24"/>
        </w:rPr>
        <w:t xml:space="preserve"> to serve all customers in a non-discriminatory fashion. </w:t>
      </w:r>
    </w:p>
    <w:p>
      <w:pPr>
        <w:pStyle w:val="FootnoteText"/>
        <w:rPr>
          <w:sz w:val="24"/>
        </w:rPr>
      </w:pPr>
      <w:r>
        <w:rPr>
          <w:sz w:val="24"/>
        </w:rPr>
      </w:r>
    </w:p>
  </w:footnote>
  <w:footnote w:id="4">
    <w:p>
      <w:pPr>
        <w:pStyle w:val="FootnoteText"/>
        <w:rPr/>
      </w:pPr>
      <w:r>
        <w:rPr>
          <w:rStyle w:val="FootnoteCharacters"/>
        </w:rPr>
        <w:footnoteRef/>
      </w:r>
      <w:r>
        <w:rPr/>
        <w:t xml:space="preserve"> </w:t>
      </w:r>
      <w:r>
        <w:rPr>
          <w:sz w:val="24"/>
        </w:rPr>
        <w:t>However, UDC-affiliates should be allowed to install grid-side DG only after the measures discussed above in the context of customer-side DG are implemented.</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Wingdings" w:hAnsi="Wingdings" w:cs="Wingdings" w:hint="default"/>
      </w:r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Wingdings" w:hAnsi="Wingdings" w:cs="Wingdings" w:hint="default"/>
      </w:rPr>
    </w:lvl>
  </w:abstractNum>
  <w:abstractNum w:abstractNumId="12">
    <w:lvl w:ilvl="0">
      <w:start w:val="1"/>
      <w:numFmt w:val="bullet"/>
      <w:lvlText w:val=""/>
      <w:lvlJc w:val="start"/>
      <w:pPr>
        <w:tabs>
          <w:tab w:val="num" w:pos="360"/>
        </w:tabs>
        <w:ind w:start="360" w:hanging="360"/>
      </w:pPr>
      <w:rPr>
        <w:rFonts w:ascii="Wingdings" w:hAnsi="Wingdings" w:cs="Wingdings" w:hint="default"/>
      </w:rPr>
    </w:lvl>
  </w:abstractNum>
  <w:abstractNum w:abstractNumId="13">
    <w:lvl w:ilvl="0">
      <w:start w:val="1"/>
      <w:numFmt w:val="decimal"/>
      <w:lvlText w:val="%1)"/>
      <w:lvlJc w:val="start"/>
      <w:pPr>
        <w:tabs>
          <w:tab w:val="num" w:pos="360"/>
        </w:tabs>
        <w:ind w:start="360" w:hanging="360"/>
      </w:pPr>
    </w:lvl>
  </w:abstractNum>
  <w:abstractNum w:abstractNumId="14">
    <w:lvl w:ilvl="0">
      <w:start w:val="1"/>
      <w:numFmt w:val="bullet"/>
      <w:lvlText w:val=""/>
      <w:lvlJc w:val="start"/>
      <w:pPr>
        <w:tabs>
          <w:tab w:val="num" w:pos="360"/>
        </w:tabs>
        <w:ind w:start="360" w:hanging="360"/>
      </w:pPr>
      <w:rPr>
        <w:rFonts w:ascii="Wingdings" w:hAnsi="Wingdings" w:cs="Wingdings"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Wingdings" w:hAnsi="Wingdings" w:cs="Wingdings" w:hint="default"/>
      </w:rPr>
    </w:lvl>
  </w:abstractNum>
  <w:abstractNum w:abstractNumId="17">
    <w:lvl w:ilvl="0">
      <w:start w:val="1"/>
      <w:numFmt w:val="decimal"/>
      <w:lvlText w:val="%1)"/>
      <w:lvlJc w:val="start"/>
      <w:pPr>
        <w:tabs>
          <w:tab w:val="num" w:pos="360"/>
        </w:tabs>
        <w:ind w:start="360" w:hanging="360"/>
      </w:pPr>
    </w:lvl>
  </w:abstractNum>
  <w:abstractNum w:abstractNumId="18">
    <w:lvl w:ilvl="0">
      <w:start w:val="1"/>
      <w:numFmt w:val="bullet"/>
      <w:lvlText w:val=""/>
      <w:lvlJc w:val="start"/>
      <w:pPr>
        <w:tabs>
          <w:tab w:val="num" w:pos="360"/>
        </w:tabs>
        <w:ind w:start="360" w:hanging="360"/>
      </w:pPr>
      <w:rPr>
        <w:rFonts w:ascii="Wingdings" w:hAnsi="Wingdings" w:cs="Wingdings"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Wingdings" w:hAnsi="Wingdings" w:cs="Wingdings" w:hint="default"/>
      </w:rPr>
    </w:lvl>
  </w:abstractNum>
  <w:abstractNum w:abstractNumId="21">
    <w:lvl w:ilvl="0">
      <w:start w:val="1"/>
      <w:numFmt w:val="bullet"/>
      <w:lvlText w:val=""/>
      <w:lvlJc w:val="start"/>
      <w:pPr>
        <w:tabs>
          <w:tab w:val="num" w:pos="360"/>
        </w:tabs>
        <w:ind w:start="360" w:hanging="360"/>
      </w:pPr>
      <w:rPr>
        <w:rFonts w:ascii="Wingdings" w:hAnsi="Wingdings" w:cs="Wingdings" w:hint="default"/>
      </w:rPr>
    </w:lvl>
  </w:abstractNum>
  <w:abstractNum w:abstractNumId="22">
    <w:lvl w:ilvl="0">
      <w:start w:val="1"/>
      <w:numFmt w:val="bullet"/>
      <w:lvlText w:val=""/>
      <w:lvlJc w:val="start"/>
      <w:pPr>
        <w:tabs>
          <w:tab w:val="num" w:pos="360"/>
        </w:tabs>
        <w:ind w:start="360" w:hanging="360"/>
      </w:pPr>
      <w:rPr>
        <w:rFonts w:ascii="Wingdings" w:hAnsi="Wingdings" w:cs="Wingdings" w:hint="default"/>
      </w:rPr>
    </w:lvl>
  </w:abstractNum>
  <w:abstractNum w:abstractNumId="2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iTrailerType" w:val="1"/>
    <w:docVar w:name="zzmpFixedDOC_ID" w:val="2704/110/X11814-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Symbol" w:hAnsi="Symbol" w:cs="Symbol"/>
    </w:rPr>
  </w:style>
  <w:style w:type="character" w:styleId="WW8Num14z0">
    <w:name w:val="WW8Num14z0"/>
    <w:qFormat/>
    <w:rPr>
      <w:rFonts w:ascii="Wingdings" w:hAnsi="Wingdings" w:cs="Wingdings"/>
    </w:rPr>
  </w:style>
  <w:style w:type="character" w:styleId="WW8Num15z0">
    <w:name w:val="WW8Num15z0"/>
    <w:qFormat/>
    <w:rPr>
      <w:rFonts w:ascii="Wingdings" w:hAnsi="Wingdings" w:cs="Wingdings"/>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Wingdings" w:hAnsi="Wingdings" w:cs="Wingdings"/>
    </w:rPr>
  </w:style>
  <w:style w:type="character" w:styleId="WW8Num20z0">
    <w:name w:val="WW8Num20z0"/>
    <w:qFormat/>
    <w:rPr>
      <w:rFonts w:ascii="Symbol" w:hAnsi="Symbol" w:cs="Symbol"/>
    </w:rPr>
  </w:style>
  <w:style w:type="character" w:styleId="WW8Num21z0">
    <w:name w:val="WW8Num21z0"/>
    <w:qFormat/>
    <w:rPr>
      <w:rFonts w:ascii="Wingdings" w:hAnsi="Wingdings" w:cs="Wingdings"/>
    </w:rPr>
  </w:style>
  <w:style w:type="character" w:styleId="WW8Num22z0">
    <w:name w:val="WW8Num22z0"/>
    <w:qFormat/>
    <w:rPr>
      <w:rFonts w:ascii="Wingdings" w:hAnsi="Wingdings" w:cs="Wingdings"/>
    </w:rPr>
  </w:style>
  <w:style w:type="character" w:styleId="WW8Num23z0">
    <w:name w:val="WW8Num23z0"/>
    <w:qFormat/>
    <w:rPr>
      <w:rFonts w:ascii="Wingdings" w:hAnsi="Wingdings" w:cs="Wingdings"/>
    </w:rPr>
  </w:style>
  <w:style w:type="character" w:styleId="WW8Num24z0">
    <w:name w:val="WW8Num24z0"/>
    <w:qFormat/>
    <w:rPr>
      <w:rFonts w:ascii="Wingdings" w:hAnsi="Wingdings" w:cs="Wingdings"/>
    </w:rPr>
  </w:style>
  <w:style w:type="character" w:styleId="WW8Num25z0">
    <w:name w:val="WW8Num25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Wingdings" w:hAnsi="Wingdings" w:cs="Wingdings"/>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Wingdings" w:hAnsi="Wingdings" w:cs="Wingdings"/>
    </w:rPr>
  </w:style>
  <w:style w:type="character" w:styleId="WW8Num32z3">
    <w:name w:val="WW8Num32z3"/>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Wingdings" w:hAnsi="Wingdings" w:cs="Wingdings"/>
    </w:rPr>
  </w:style>
  <w:style w:type="character" w:styleId="WW8Num35z0">
    <w:name w:val="WW8Num35z0"/>
    <w:qFormat/>
    <w:rPr>
      <w:rFonts w:ascii="Symbol" w:hAnsi="Symbol" w:cs="Symbol"/>
    </w:rPr>
  </w:style>
  <w:style w:type="character" w:styleId="WW8Num37z0">
    <w:name w:val="WW8Num37z0"/>
    <w:qFormat/>
    <w:rPr>
      <w:rFonts w:ascii="Wingdings" w:hAnsi="Wingdings" w:cs="Wingdings"/>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Wingdings" w:hAnsi="Wingdings" w:cs="Wingdings"/>
    </w:rPr>
  </w:style>
  <w:style w:type="character" w:styleId="WW8Num41z0">
    <w:name w:val="WW8Num41z0"/>
    <w:qFormat/>
    <w:rPr>
      <w:rFonts w:ascii="Symbol" w:hAnsi="Symbol" w:cs="Symbol"/>
    </w:rPr>
  </w:style>
  <w:style w:type="character" w:styleId="WW8Num42z0">
    <w:name w:val="WW8Num42z0"/>
    <w:qFormat/>
    <w:rPr>
      <w:rFonts w:ascii="Wingdings" w:hAnsi="Wingdings" w:cs="Wingdings"/>
    </w:rPr>
  </w:style>
  <w:style w:type="character" w:styleId="WW8Num43z0">
    <w:name w:val="WW8Num43z0"/>
    <w:qFormat/>
    <w:rPr>
      <w:rFonts w:ascii="Symbol" w:hAnsi="Symbol" w:cs="Symbol"/>
    </w:rPr>
  </w:style>
  <w:style w:type="character" w:styleId="WW8Num44z0">
    <w:name w:val="WW8Num44z0"/>
    <w:qFormat/>
    <w:rPr>
      <w:rFonts w:ascii="Wingdings" w:hAnsi="Wingdings" w:cs="Wingdings"/>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sz w:val="24"/>
    </w:rPr>
  </w:style>
  <w:style w:type="paragraph" w:styleId="BodyText">
    <w:name w:val="Body Text"/>
    <w:basedOn w:val="Normal"/>
    <w:pPr>
      <w:spacing w:before="120" w:after="120"/>
    </w:pPr>
    <w:rPr>
      <w:rFonts w:ascii="Tahoma" w:hAnsi="Tahoma" w:cs="Tahoma"/>
      <w:b/>
      <w:sz w:val="22"/>
    </w:rPr>
  </w:style>
  <w:style w:type="paragraph" w:styleId="List">
    <w:name w:val="List"/>
    <w:basedOn w:val="BodyText"/>
    <w:pPr/>
    <w:rPr>
      <w:rFonts w:cs="NotoSans NF"/>
    </w:rPr>
  </w:style>
  <w:style w:type="paragraph" w:styleId="Caption">
    <w:name w:val="caption"/>
    <w:basedOn w:val="BodyText"/>
    <w:qFormat/>
    <w:pPr>
      <w:tabs>
        <w:tab w:val="clear" w:pos="720"/>
        <w:tab w:val="left" w:pos="4320" w:leader="none"/>
        <w:tab w:val="left" w:pos="5040" w:leader="none"/>
      </w:tabs>
      <w:spacing w:before="0" w:after="0"/>
    </w:pPr>
    <w:rPr>
      <w:rFonts w:ascii="Times New Roman" w:hAnsi="Times New Roman" w:cs="Times New Roman"/>
      <w:b w:val="false"/>
      <w:sz w:val="26"/>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sub1">
    <w:name w:val="sub1"/>
    <w:basedOn w:val="Normal"/>
    <w:qFormat/>
    <w:pPr>
      <w:spacing w:lineRule="auto" w:line="360"/>
      <w:ind w:firstLine="1080" w:start="0" w:end="0"/>
    </w:pPr>
    <w:rPr>
      <w:rFonts w:ascii="Palatino" w:hAnsi="Palatino" w:cs="Palatino"/>
      <w:sz w:val="26"/>
      <w:lang w:eastAsia="en-US"/>
    </w:rPr>
  </w:style>
  <w:style w:type="paragraph" w:styleId="BodyTextIndent">
    <w:name w:val="Body Text Indent"/>
    <w:basedOn w:val="Normal"/>
    <w:pPr>
      <w:ind w:hanging="0" w:start="72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2000-04-12T18:18:00Z</dcterms:created>
  <dc:creator>smara</dc:creator>
  <dc:description/>
  <dc:language>en-CA</dc:language>
  <cp:lastModifiedBy>BTC</cp:lastModifiedBy>
  <cp:lastPrinted>2000-04-12T13:31:00Z</cp:lastPrinted>
  <dcterms:modified xsi:type="dcterms:W3CDTF">2000-04-12T18:18:00Z</dcterms:modified>
  <cp:revision>2</cp:revision>
  <dc:subject/>
  <dc:title/>
</cp:coreProperties>
</file>