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Declaration of</w:t>
      </w:r>
    </w:p>
    <w:p>
      <w:pPr>
        <w:pStyle w:val="Normal"/>
        <w:jc w:val="center"/>
        <w:rPr>
          <w:b/>
          <w:sz w:val="24"/>
        </w:rPr>
      </w:pPr>
      <w:r>
        <w:rPr>
          <w:b/>
          <w:sz w:val="24"/>
        </w:rPr>
        <w:t>Jeffrey Dasovich</w:t>
      </w:r>
    </w:p>
    <w:p>
      <w:pPr>
        <w:pStyle w:val="Normal"/>
        <w:jc w:val="center"/>
        <w:rPr>
          <w:sz w:val="24"/>
        </w:rPr>
      </w:pPr>
      <w:r>
        <w:rPr>
          <w:b/>
          <w:sz w:val="24"/>
        </w:rPr>
        <w:t>Director, Enron Corp.</w:t>
      </w:r>
    </w:p>
    <w:p>
      <w:pPr>
        <w:pStyle w:val="Normal"/>
        <w:jc w:val="center"/>
        <w:rPr>
          <w:sz w:val="24"/>
        </w:rPr>
      </w:pPr>
      <w:r>
        <w:rPr>
          <w:sz w:val="24"/>
        </w:rPr>
      </w:r>
    </w:p>
    <w:p>
      <w:pPr>
        <w:pStyle w:val="Normal"/>
        <w:jc w:val="center"/>
        <w:rPr>
          <w:sz w:val="24"/>
        </w:rPr>
      </w:pPr>
      <w:r>
        <w:rPr>
          <w:sz w:val="24"/>
        </w:rPr>
      </w:r>
    </w:p>
    <w:p>
      <w:pPr>
        <w:pStyle w:val="Normal"/>
        <w:spacing w:lineRule="auto" w:line="360"/>
        <w:ind w:firstLine="720" w:end="0"/>
        <w:rPr>
          <w:sz w:val="24"/>
        </w:rPr>
      </w:pPr>
      <w:r>
        <w:rPr>
          <w:sz w:val="24"/>
        </w:rPr>
        <w:t>I, Jeffrey Dasovich, state:</w:t>
      </w:r>
    </w:p>
    <w:p>
      <w:pPr>
        <w:pStyle w:val="Normal"/>
        <w:spacing w:lineRule="auto" w:line="360"/>
        <w:ind w:firstLine="720" w:end="0"/>
        <w:rPr>
          <w:sz w:val="24"/>
        </w:rPr>
      </w:pPr>
      <w:r>
        <w:rPr>
          <w:sz w:val="24"/>
        </w:rPr>
        <w:t xml:space="preserve">I am a Director of California State Government Affairs for Enron Corp.  My business address is 101 California Street, Suite 1950, San Francisco, California, 94110.  Since joining Enron Corp. in 1997, my responsibilities have included representing Enron Corp. in California in matters related to natural gas.  I have also represented the Company in gas matters in Nevada and Colorado. </w:t>
      </w:r>
    </w:p>
    <w:p>
      <w:pPr>
        <w:pStyle w:val="Normal"/>
        <w:spacing w:lineRule="auto" w:line="360"/>
        <w:ind w:firstLine="720" w:end="0"/>
        <w:rPr>
          <w:sz w:val="24"/>
        </w:rPr>
      </w:pPr>
      <w:r>
        <w:rPr>
          <w:sz w:val="24"/>
        </w:rPr>
        <w:t>From 1996 to 1997, I held the position of Managing Consultant with the Law &amp; Economics Consulting Group, Inc. (LECG).  During my tenure at LECG, I advised US Fortune 500 and international telecommunications firms on public policy and strategic business issues related to the deregulation of the telecommunications industry.  I also advised the Trustee appointed by the California Public Utilities Commission on the design of California's new electricity market structure and the start-up of customer choice and competition introduced by AB 1890.</w:t>
      </w:r>
    </w:p>
    <w:p>
      <w:pPr>
        <w:pStyle w:val="Normal"/>
        <w:spacing w:lineRule="auto" w:line="360"/>
        <w:ind w:firstLine="720" w:end="0"/>
        <w:rPr>
          <w:sz w:val="24"/>
        </w:rPr>
      </w:pPr>
      <w:r>
        <w:rPr>
          <w:sz w:val="24"/>
        </w:rPr>
        <w:t>Prior to joining LECG, I served as a strategic planner in the California Public Utilities Commission's Division of Strategic Planning (DSP).  As a member of DSP, my key responsibilities included assisting Commissioners to launch California's landmark initiatives to restructure the state's electric and telecommunications industries.  During my tenure at the Public Utilities Commission, I also acted as an expert witness for the Division of Ratepayer Advocates (recently renamed the Office of Ratepayer Advocates) on the subject of power plant capacity expansion modeling and auction theory.</w:t>
      </w:r>
    </w:p>
    <w:p>
      <w:pPr>
        <w:pStyle w:val="Normal"/>
        <w:spacing w:lineRule="auto" w:line="360"/>
        <w:ind w:firstLine="720" w:end="0"/>
        <w:rPr>
          <w:sz w:val="24"/>
        </w:rPr>
      </w:pPr>
      <w:r>
        <w:rPr>
          <w:sz w:val="24"/>
        </w:rPr>
        <w:t>I received a Masters of Public Policy degree and a Bachelor of Arts degree from the University of California at Berkeley.</w:t>
      </w:r>
    </w:p>
    <w:p>
      <w:pPr>
        <w:pStyle w:val="Normal"/>
        <w:spacing w:lineRule="auto" w:line="360"/>
        <w:rPr>
          <w:sz w:val="24"/>
        </w:rPr>
      </w:pPr>
      <w:r>
        <w:rPr>
          <w:sz w:val="24"/>
        </w:rPr>
      </w:r>
    </w:p>
    <w:p>
      <w:pPr>
        <w:pStyle w:val="Normal"/>
        <w:spacing w:lineRule="auto" w:line="360"/>
        <w:rPr>
          <w:b/>
          <w:i/>
          <w:i/>
          <w:sz w:val="24"/>
        </w:rPr>
      </w:pPr>
      <w:r>
        <w:rPr>
          <w:b/>
          <w:i/>
          <w:sz w:val="24"/>
        </w:rPr>
        <w:t>The Settlement Brings More Choices to All of California's Gas Consumers</w:t>
      </w:r>
    </w:p>
    <w:p>
      <w:pPr>
        <w:pStyle w:val="Normal"/>
        <w:spacing w:lineRule="auto" w:line="360"/>
        <w:rPr>
          <w:sz w:val="24"/>
        </w:rPr>
      </w:pPr>
      <w:r>
        <w:rPr>
          <w:sz w:val="24"/>
        </w:rPr>
        <w:tab/>
        <w:t>For a variety of reasons, the Settlement Agreement ("the Settlement") submitted by the California Alliance for Competition clearly furthers the public interest.  All Californians will benefit significantly if the Settlement is implemented according to the timetable included in the Settlement.  Accordingly, the Commission should approve the Settlement.</w:t>
      </w:r>
    </w:p>
    <w:p>
      <w:pPr>
        <w:pStyle w:val="Normal"/>
        <w:spacing w:lineRule="auto" w:line="360"/>
        <w:ind w:firstLine="720" w:end="0"/>
        <w:rPr>
          <w:sz w:val="24"/>
        </w:rPr>
      </w:pPr>
      <w:r>
        <w:rPr>
          <w:sz w:val="24"/>
        </w:rPr>
        <w:t>To illustrate the significant degree to which the CAC Settlement furthers the public interest requires a brief description of the status quo and what brought California to this important juncture. California was a leader in the national movement to transform the nation's gas industry.   It brought to an end a system characterized by vertically-integrated monopolies, command-and-control regulation and one-size-fits-all service and replaced it with a market-based system that permits--at least some--customers to choose from among a host of competing providers offering an array of services. Enron played a significant role in that important endeavor and continues to be an active participant in California's evolving gas markets.</w:t>
      </w:r>
    </w:p>
    <w:p>
      <w:pPr>
        <w:pStyle w:val="Normal"/>
        <w:spacing w:lineRule="auto" w:line="360"/>
        <w:ind w:firstLine="720" w:end="0"/>
        <w:rPr>
          <w:sz w:val="24"/>
        </w:rPr>
      </w:pPr>
      <w:r>
        <w:rPr>
          <w:sz w:val="24"/>
        </w:rPr>
        <w:t>Today, California's large gas consumers can for the most part tailor gas service to meet their specific needs. The change to a more market-oriented gas structure is an undeniable improvement over the command-and-control, monopoly structure that existed previously.  The benefits that consumers have reaped from these changes are also undeniable.  The Settlement furthers the public interest because it builds and improves on those changes.  In particular, it provides all consumers, large and small alike, more choices and greater access to a wider variety of more efficient and innovative gas products and services.</w:t>
      </w:r>
    </w:p>
    <w:p>
      <w:pPr>
        <w:pStyle w:val="Normal"/>
        <w:spacing w:lineRule="auto" w:line="360"/>
        <w:ind w:firstLine="720" w:end="0"/>
        <w:rPr>
          <w:sz w:val="24"/>
        </w:rPr>
      </w:pPr>
      <w:r>
        <w:rPr>
          <w:sz w:val="24"/>
        </w:rPr>
      </w:r>
    </w:p>
    <w:p>
      <w:pPr>
        <w:pStyle w:val="Normal"/>
        <w:spacing w:lineRule="auto" w:line="360"/>
        <w:rPr>
          <w:b/>
          <w:i/>
          <w:i/>
          <w:sz w:val="24"/>
        </w:rPr>
      </w:pPr>
      <w:r>
        <w:rPr>
          <w:b/>
          <w:i/>
          <w:sz w:val="24"/>
        </w:rPr>
        <w:t>The Settlement Furthers the Commission's Long-standing Goals for Gas Restructuring in California</w:t>
      </w:r>
    </w:p>
    <w:p>
      <w:pPr>
        <w:pStyle w:val="Normal"/>
        <w:spacing w:lineRule="auto" w:line="360"/>
        <w:rPr>
          <w:sz w:val="24"/>
        </w:rPr>
      </w:pPr>
      <w:r>
        <w:rPr>
          <w:sz w:val="24"/>
        </w:rPr>
        <w:tab/>
        <w:t>Since reform of the gas industry began more than 20 years ago, four key principles have formed the basis of successful restructuring at the state and federal levels:</w:t>
      </w:r>
    </w:p>
    <w:p>
      <w:pPr>
        <w:pStyle w:val="Normal"/>
        <w:spacing w:lineRule="auto" w:line="360"/>
        <w:rPr>
          <w:sz w:val="24"/>
        </w:rPr>
      </w:pPr>
      <w:r>
        <w:rPr>
          <w:sz w:val="24"/>
        </w:rPr>
      </w:r>
    </w:p>
    <w:p>
      <w:pPr>
        <w:pStyle w:val="Normal"/>
        <w:numPr>
          <w:ilvl w:val="0"/>
          <w:numId w:val="3"/>
        </w:numPr>
        <w:spacing w:lineRule="auto" w:line="360"/>
        <w:rPr>
          <w:sz w:val="24"/>
        </w:rPr>
      </w:pPr>
      <w:r>
        <w:rPr>
          <w:sz w:val="24"/>
        </w:rPr>
        <w:t>The elimination of regulatory and artificial barriers to entry in order to encourage competing providers.</w:t>
      </w:r>
    </w:p>
    <w:p>
      <w:pPr>
        <w:pStyle w:val="Normal"/>
        <w:numPr>
          <w:ilvl w:val="0"/>
          <w:numId w:val="3"/>
        </w:numPr>
        <w:spacing w:lineRule="auto" w:line="360"/>
        <w:rPr>
          <w:sz w:val="24"/>
        </w:rPr>
      </w:pPr>
      <w:r>
        <w:rPr>
          <w:sz w:val="24"/>
        </w:rPr>
        <w:t xml:space="preserve">The disaggregation of gas service into its component parts (e.g., transportation, storage, balancing, procurement, metering and billing) in order to: </w:t>
      </w:r>
    </w:p>
    <w:p>
      <w:pPr>
        <w:pStyle w:val="Normal"/>
        <w:numPr>
          <w:ilvl w:val="0"/>
          <w:numId w:val="2"/>
        </w:numPr>
        <w:tabs>
          <w:tab w:val="left" w:pos="720" w:leader="none"/>
        </w:tabs>
        <w:spacing w:lineRule="auto" w:line="360"/>
        <w:ind w:hanging="360" w:start="720" w:end="0"/>
        <w:rPr>
          <w:sz w:val="24"/>
        </w:rPr>
      </w:pPr>
      <w:r>
        <w:rPr>
          <w:sz w:val="24"/>
        </w:rPr>
        <w:t xml:space="preserve">permit customers to tailor service to meet their particular needs, </w:t>
      </w:r>
    </w:p>
    <w:p>
      <w:pPr>
        <w:pStyle w:val="Normal"/>
        <w:numPr>
          <w:ilvl w:val="0"/>
          <w:numId w:val="2"/>
        </w:numPr>
        <w:tabs>
          <w:tab w:val="left" w:pos="720" w:leader="none"/>
        </w:tabs>
        <w:spacing w:lineRule="auto" w:line="360"/>
        <w:ind w:hanging="360" w:start="720" w:end="0"/>
        <w:rPr>
          <w:sz w:val="24"/>
        </w:rPr>
      </w:pPr>
      <w:r>
        <w:rPr>
          <w:sz w:val="24"/>
        </w:rPr>
        <w:t xml:space="preserve">ensure that customers only take and pay for the services they desire, and </w:t>
      </w:r>
    </w:p>
    <w:p>
      <w:pPr>
        <w:pStyle w:val="Normal"/>
        <w:numPr>
          <w:ilvl w:val="0"/>
          <w:numId w:val="2"/>
        </w:numPr>
        <w:tabs>
          <w:tab w:val="left" w:pos="720" w:leader="none"/>
        </w:tabs>
        <w:spacing w:lineRule="auto" w:line="360"/>
        <w:ind w:hanging="360" w:start="720" w:end="0"/>
        <w:rPr>
          <w:sz w:val="24"/>
        </w:rPr>
      </w:pPr>
      <w:r>
        <w:rPr>
          <w:sz w:val="24"/>
        </w:rPr>
        <w:t>encourage providers to compete to provide service at every level.</w:t>
      </w:r>
    </w:p>
    <w:p>
      <w:pPr>
        <w:pStyle w:val="Normal"/>
        <w:numPr>
          <w:ilvl w:val="0"/>
          <w:numId w:val="3"/>
        </w:numPr>
        <w:spacing w:lineRule="auto" w:line="360"/>
        <w:rPr>
          <w:sz w:val="24"/>
        </w:rPr>
      </w:pPr>
      <w:r>
        <w:rPr>
          <w:sz w:val="24"/>
        </w:rPr>
        <w:t xml:space="preserve">The use of structural approaches (e.g., divestiture) and nonstructural approaches (e.g., affiliate codes of conduct) to guard choice and competition from the corroding effects of market power abuse. </w:t>
      </w:r>
    </w:p>
    <w:p>
      <w:pPr>
        <w:pStyle w:val="Normal"/>
        <w:numPr>
          <w:ilvl w:val="0"/>
          <w:numId w:val="3"/>
        </w:numPr>
        <w:spacing w:lineRule="auto" w:line="360"/>
        <w:rPr>
          <w:sz w:val="24"/>
        </w:rPr>
      </w:pPr>
      <w:r>
        <w:rPr>
          <w:sz w:val="24"/>
        </w:rPr>
        <w:t>The development of low-cost, effective, consumer protections.</w:t>
      </w:r>
    </w:p>
    <w:p>
      <w:pPr>
        <w:pStyle w:val="Normal"/>
        <w:spacing w:lineRule="auto" w:line="360"/>
        <w:rPr>
          <w:sz w:val="24"/>
        </w:rPr>
      </w:pPr>
      <w:r>
        <w:rPr>
          <w:sz w:val="24"/>
        </w:rPr>
      </w:r>
    </w:p>
    <w:p>
      <w:pPr>
        <w:pStyle w:val="Normal"/>
        <w:spacing w:lineRule="auto" w:line="360"/>
        <w:rPr>
          <w:sz w:val="24"/>
        </w:rPr>
      </w:pPr>
      <w:r>
        <w:rPr>
          <w:sz w:val="24"/>
        </w:rPr>
        <w:tab/>
        <w:t xml:space="preserve">The Commission's 18-month gas restructuring process clearly demonstrated that all consumers--residential, commercial and industrial--have benefited significantly from state and federal reforms built on these principles over the past two decades.  Where policy makers have applied these principles, prices have fallen considerably.  At the same time, capital investment, reliability, safety, product innovation and efficiency have increased.  </w:t>
      </w:r>
    </w:p>
    <w:p>
      <w:pPr>
        <w:pStyle w:val="Normal"/>
        <w:spacing w:lineRule="auto" w:line="360"/>
        <w:ind w:firstLine="720" w:end="0"/>
        <w:rPr>
          <w:sz w:val="24"/>
        </w:rPr>
      </w:pPr>
      <w:r>
        <w:rPr>
          <w:sz w:val="24"/>
        </w:rPr>
        <w:t>Consumers have also reaped substantial benefits from the realignment of risk brought about by restructuring.  Traditionally, utility customers shouldered the significant financial risk associated with the large capital investments made by the incumbent utility.  With the application of the four principles listed above, gas utility customers face substantially less risk as new entrants continue to show a willingness and ability to bear and manage the risk traditionally placed with utility customers.</w:t>
      </w:r>
    </w:p>
    <w:p>
      <w:pPr>
        <w:pStyle w:val="Normal"/>
        <w:spacing w:lineRule="auto" w:line="360"/>
        <w:rPr>
          <w:sz w:val="24"/>
        </w:rPr>
      </w:pPr>
      <w:r>
        <w:rPr>
          <w:sz w:val="24"/>
        </w:rPr>
      </w:r>
    </w:p>
    <w:p>
      <w:pPr>
        <w:pStyle w:val="Normal"/>
        <w:spacing w:lineRule="auto" w:line="360"/>
        <w:rPr>
          <w:b/>
          <w:i/>
          <w:i/>
          <w:sz w:val="24"/>
        </w:rPr>
      </w:pPr>
      <w:r>
        <w:rPr>
          <w:b/>
          <w:i/>
          <w:sz w:val="24"/>
        </w:rPr>
        <w:t>The Settlement Ends California's Arbitrary and Unfair Regulatory Distinction between "Large" and "Small Gas Consumers"</w:t>
      </w:r>
    </w:p>
    <w:p>
      <w:pPr>
        <w:pStyle w:val="Normal"/>
        <w:spacing w:lineRule="auto" w:line="360"/>
        <w:rPr>
          <w:sz w:val="24"/>
        </w:rPr>
      </w:pPr>
      <w:r>
        <w:rPr>
          <w:sz w:val="24"/>
        </w:rPr>
        <w:tab/>
        <w:t>For a variety of reasons, however, California's gas consumers have enjoyed varying levels of choice and competition.  California's restructuring efforts designed to disaggregate service, eliminate entry barriers and increase competition have focused on the market for large gas consumers. Comparable reforms targeted at retail markets for small consumers have been postponed or neglected.  Yet the Commission's comprehensive restructuring proceeding has shown that the benefits a customer receives is directly proportional to the quality of choice and competition to which the customer has access.  Not surprisingly, that quality depends on the extent to which decision makers have applied the four key principles.  In California, large customers enjoy a much higher quality of choice and competition than small customers do.  In addition, the quality of choice and competition currently enjoyed by large customers can and should be significantly enhanced.</w:t>
      </w:r>
    </w:p>
    <w:p>
      <w:pPr>
        <w:pStyle w:val="Normal"/>
        <w:spacing w:lineRule="auto" w:line="360"/>
        <w:ind w:firstLine="720" w:end="0"/>
        <w:rPr>
          <w:sz w:val="24"/>
        </w:rPr>
      </w:pPr>
      <w:r>
        <w:rPr>
          <w:sz w:val="24"/>
        </w:rPr>
        <w:t>For example, all customers have received benefits from the competition, lower prices, increased efficiency, and innovation that have accompanied federal reform of well-head prices and the interstate pipeline system.  But those benefits, like federal jurisdiction, effectively stop at the California border.  Within California, the application of the four key restructuring principles to gas utility customers has been and continues to be inconsistent across customer groups and across incumbent utility service territories. With respect to customers, California has applied the principles most vigorously to the market for very large customers.  With respect to California's incumbent gas utilities, the principles have been applied much more extensively in PG&amp;E's service territory than in the territories of SoCalGas and SDG&amp;E.</w:t>
      </w:r>
    </w:p>
    <w:p>
      <w:pPr>
        <w:pStyle w:val="Normal"/>
        <w:spacing w:lineRule="auto" w:line="360"/>
        <w:rPr>
          <w:sz w:val="24"/>
        </w:rPr>
      </w:pPr>
      <w:r>
        <w:rPr>
          <w:sz w:val="24"/>
        </w:rPr>
        <w:tab/>
        <w:t>The extensive record developed during the course of R.98-01-011, the predecessor to this proceeding, demonstrates that the inconsistent application of the key restructuring principles has led to the following results:</w:t>
      </w:r>
    </w:p>
    <w:p>
      <w:pPr>
        <w:pStyle w:val="Normal"/>
        <w:spacing w:lineRule="auto" w:line="360"/>
        <w:rPr>
          <w:sz w:val="24"/>
        </w:rPr>
      </w:pPr>
      <w:r>
        <w:rPr>
          <w:sz w:val="24"/>
        </w:rPr>
      </w:r>
    </w:p>
    <w:p>
      <w:pPr>
        <w:pStyle w:val="Normal"/>
        <w:numPr>
          <w:ilvl w:val="0"/>
          <w:numId w:val="1"/>
        </w:numPr>
        <w:spacing w:lineRule="auto" w:line="360"/>
        <w:rPr>
          <w:sz w:val="24"/>
        </w:rPr>
      </w:pPr>
      <w:r>
        <w:rPr>
          <w:sz w:val="24"/>
        </w:rPr>
        <w:t>While the overall cost for gas service has decreased for both large and small customers, the decrease has been significantly greater for large customers.</w:t>
      </w:r>
    </w:p>
    <w:p>
      <w:pPr>
        <w:pStyle w:val="Normal"/>
        <w:numPr>
          <w:ilvl w:val="0"/>
          <w:numId w:val="1"/>
        </w:numPr>
        <w:spacing w:lineRule="auto" w:line="360"/>
        <w:rPr>
          <w:sz w:val="24"/>
        </w:rPr>
      </w:pPr>
      <w:r>
        <w:rPr>
          <w:sz w:val="24"/>
        </w:rPr>
        <w:t>In those cases where California has not applied the restructuring principles, small customers have seen the cost for services provided by the incumbent utilities increase.  Those increases have eaten away at the benefits of well-head and interstate pipeline competition created by federal reforms.</w:t>
      </w:r>
    </w:p>
    <w:p>
      <w:pPr>
        <w:pStyle w:val="Normal"/>
        <w:spacing w:lineRule="auto" w:line="360"/>
        <w:rPr>
          <w:sz w:val="24"/>
        </w:rPr>
      </w:pPr>
      <w:r>
        <w:rPr>
          <w:sz w:val="24"/>
        </w:rPr>
      </w:r>
    </w:p>
    <w:p>
      <w:pPr>
        <w:pStyle w:val="Normal"/>
        <w:spacing w:lineRule="auto" w:line="360"/>
        <w:ind w:firstLine="720" w:end="0"/>
        <w:rPr>
          <w:sz w:val="24"/>
        </w:rPr>
      </w:pPr>
      <w:r>
        <w:rPr>
          <w:sz w:val="24"/>
        </w:rPr>
        <w:t xml:space="preserve">Equally important, the gas market in Southern California differs markedly from the market in Northern California. As a result of the "Gas Accord," PG&amp;E has significantly disaggregated its service. Consequently, customers have just begun to benefit from an enhanced ability to choose from among a variety of competing, innovative service options and tailor service to best meet their needs at the lowest cost. </w:t>
      </w:r>
    </w:p>
    <w:p>
      <w:pPr>
        <w:pStyle w:val="Normal"/>
        <w:spacing w:lineRule="auto" w:line="360"/>
        <w:ind w:firstLine="720" w:end="0"/>
        <w:rPr>
          <w:sz w:val="24"/>
        </w:rPr>
      </w:pPr>
      <w:r>
        <w:rPr>
          <w:sz w:val="24"/>
        </w:rPr>
        <w:t xml:space="preserve">In stark contrast, service disaggregation in SoCalGas' territory lags far behind what PG&amp;E has accomplished in its territory. Customers in Southern California have fewer, less innovative and more costly gas services as a result.  As a result, customers pay more for gas service in Southern California than in Northern California.  Moreover, since gas prices play such a fundamental role in the cost of providing electricity in California, California's electricity consumers pay more than they should for electricity service. </w:t>
      </w:r>
    </w:p>
    <w:p>
      <w:pPr>
        <w:pStyle w:val="Normal"/>
        <w:spacing w:lineRule="auto" w:line="360"/>
        <w:rPr>
          <w:sz w:val="24"/>
        </w:rPr>
      </w:pPr>
      <w:r>
        <w:rPr>
          <w:sz w:val="24"/>
        </w:rPr>
        <w:tab/>
        <w:t xml:space="preserve">In sum, the Commission has developed an extensive record during the course of its comprehensive, 18-month examination of California natural gas industry.  The examination shows clearly that the benefits to gas and electric consumers alike increase the more entry is encouraged, services are disaggregated, and competition is increased.  The Commission's lengthy inquiry also placed into sharp focus the fact that gas restructuring in California has not occurred on a consistent basis.  Within individual utility service territories, efforts to restructure the state's gas industry have been directed predominantly toward large customers.  And across utility service territories, the roots of restructuring run substantially deeper in Northern California than in Southern California.   </w:t>
      </w:r>
    </w:p>
    <w:p>
      <w:pPr>
        <w:pStyle w:val="Normal"/>
        <w:spacing w:lineRule="auto" w:line="360"/>
        <w:ind w:firstLine="720" w:end="0"/>
        <w:rPr>
          <w:sz w:val="24"/>
        </w:rPr>
      </w:pPr>
      <w:r>
        <w:rPr>
          <w:sz w:val="24"/>
        </w:rPr>
        <w:t xml:space="preserve">In its decision identifying "Promising Policy Options," the Commission explicitly recognized that gas restructuring in California has been fragmented and inconsistent and that both gas and electric customers have foregone significant benefits as a result.  In response, the Commission identified the reforms needed to further the public interest by completing the restructuring that began over two decades ago and establishing a consistent, statewide gas market accessible to all of California's gas consumers.  </w:t>
      </w:r>
    </w:p>
    <w:p>
      <w:pPr>
        <w:pStyle w:val="Normal"/>
        <w:spacing w:lineRule="auto" w:line="360"/>
        <w:ind w:firstLine="720" w:end="0"/>
        <w:rPr>
          <w:sz w:val="24"/>
        </w:rPr>
      </w:pPr>
      <w:r>
        <w:rPr>
          <w:sz w:val="24"/>
        </w:rPr>
        <w:t>In developing its package of reforms, the Commission noted that most states either were undertaking similar reforms or had already done so.  In fact, when compared to gas restructuring activities underway or completed in other states, the package of reforms recommended by the Commission clearly offers a mainstream, modest approach.  The Commission's approach appropriately builds on the successful experience of two decades of gas industry restructuring at the state and federal level and adopts best industry practices.</w:t>
      </w:r>
    </w:p>
    <w:p>
      <w:pPr>
        <w:pStyle w:val="Normal"/>
        <w:spacing w:lineRule="auto" w:line="360"/>
        <w:ind w:firstLine="720" w:end="0"/>
        <w:rPr>
          <w:sz w:val="24"/>
        </w:rPr>
      </w:pPr>
      <w:r>
        <w:rPr>
          <w:sz w:val="24"/>
        </w:rPr>
      </w:r>
    </w:p>
    <w:p>
      <w:pPr>
        <w:pStyle w:val="Normal"/>
        <w:spacing w:lineRule="auto" w:line="360"/>
        <w:rPr>
          <w:b/>
          <w:i/>
          <w:i/>
          <w:sz w:val="24"/>
        </w:rPr>
      </w:pPr>
      <w:r>
        <w:rPr>
          <w:b/>
          <w:i/>
          <w:sz w:val="24"/>
        </w:rPr>
        <w:t>The Commission Should Approve the Settlement Because It Furthers the Public Interest</w:t>
      </w:r>
    </w:p>
    <w:p>
      <w:pPr>
        <w:pStyle w:val="Normal"/>
        <w:spacing w:lineRule="auto" w:line="360"/>
        <w:ind w:firstLine="720" w:end="0"/>
        <w:rPr>
          <w:sz w:val="24"/>
        </w:rPr>
      </w:pPr>
      <w:r>
        <w:rPr>
          <w:sz w:val="24"/>
        </w:rPr>
        <w:t>The Settlement is in the public interest because it includes an overwhelming majority, if not all, of the promising reforms the Commission identified in its exhaustive examination of California's natural gas industry.  Moreover, the implementation schedule included in the Settlement strikes an appropriate balance because it promises to promptly bring to all of California's gas consumers the significant benefits of restructuring, without imposing an unreasonable burden on the resources of the Commission, industry stakeholders or the incumbent utilities.</w:t>
      </w:r>
    </w:p>
    <w:p>
      <w:pPr>
        <w:pStyle w:val="Normal"/>
        <w:spacing w:lineRule="auto" w:line="360"/>
        <w:ind w:firstLine="720" w:end="0"/>
        <w:rPr/>
      </w:pPr>
      <w:r>
        <w:rPr>
          <w:sz w:val="24"/>
        </w:rPr>
        <w:t xml:space="preserve">The Settlement is in the public interest because it gives </w:t>
      </w:r>
      <w:r>
        <w:rPr>
          <w:b/>
          <w:i/>
          <w:sz w:val="24"/>
        </w:rPr>
        <w:t>all</w:t>
      </w:r>
      <w:r>
        <w:rPr>
          <w:sz w:val="24"/>
        </w:rPr>
        <w:t xml:space="preserve"> customers considerably more discretion over, and direct access to, a greater number of the vital components that comprise gas service, including transportation, storage, balancing and gas procurement.   In effect, it ends the two-class system that has existed in California's gas regulation for a decade and aligns the gas industry with the state's electric and telecommunications industries, where comparable, artificial regulatory distinctions between "small" and "large" consumers do not exist.  The Settlement further disaggregates the incumbent utilities' service in a manner that will lower entry barriers and mitigate market power and foster greater choice and competition.  By increasing customer choice and requiring service providers to vie vigorously for the privilege of serving California's gas customers, the Settlement will push service providers to continue to increase efficiency, create more innovative products and services, and price competitively.  </w:t>
      </w:r>
    </w:p>
    <w:p>
      <w:pPr>
        <w:pStyle w:val="Normal"/>
        <w:spacing w:lineRule="auto" w:line="360"/>
        <w:ind w:firstLine="720" w:end="0"/>
        <w:rPr>
          <w:sz w:val="24"/>
        </w:rPr>
      </w:pPr>
      <w:r>
        <w:rPr>
          <w:sz w:val="24"/>
        </w:rPr>
        <w:t>The Settlement also furthers the public interest by increasing customer choice, price competition and price certainty.  By giving customers greater freedom to choose, and by increasing opportunities for entrants to compete to assemble gas service packages that better meet customer needs, the Settlement significantly enhances the ability of entrants to compete with the incumbent utility.  In addition, the Settlement moves the development and pricing of gas products and services out of a costly and complex regulatory environment and into the marketplace.  This will bring greater price certainty and stability, since prices will respond to customer demand and other market fundamentals rather than the uncertainties and unpredictability of the hearing room.</w:t>
      </w:r>
    </w:p>
    <w:p>
      <w:pPr>
        <w:pStyle w:val="Normal"/>
        <w:spacing w:lineRule="auto" w:line="360"/>
        <w:ind w:firstLine="720" w:end="0"/>
        <w:rPr>
          <w:sz w:val="24"/>
        </w:rPr>
      </w:pPr>
      <w:r>
        <w:rPr>
          <w:sz w:val="24"/>
        </w:rPr>
        <w:t>Finally, the Settlement furthers the public interest in two important ways.  First the Settlement offers consumers significant additional benefits without unfairly shifting costs among or within customer classes. Second, the Settlement makes beneficial changes to the current industry structure while simultaneously providing the incumbent utility with a reasonable opportunity to earn a fair return of and on its investment.</w:t>
      </w:r>
    </w:p>
    <w:p>
      <w:pPr>
        <w:pStyle w:val="Normal"/>
        <w:spacing w:lineRule="auto" w:line="360"/>
        <w:ind w:firstLine="720" w:end="0"/>
        <w:rPr>
          <w:sz w:val="24"/>
        </w:rPr>
      </w:pPr>
      <w:r>
        <w:rPr>
          <w:sz w:val="24"/>
        </w:rPr>
        <w:t xml:space="preserve">For all of these reasons, the Settlement is in the public interest and therefore merits Commission approval. </w:t>
      </w:r>
    </w:p>
    <w:p>
      <w:pPr>
        <w:pStyle w:val="Normal"/>
        <w:spacing w:lineRule="auto" w:line="360"/>
        <w:ind w:firstLine="720" w:end="0"/>
        <w:rPr>
          <w:sz w:val="24"/>
        </w:rPr>
      </w:pPr>
      <w:r>
        <w:rPr>
          <w:sz w:val="24"/>
        </w:rPr>
      </w:r>
    </w:p>
    <w:p>
      <w:pPr>
        <w:pStyle w:val="BodyText"/>
        <w:spacing w:lineRule="auto" w:line="360"/>
        <w:ind w:firstLine="720" w:end="0"/>
        <w:rPr/>
      </w:pPr>
      <w:r>
        <w:rPr/>
        <w:t>I declare under penalty of perjury under the laws of the state of California that the foregoing is true and correct.</w:t>
      </w:r>
    </w:p>
    <w:p>
      <w:pPr>
        <w:pStyle w:val="BodyTextContinued"/>
        <w:rPr/>
      </w:pPr>
      <w:r>
        <w:rPr/>
        <w:t>Dated:__________________</w:t>
      </w:r>
    </w:p>
    <w:p>
      <w:pPr>
        <w:pStyle w:val="BodyText"/>
        <w:rPr/>
      </w:pPr>
      <w:r>
        <w:rPr/>
        <w:tab/>
        <w:tab/>
        <w:tab/>
        <w:tab/>
        <w:tab/>
        <w:t>________________________</w:t>
      </w:r>
    </w:p>
    <w:p>
      <w:pPr>
        <w:pStyle w:val="BodyText"/>
        <w:rPr/>
      </w:pPr>
      <w:r>
        <w:rPr/>
        <w:tab/>
        <w:tab/>
        <w:tab/>
        <w:tab/>
        <w:tab/>
        <w:tab/>
        <w:t>Jeffrey Dasovich</w:t>
      </w:r>
    </w:p>
    <w:p>
      <w:pPr>
        <w:pStyle w:val="Normal"/>
        <w:ind w:firstLine="720" w:end="0"/>
        <w:rPr>
          <w:sz w:val="24"/>
        </w:rPr>
      </w:pPr>
      <w:r>
        <w:rPr>
          <w:sz w:val="24"/>
        </w:rPr>
      </w:r>
    </w:p>
    <w:p>
      <w:pPr>
        <w:pStyle w:val="Normal"/>
        <w:spacing w:lineRule="exact" w:line="200" w:before="240" w:after="0"/>
        <w:rPr>
          <w:sz w:val="24"/>
        </w:rPr>
      </w:pPr>
      <w:r>
        <w:rPr>
          <w:sz w:val="24"/>
        </w:rPr>
      </w:r>
    </w:p>
    <w:p>
      <w:pPr>
        <w:pStyle w:val="Normal"/>
        <w:spacing w:lineRule="exact" w:line="200" w:before="240" w:after="0"/>
        <w:rPr/>
      </w:pPr>
      <w:r>
        <w:rPr>
          <w:rStyle w:val="zzmpTrailerItem"/>
        </w:rPr>
        <w:t>2715/007/X08940-1</w:t>
      </w:r>
      <w:r>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iTrailerType" w:val="1"/>
    <w:docVar w:name="zzmpFixedDOC_ID" w:val="2715/007/X0894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i/>
      <w:caps/>
      <w:shadow/>
      <w:emboss/>
      <w:vanish/>
      <w:color w:val="auto"/>
      <w:spacing w:val="0"/>
      <w:position w:val="0"/>
      <w:sz w:val="16"/>
      <w:sz w:val="16"/>
      <w:u w:val="none"/>
      <w:effect w:val="blinkBackground"/>
      <w:vertAlign w:val="baseline"/>
      <w:lang w:val="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BodyTextContinued">
    <w:name w:val="Body Text Continued"/>
    <w:basedOn w:val="BodyText"/>
    <w:next w:val="BodyText"/>
    <w:qFormat/>
    <w:pPr>
      <w:ind w:hanging="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2000-01-27T23:18:00Z</dcterms:created>
  <dc:creator>jdasovic</dc:creator>
  <dc:description/>
  <dc:language>en-CA</dc:language>
  <cp:lastModifiedBy>BTC</cp:lastModifiedBy>
  <cp:lastPrinted>2000-01-27T17:46:00Z</cp:lastPrinted>
  <dcterms:modified xsi:type="dcterms:W3CDTF">2000-01-27T23:18:00Z</dcterms:modified>
  <cp:revision>3</cp:revision>
  <dc:subject/>
  <dc:title/>
</cp:coreProperties>
</file>