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sz w:val="48"/>
        </w:rPr>
      </w:pPr>
      <w:r>
        <w:rPr>
          <w:sz w:val="48"/>
        </w:rPr>
        <w:t>Weekly Recap Report (Nuclear)</w:t>
      </w:r>
    </w:p>
    <w:p>
      <w:pPr>
        <w:pStyle w:val="Heading5"/>
        <w:ind w:hanging="0" w:start="0"/>
        <w:rPr>
          <w:sz w:val="48"/>
        </w:rPr>
      </w:pPr>
      <w:r>
        <w:rPr>
          <w:sz w:val="48"/>
        </w:rPr>
        <w:t>11/20/01</w:t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89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80" w:leader="none"/>
          <w:tab w:val="left" w:pos="7470" w:leader="none"/>
        </w:tabs>
        <w:jc w:val="both"/>
        <w:rPr>
          <w:b/>
          <w:sz w:val="12"/>
        </w:rPr>
      </w:pPr>
      <w:r>
        <w:rPr>
          <w:b/>
          <w:sz w:val="12"/>
        </w:rPr>
      </w:r>
    </w:p>
    <w:p>
      <w:pPr>
        <w:pStyle w:val="BodyTextIndent"/>
        <w:ind w:hanging="0" w:start="0" w:end="0"/>
        <w:rPr>
          <w:b/>
          <w:bCs/>
        </w:rPr>
      </w:pPr>
      <w:r>
        <w:rPr>
          <w:b/>
          <w:bCs/>
        </w:rPr>
        <w:t>Changed Status</w:t>
      </w:r>
    </w:p>
    <w:p>
      <w:pPr>
        <w:pStyle w:val="BodyTextIndent"/>
        <w:rPr>
          <w:b/>
          <w:bCs/>
          <w:sz w:val="8"/>
        </w:rPr>
      </w:pPr>
      <w:r>
        <w:rPr>
          <w:b/>
          <w:bCs/>
          <w:sz w:val="8"/>
        </w:rPr>
      </w:r>
    </w:p>
    <w:tbl>
      <w:tblPr>
        <w:tblW w:w="981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7740"/>
      </w:tblGrid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>Braidwood 2</w:t>
            </w:r>
          </w:p>
        </w:tc>
        <w:tc>
          <w:tcPr>
            <w:tcW w:w="7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 xml:space="preserve">Braidwood 2 restarted from its forced outage for generator repairs on Friday, 11/16/01.  They reached full power the next day (Saturday). </w:t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>Farley 1</w:t>
            </w:r>
          </w:p>
        </w:tc>
        <w:tc>
          <w:tcPr>
            <w:tcW w:w="7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>Farley 1 completed its refueling outage on 11/16/01 about two days later than originally expected.  The unit should be at full power by some time tomorrow.</w:t>
            </w:r>
          </w:p>
        </w:tc>
      </w:tr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>St. Lucie 2</w:t>
            </w:r>
          </w:p>
        </w:tc>
        <w:tc>
          <w:tcPr>
            <w:tcW w:w="77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</w:rPr>
            </w:pPr>
            <w:r>
              <w:rPr>
                <w:bCs/>
              </w:rPr>
              <w:t>As we had forecast, St. Lucie 2 did not begin its refueling outage last week as reported by some other sources (IIR).  We continue to expect that outage to begin on 11/26/01 and last approximately 30 days.</w:t>
            </w:r>
          </w:p>
        </w:tc>
      </w:tr>
    </w:tbl>
    <w:p>
      <w:pPr>
        <w:pStyle w:val="BodyTextIndent"/>
        <w:ind w:hanging="0" w:start="0" w:end="0"/>
        <w:rPr>
          <w:b/>
          <w:bCs/>
          <w:sz w:val="16"/>
        </w:rPr>
      </w:pPr>
      <w:r>
        <w:rPr>
          <w:b/>
          <w:bCs/>
          <w:sz w:val="16"/>
        </w:rPr>
      </w:r>
    </w:p>
    <w:p>
      <w:pPr>
        <w:pStyle w:val="BodyTextIndent"/>
        <w:tabs>
          <w:tab w:val="clear" w:pos="0"/>
          <w:tab w:val="clear" w:pos="360"/>
          <w:tab w:val="clear" w:pos="720"/>
          <w:tab w:val="clear" w:pos="2160"/>
          <w:tab w:val="clear" w:pos="3600"/>
          <w:tab w:val="clear" w:pos="4320"/>
          <w:tab w:val="clear" w:pos="5040"/>
          <w:tab w:val="clear" w:pos="5580"/>
          <w:tab w:val="clear" w:pos="7470"/>
          <w:tab w:val="left" w:pos="-1080" w:leader="none"/>
          <w:tab w:val="left" w:pos="-720" w:leader="none"/>
        </w:tabs>
        <w:ind w:hanging="0" w:start="0" w:end="0"/>
        <w:rPr>
          <w:b/>
          <w:bCs/>
          <w:sz w:val="20"/>
        </w:rPr>
      </w:pPr>
      <w:r>
        <w:rPr>
          <w:b/>
          <w:bCs/>
          <w:sz w:val="20"/>
        </w:rPr>
        <w:t>Refueling Outages</w:t>
      </w:r>
    </w:p>
    <w:p>
      <w:pPr>
        <w:pStyle w:val="BodyTextIndent"/>
        <w:rPr>
          <w:b/>
          <w:bCs/>
          <w:sz w:val="8"/>
        </w:rPr>
      </w:pPr>
      <w:r>
        <w:rPr>
          <w:b/>
          <w:bCs/>
          <w:sz w:val="8"/>
        </w:rPr>
      </w:r>
    </w:p>
    <w:tbl>
      <w:tblPr>
        <w:tblW w:w="477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970"/>
      </w:tblGrid>
      <w:tr>
        <w:trPr/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Fermi 2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Cooper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Harris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Kewaunee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Monticello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Oconee 3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Sequoyah 1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Surry 1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TMI 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12/01/01.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12/16/01.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12/06/01.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12/01/01.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12/16/01.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12/15/01.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11/27/01.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12/01/01.</w:t>
            </w:r>
          </w:p>
          <w:p>
            <w:pPr>
              <w:pStyle w:val="BodyTextIndent"/>
              <w:ind w:hanging="0" w:start="0" w:end="0"/>
              <w:rPr>
                <w:bCs/>
                <w:sz w:val="20"/>
              </w:rPr>
            </w:pPr>
            <w:r>
              <w:rPr>
                <w:bCs/>
                <w:sz w:val="20"/>
              </w:rPr>
              <w:t>Restart expected by 11/24/01.</w:t>
            </w:r>
          </w:p>
        </w:tc>
      </w:tr>
    </w:tbl>
    <w:p>
      <w:pPr>
        <w:pStyle w:val="BodyTextIndent"/>
        <w:rPr>
          <w:sz w:val="16"/>
        </w:rPr>
      </w:pPr>
      <w:r>
        <w:rPr>
          <w:sz w:val="16"/>
        </w:rPr>
      </w:r>
    </w:p>
    <w:sectPr>
      <w:footerReference w:type="default" r:id="rId2"/>
      <w:type w:val="nextPage"/>
      <w:pgSz w:w="12240" w:h="15840"/>
      <w:pgMar w:left="1080" w:right="1080" w:gutter="0" w:header="0" w:top="540" w:footer="266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16"/>
      </w:rPr>
    </w:pPr>
    <w:r>
      <w:rPr>
        <w:sz w:val="16"/>
      </w:rPr>
    </w:r>
  </w:p>
  <w:p>
    <w:pPr>
      <w:pStyle w:val="Normal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-1080" w:leader="none"/>
        <w:tab w:val="left" w:pos="-720" w:leader="none"/>
        <w:tab w:val="left" w:pos="0" w:leader="none"/>
        <w:tab w:val="left" w:pos="360" w:leader="none"/>
        <w:tab w:val="left" w:pos="720" w:leader="none"/>
        <w:tab w:val="left" w:pos="2160" w:leader="none"/>
        <w:tab w:val="left" w:pos="3600" w:leader="none"/>
        <w:tab w:val="left" w:pos="4320" w:leader="none"/>
        <w:tab w:val="left" w:pos="5040" w:leader="none"/>
        <w:tab w:val="left" w:pos="5580" w:leader="none"/>
        <w:tab w:val="left" w:pos="7470" w:leader="none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-1080" w:leader="none"/>
        <w:tab w:val="left" w:pos="-720" w:leader="none"/>
        <w:tab w:val="left" w:pos="0" w:leader="none"/>
        <w:tab w:val="left" w:pos="360" w:leader="none"/>
        <w:tab w:val="left" w:pos="720" w:leader="none"/>
        <w:tab w:val="left" w:pos="2160" w:leader="none"/>
        <w:tab w:val="left" w:pos="3600" w:leader="none"/>
        <w:tab w:val="left" w:pos="4320" w:leader="none"/>
        <w:tab w:val="left" w:pos="5040" w:leader="none"/>
        <w:tab w:val="left" w:pos="5580" w:leader="none"/>
        <w:tab w:val="left" w:pos="7470" w:leader="none"/>
      </w:tabs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89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580" w:leader="none"/>
        <w:tab w:val="left" w:pos="7470" w:leader="none"/>
      </w:tabs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0" w:end="0"/>
      <w:outlineLvl w:val="5"/>
    </w:pPr>
    <w:rPr>
      <w:b/>
      <w:sz w:val="5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-1080" w:leader="none"/>
        <w:tab w:val="left" w:pos="-720" w:leader="none"/>
        <w:tab w:val="left" w:pos="0" w:leader="none"/>
        <w:tab w:val="left" w:pos="360" w:leader="none"/>
        <w:tab w:val="left" w:pos="72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580" w:leader="none"/>
        <w:tab w:val="left" w:pos="7470" w:leader="none"/>
      </w:tabs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-1080" w:leader="none"/>
        <w:tab w:val="left" w:pos="-720" w:leader="none"/>
        <w:tab w:val="left" w:pos="0" w:leader="none"/>
        <w:tab w:val="left" w:pos="360" w:leader="none"/>
        <w:tab w:val="left" w:pos="720" w:leader="none"/>
        <w:tab w:val="left" w:pos="2160" w:leader="none"/>
        <w:tab w:val="left" w:pos="3600" w:leader="none"/>
        <w:tab w:val="left" w:pos="4320" w:leader="none"/>
        <w:tab w:val="left" w:pos="5040" w:leader="none"/>
        <w:tab w:val="left" w:pos="5580" w:leader="none"/>
        <w:tab w:val="left" w:pos="7470" w:leader="none"/>
      </w:tabs>
      <w:ind w:hanging="2160" w:start="2160" w:end="0"/>
      <w:jc w:val="both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NormalWeb">
    <w:name w:val="Normal (Web)"/>
    <w:basedOn w:val="Normal"/>
    <w:qFormat/>
    <w:pPr>
      <w:widowControl/>
      <w:autoSpaceDE w:val="true"/>
      <w:spacing w:before="100" w:after="10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2001-11-21T11:09:00Z</dcterms:created>
  <dc:creator>Garth Erdmann</dc:creator>
  <dc:description/>
  <dc:language>en-CA</dc:language>
  <cp:lastModifiedBy>Dan Salter</cp:lastModifiedBy>
  <cp:lastPrinted>2001-07-19T08:08:00Z</cp:lastPrinted>
  <dcterms:modified xsi:type="dcterms:W3CDTF">2001-11-21T11:09:00Z</dcterms:modified>
  <cp:revision>2</cp:revision>
  <dc:subject/>
  <dc:title>8/28/01</dc:title>
</cp:coreProperties>
</file>