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Narrow" w:hAnsi="Arial Narrow" w:cs="Arial Narrow"/>
        </w:rPr>
      </w:pPr>
      <w:r>
        <w:rPr>
          <w:rFonts w:cs="Arial Narrow" w:ascii="Arial Narrow" w:hAnsi="Arial Narrow"/>
          <w:sz w:val="20"/>
        </w:rPr>
        <w:drawing>
          <wp:inline distT="0" distB="0" distL="0" distR="0">
            <wp:extent cx="100330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03300" cy="987425"/>
                    </a:xfrm>
                    <a:prstGeom prst="rect">
                      <a:avLst/>
                    </a:prstGeom>
                    <a:noFill/>
                  </pic:spPr>
                </pic:pic>
              </a:graphicData>
            </a:graphic>
          </wp:inline>
        </w:drawing>
      </w:r>
    </w:p>
    <w:p>
      <w:pPr>
        <w:pStyle w:val="Heading"/>
        <w:rPr>
          <w:rFonts w:ascii="Arial Narrow" w:hAnsi="Arial Narrow" w:cs="Arial Narrow"/>
        </w:rPr>
      </w:pPr>
      <w:r>
        <w:rPr>
          <w:rFonts w:cs="Arial Narrow" w:ascii="Arial Narrow" w:hAnsi="Arial Narrow"/>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atLeast"/>
        </w:trPr>
        <w:tc>
          <w:tcPr>
            <w:tcW w:w="708" w:type="dxa"/>
            <w:tcBorders/>
          </w:tcPr>
          <w:p>
            <w:pPr>
              <w:pStyle w:val="Normal"/>
              <w:ind w:start="-180" w:end="0"/>
              <w:jc w:val="end"/>
              <w:rPr>
                <w:rFonts w:ascii="Arial Narrow" w:hAnsi="Arial Narrow" w:cs="Arial Narrow"/>
                <w:sz w:val="16"/>
              </w:rPr>
            </w:pPr>
            <w:r>
              <w:rPr>
                <w:rFonts w:cs="Arial Narrow" w:ascii="Arial Narrow" w:hAnsi="Arial Narrow"/>
                <w:sz w:val="16"/>
              </w:rPr>
              <w:t>To:</w:t>
            </w:r>
          </w:p>
        </w:tc>
        <w:tc>
          <w:tcPr>
            <w:tcW w:w="6045" w:type="dxa"/>
            <w:tcBorders/>
          </w:tcPr>
          <w:p>
            <w:pPr>
              <w:pStyle w:val="To"/>
              <w:rPr>
                <w:rFonts w:ascii="Arial Narrow" w:hAnsi="Arial Narrow" w:cs="Arial Narrow"/>
              </w:rPr>
            </w:pPr>
            <w:r>
              <w:rPr>
                <w:rFonts w:cs="Arial Narrow" w:ascii="Arial Narrow" w:hAnsi="Arial Narrow"/>
              </w:rPr>
              <w:t>Rick Buy</w:t>
            </w:r>
          </w:p>
          <w:p>
            <w:pPr>
              <w:pStyle w:val="To"/>
              <w:rPr>
                <w:rFonts w:ascii="Arial Narrow" w:hAnsi="Arial Narrow" w:cs="Arial Narrow"/>
              </w:rPr>
            </w:pPr>
            <w:r>
              <w:rPr>
                <w:rFonts w:cs="Arial Narrow" w:ascii="Arial Narrow" w:hAnsi="Arial Narrow"/>
              </w:rPr>
              <w:t>Rick Causey</w:t>
            </w:r>
          </w:p>
        </w:tc>
        <w:tc>
          <w:tcPr>
            <w:tcW w:w="990" w:type="dxa"/>
            <w:tcBorders/>
          </w:tcPr>
          <w:p>
            <w:pPr>
              <w:pStyle w:val="Normal"/>
              <w:snapToGrid w:val="false"/>
              <w:ind w:start="-180" w:end="0"/>
              <w:rPr>
                <w:rFonts w:ascii="Arial Narrow" w:hAnsi="Arial Narrow" w:cs="Arial Narrow"/>
              </w:rPr>
            </w:pPr>
            <w:r>
              <w:rPr>
                <w:rFonts w:cs="Arial Narrow" w:ascii="Arial Narrow" w:hAnsi="Arial Narrow"/>
              </w:rPr>
            </w:r>
          </w:p>
        </w:tc>
        <w:tc>
          <w:tcPr>
            <w:tcW w:w="2965" w:type="dxa"/>
            <w:tcBorders/>
          </w:tcPr>
          <w:p>
            <w:pPr>
              <w:pStyle w:val="Normal"/>
              <w:snapToGrid w:val="false"/>
              <w:rPr>
                <w:rFonts w:ascii="Arial Narrow" w:hAnsi="Arial Narrow" w:cs="Arial Narrow"/>
              </w:rPr>
            </w:pPr>
            <w:r>
              <w:rPr>
                <w:rFonts w:cs="Arial Narrow" w:ascii="Arial Narrow" w:hAnsi="Arial Narrow"/>
              </w:rPr>
            </w:r>
          </w:p>
        </w:tc>
      </w:tr>
      <w:tr>
        <w:trPr>
          <w:trHeight w:val="216" w:hRule="exact"/>
        </w:trPr>
        <w:tc>
          <w:tcPr>
            <w:tcW w:w="708" w:type="dxa"/>
            <w:tcBorders/>
          </w:tcPr>
          <w:p>
            <w:pPr>
              <w:pStyle w:val="Normal"/>
              <w:snapToGrid w:val="false"/>
              <w:ind w:start="-180" w:end="0"/>
              <w:jc w:val="end"/>
              <w:rPr>
                <w:rFonts w:ascii="Arial Narrow" w:hAnsi="Arial Narrow" w:cs="Arial Narrow"/>
                <w:sz w:val="18"/>
              </w:rPr>
            </w:pPr>
            <w:r>
              <w:rPr>
                <w:rFonts w:cs="Arial Narrow" w:ascii="Arial Narrow" w:hAnsi="Arial Narrow"/>
                <w:sz w:val="18"/>
              </w:rPr>
            </w:r>
          </w:p>
        </w:tc>
        <w:tc>
          <w:tcPr>
            <w:tcW w:w="6045" w:type="dxa"/>
            <w:tcBorders/>
          </w:tcPr>
          <w:p>
            <w:pPr>
              <w:pStyle w:val="Normal"/>
              <w:snapToGrid w:val="false"/>
              <w:rPr>
                <w:rFonts w:ascii="Arial Narrow" w:hAnsi="Arial Narrow" w:cs="Arial Narrow"/>
                <w:sz w:val="18"/>
              </w:rPr>
            </w:pPr>
            <w:r>
              <w:rPr>
                <w:rFonts w:cs="Arial Narrow" w:ascii="Arial Narrow" w:hAnsi="Arial Narrow"/>
                <w:sz w:val="18"/>
              </w:rPr>
            </w:r>
          </w:p>
        </w:tc>
        <w:tc>
          <w:tcPr>
            <w:tcW w:w="990" w:type="dxa"/>
            <w:tcBorders/>
          </w:tcPr>
          <w:p>
            <w:pPr>
              <w:pStyle w:val="Normal"/>
              <w:snapToGrid w:val="false"/>
              <w:ind w:start="-180" w:end="0"/>
              <w:rPr>
                <w:rFonts w:ascii="Arial Narrow" w:hAnsi="Arial Narrow" w:cs="Arial Narrow"/>
                <w:sz w:val="18"/>
              </w:rPr>
            </w:pPr>
            <w:r>
              <w:rPr>
                <w:rFonts w:cs="Arial Narrow" w:ascii="Arial Narrow" w:hAnsi="Arial Narrow"/>
                <w:sz w:val="18"/>
              </w:rPr>
            </w:r>
          </w:p>
        </w:tc>
        <w:tc>
          <w:tcPr>
            <w:tcW w:w="2965" w:type="dxa"/>
            <w:tcBorders/>
          </w:tcPr>
          <w:p>
            <w:pPr>
              <w:pStyle w:val="Normal"/>
              <w:snapToGrid w:val="false"/>
              <w:rPr>
                <w:rFonts w:ascii="Arial Narrow" w:hAnsi="Arial Narrow" w:cs="Arial Narrow"/>
                <w:sz w:val="18"/>
              </w:rPr>
            </w:pPr>
            <w:r>
              <w:rPr>
                <w:rFonts w:cs="Arial Narrow" w:ascii="Arial Narrow" w:hAnsi="Arial Narrow"/>
                <w:sz w:val="18"/>
              </w:rPr>
            </w:r>
          </w:p>
        </w:tc>
      </w:tr>
      <w:tr>
        <w:trPr>
          <w:trHeight w:val="300" w:hRule="exact"/>
        </w:trPr>
        <w:tc>
          <w:tcPr>
            <w:tcW w:w="708" w:type="dxa"/>
            <w:tcBorders/>
          </w:tcPr>
          <w:p>
            <w:pPr>
              <w:pStyle w:val="Normal"/>
              <w:ind w:start="-180" w:end="0"/>
              <w:jc w:val="end"/>
              <w:rPr>
                <w:rFonts w:ascii="Arial Narrow" w:hAnsi="Arial Narrow" w:cs="Arial Narrow"/>
                <w:sz w:val="16"/>
              </w:rPr>
            </w:pPr>
            <w:r>
              <w:rPr>
                <w:rFonts w:cs="Arial Narrow" w:ascii="Arial Narrow" w:hAnsi="Arial Narrow"/>
                <w:sz w:val="16"/>
              </w:rPr>
              <w:t>From:</w:t>
            </w:r>
          </w:p>
        </w:tc>
        <w:tc>
          <w:tcPr>
            <w:tcW w:w="6045" w:type="dxa"/>
            <w:tcBorders/>
          </w:tcPr>
          <w:p>
            <w:pPr>
              <w:pStyle w:val="From"/>
              <w:rPr>
                <w:rFonts w:ascii="Arial Narrow" w:hAnsi="Arial Narrow" w:cs="Arial Narrow"/>
              </w:rPr>
            </w:pPr>
            <w:r>
              <w:rPr>
                <w:rFonts w:cs="Arial Narrow" w:ascii="Arial Narrow" w:hAnsi="Arial Narrow"/>
              </w:rPr>
              <w:t>Ted Murphy/Sally Beck</w:t>
            </w:r>
          </w:p>
        </w:tc>
        <w:tc>
          <w:tcPr>
            <w:tcW w:w="990" w:type="dxa"/>
            <w:tcBorders/>
          </w:tcPr>
          <w:p>
            <w:pPr>
              <w:pStyle w:val="Normal"/>
              <w:ind w:start="-180" w:end="0"/>
              <w:jc w:val="end"/>
              <w:rPr>
                <w:rFonts w:ascii="Arial Narrow" w:hAnsi="Arial Narrow" w:cs="Arial Narrow"/>
                <w:sz w:val="16"/>
              </w:rPr>
            </w:pPr>
            <w:r>
              <w:rPr>
                <w:rFonts w:cs="Arial Narrow" w:ascii="Arial Narrow" w:hAnsi="Arial Narrow"/>
                <w:sz w:val="16"/>
              </w:rPr>
              <w:t>Department:</w:t>
            </w:r>
          </w:p>
        </w:tc>
        <w:tc>
          <w:tcPr>
            <w:tcW w:w="2965" w:type="dxa"/>
            <w:tcBorders/>
          </w:tcPr>
          <w:p>
            <w:pPr>
              <w:pStyle w:val="Department"/>
              <w:rPr>
                <w:rFonts w:ascii="Arial Narrow" w:hAnsi="Arial Narrow" w:cs="Arial Narrow"/>
              </w:rPr>
            </w:pPr>
            <w:bookmarkStart w:id="0" w:name="From"/>
            <w:bookmarkEnd w:id="0"/>
            <w:r>
              <w:rPr>
                <w:rFonts w:cs="Arial Narrow" w:ascii="Arial Narrow" w:hAnsi="Arial Narrow"/>
              </w:rPr>
              <w:t>Risk Management Controls</w:t>
            </w:r>
          </w:p>
        </w:tc>
      </w:tr>
      <w:tr>
        <w:trPr>
          <w:trHeight w:val="216" w:hRule="exact"/>
        </w:trPr>
        <w:tc>
          <w:tcPr>
            <w:tcW w:w="708" w:type="dxa"/>
            <w:tcBorders/>
          </w:tcPr>
          <w:p>
            <w:pPr>
              <w:pStyle w:val="Normal"/>
              <w:snapToGrid w:val="false"/>
              <w:ind w:start="-180" w:end="0"/>
              <w:jc w:val="end"/>
              <w:rPr>
                <w:rFonts w:ascii="Arial Narrow" w:hAnsi="Arial Narrow" w:cs="Arial Narrow"/>
                <w:sz w:val="18"/>
              </w:rPr>
            </w:pPr>
            <w:r>
              <w:rPr>
                <w:rFonts w:cs="Arial Narrow" w:ascii="Arial Narrow" w:hAnsi="Arial Narrow"/>
                <w:sz w:val="18"/>
              </w:rPr>
            </w:r>
          </w:p>
        </w:tc>
        <w:tc>
          <w:tcPr>
            <w:tcW w:w="6045" w:type="dxa"/>
            <w:tcBorders/>
          </w:tcPr>
          <w:p>
            <w:pPr>
              <w:pStyle w:val="Normal"/>
              <w:snapToGrid w:val="false"/>
              <w:rPr>
                <w:rFonts w:ascii="Arial Narrow" w:hAnsi="Arial Narrow" w:cs="Arial Narrow"/>
                <w:sz w:val="18"/>
              </w:rPr>
            </w:pPr>
            <w:r>
              <w:rPr>
                <w:rFonts w:cs="Arial Narrow" w:ascii="Arial Narrow" w:hAnsi="Arial Narrow"/>
                <w:sz w:val="18"/>
              </w:rPr>
            </w:r>
          </w:p>
        </w:tc>
        <w:tc>
          <w:tcPr>
            <w:tcW w:w="990" w:type="dxa"/>
            <w:tcBorders/>
          </w:tcPr>
          <w:p>
            <w:pPr>
              <w:pStyle w:val="Normal"/>
              <w:snapToGrid w:val="false"/>
              <w:ind w:start="-180" w:end="0"/>
              <w:rPr>
                <w:rFonts w:ascii="Arial Narrow" w:hAnsi="Arial Narrow" w:cs="Arial Narrow"/>
                <w:sz w:val="18"/>
              </w:rPr>
            </w:pPr>
            <w:r>
              <w:rPr>
                <w:rFonts w:cs="Arial Narrow" w:ascii="Arial Narrow" w:hAnsi="Arial Narrow"/>
                <w:sz w:val="18"/>
              </w:rPr>
            </w:r>
          </w:p>
        </w:tc>
        <w:tc>
          <w:tcPr>
            <w:tcW w:w="2965" w:type="dxa"/>
            <w:tcBorders/>
          </w:tcPr>
          <w:p>
            <w:pPr>
              <w:pStyle w:val="Normal"/>
              <w:rPr>
                <w:rFonts w:ascii="Arial Narrow" w:hAnsi="Arial Narrow" w:eastAsia="Arial Narrow" w:cs="Arial Narrow"/>
                <w:sz w:val="18"/>
              </w:rPr>
            </w:pPr>
            <w:r>
              <w:rPr>
                <w:rFonts w:eastAsia="Arial Narrow" w:cs="Arial Narrow" w:ascii="Arial Narrow" w:hAnsi="Arial Narrow"/>
                <w:sz w:val="18"/>
              </w:rPr>
              <w:t xml:space="preserve"> </w:t>
            </w:r>
          </w:p>
        </w:tc>
      </w:tr>
      <w:tr>
        <w:trPr>
          <w:trHeight w:val="600" w:hRule="exact"/>
        </w:trPr>
        <w:tc>
          <w:tcPr>
            <w:tcW w:w="708" w:type="dxa"/>
            <w:tcBorders>
              <w:bottom w:val="single" w:sz="12" w:space="0" w:color="000000"/>
            </w:tcBorders>
          </w:tcPr>
          <w:p>
            <w:pPr>
              <w:pStyle w:val="Normal"/>
              <w:ind w:start="-180" w:end="0"/>
              <w:jc w:val="end"/>
              <w:rPr>
                <w:rFonts w:ascii="Arial Narrow" w:hAnsi="Arial Narrow" w:cs="Arial Narrow"/>
                <w:sz w:val="16"/>
              </w:rPr>
            </w:pPr>
            <w:r>
              <w:rPr>
                <w:rFonts w:cs="Arial Narrow" w:ascii="Arial Narrow" w:hAnsi="Arial Narrow"/>
                <w:sz w:val="16"/>
              </w:rPr>
              <w:t>Subject:</w:t>
            </w:r>
          </w:p>
        </w:tc>
        <w:tc>
          <w:tcPr>
            <w:tcW w:w="6045" w:type="dxa"/>
            <w:tcBorders>
              <w:bottom w:val="single" w:sz="12" w:space="0" w:color="000000"/>
            </w:tcBorders>
          </w:tcPr>
          <w:p>
            <w:pPr>
              <w:pStyle w:val="Subject"/>
              <w:rPr>
                <w:rFonts w:ascii="Arial Narrow" w:hAnsi="Arial Narrow" w:cs="Arial Narrow"/>
              </w:rPr>
            </w:pPr>
            <w:r>
              <w:rPr>
                <w:rFonts w:cs="Arial Narrow" w:ascii="Arial Narrow" w:hAnsi="Arial Narrow"/>
              </w:rPr>
              <w:t>Team Itineraries</w:t>
            </w:r>
          </w:p>
        </w:tc>
        <w:tc>
          <w:tcPr>
            <w:tcW w:w="990" w:type="dxa"/>
            <w:tcBorders>
              <w:bottom w:val="single" w:sz="12" w:space="0" w:color="000000"/>
            </w:tcBorders>
          </w:tcPr>
          <w:p>
            <w:pPr>
              <w:pStyle w:val="Normal"/>
              <w:ind w:start="-180" w:end="0"/>
              <w:jc w:val="end"/>
              <w:rPr>
                <w:rFonts w:ascii="Arial Narrow" w:hAnsi="Arial Narrow" w:cs="Arial Narrow"/>
                <w:sz w:val="16"/>
              </w:rPr>
            </w:pPr>
            <w:r>
              <w:rPr>
                <w:rFonts w:cs="Arial Narrow" w:ascii="Arial Narrow" w:hAnsi="Arial Narrow"/>
                <w:sz w:val="16"/>
              </w:rPr>
              <w:t>Date:</w:t>
            </w:r>
          </w:p>
        </w:tc>
        <w:tc>
          <w:tcPr>
            <w:tcW w:w="2965" w:type="dxa"/>
            <w:tcBorders>
              <w:bottom w:val="single" w:sz="12" w:space="0" w:color="000000"/>
            </w:tcBorders>
          </w:tcPr>
          <w:p>
            <w:pPr>
              <w:pStyle w:val="Date"/>
              <w:rPr>
                <w:rFonts w:ascii="Arial Narrow" w:hAnsi="Arial Narrow" w:cs="Arial Narrow"/>
              </w:rPr>
            </w:pPr>
            <w:r>
              <w:rPr>
                <w:rFonts w:cs="Arial Narrow" w:ascii="Arial Narrow" w:hAnsi="Arial Narrow"/>
              </w:rPr>
              <w:t>February  9, 2000</w:t>
            </w:r>
          </w:p>
        </w:tc>
      </w:tr>
    </w:tbl>
    <w:p>
      <w:pPr>
        <w:pStyle w:val="Body"/>
        <w:rPr>
          <w:rFonts w:ascii="Arial Narrow" w:hAnsi="Arial Narrow" w:cs="Arial Narrow"/>
        </w:rPr>
      </w:pPr>
      <w:r>
        <w:rPr>
          <w:rFonts w:cs="Arial Narrow" w:ascii="Arial Narrow" w:hAnsi="Arial Narrow"/>
        </w:rPr>
      </w:r>
      <w:bookmarkStart w:id="1" w:name="StartOfMemo"/>
      <w:bookmarkStart w:id="2" w:name="StartOfMemo"/>
      <w:bookmarkEnd w:id="2"/>
    </w:p>
    <w:p>
      <w:pPr>
        <w:pStyle w:val="Department"/>
        <w:rPr>
          <w:rFonts w:ascii="Arial Narrow" w:hAnsi="Arial Narrow" w:cs="Arial Narrow"/>
          <w:color w:val="000000"/>
        </w:rPr>
      </w:pPr>
      <w:r>
        <w:rPr>
          <w:rFonts w:cs="Arial Narrow" w:ascii="Arial Narrow" w:hAnsi="Arial Narrow"/>
          <w:color w:val="000000"/>
        </w:rPr>
        <w:t>To ensure the business processes deployed in the various business units are consistent worldwide, three task forces with representatives from Enron and Arthur Andersen have been established.  The following schedule and team is listed below:</w:t>
      </w:r>
    </w:p>
    <w:p>
      <w:pPr>
        <w:pStyle w:val="Department"/>
        <w:rPr>
          <w:rFonts w:ascii="Arial Narrow" w:hAnsi="Arial Narrow" w:cs="Arial Narrow"/>
          <w:color w:val="000000"/>
        </w:rPr>
      </w:pPr>
      <w:r>
        <w:rPr>
          <w:rFonts w:cs="Arial Narrow" w:ascii="Arial Narrow" w:hAnsi="Arial Narrow"/>
          <w:color w:val="000000"/>
        </w:rPr>
      </w:r>
    </w:p>
    <w:p>
      <w:pPr>
        <w:pStyle w:val="Department"/>
        <w:rPr>
          <w:rFonts w:ascii="Arial Narrow" w:hAnsi="Arial Narrow" w:cs="Arial Narrow"/>
          <w:color w:val="000000"/>
        </w:rPr>
      </w:pPr>
      <w:r>
        <w:rPr>
          <w:rFonts w:cs="Arial Narrow" w:ascii="Arial Narrow" w:hAnsi="Arial Narrow"/>
          <w:color w:val="000000"/>
        </w:rPr>
        <w:t>Phase I:</w:t>
      </w:r>
    </w:p>
    <w:p>
      <w:pPr>
        <w:pStyle w:val="Department"/>
        <w:rPr>
          <w:rFonts w:ascii="Arial Narrow" w:hAnsi="Arial Narrow" w:cs="Arial Narrow"/>
          <w:color w:val="000000"/>
        </w:rPr>
      </w:pPr>
      <w:r>
        <w:rPr>
          <w:rFonts w:cs="Arial Narrow" w:ascii="Arial Narrow" w:hAnsi="Arial Narrow"/>
          <w:color w:val="000000"/>
        </w:rPr>
      </w:r>
    </w:p>
    <w:p>
      <w:pPr>
        <w:pStyle w:val="Department"/>
        <w:rPr/>
      </w:pPr>
      <w:r>
        <w:rPr>
          <w:rFonts w:cs="Arial Narrow" w:ascii="Arial Narrow" w:hAnsi="Arial Narrow"/>
          <w:color w:val="000000"/>
          <w:u w:val="single"/>
        </w:rPr>
        <w:t>Team 1 – Southern Cone</w:t>
      </w:r>
      <w:r>
        <w:rPr>
          <w:rFonts w:cs="Arial Narrow" w:ascii="Arial Narrow" w:hAnsi="Arial Narrow"/>
          <w:color w:val="000000"/>
        </w:rPr>
        <w:tab/>
        <w:tab/>
        <w:tab/>
      </w:r>
      <w:r>
        <w:rPr>
          <w:rFonts w:cs="Arial Narrow" w:ascii="Arial Narrow" w:hAnsi="Arial Narrow"/>
          <w:color w:val="000000"/>
          <w:u w:val="single"/>
        </w:rPr>
        <w:t>Team 3 – Australia</w:t>
      </w:r>
    </w:p>
    <w:p>
      <w:pPr>
        <w:pStyle w:val="Department"/>
        <w:rPr>
          <w:rFonts w:ascii="Arial Narrow" w:hAnsi="Arial Narrow" w:cs="Arial Narrow"/>
          <w:color w:val="000000"/>
          <w:u w:val="single"/>
        </w:rPr>
      </w:pPr>
      <w:r>
        <w:rPr>
          <w:rFonts w:cs="Arial Narrow" w:ascii="Arial Narrow" w:hAnsi="Arial Narrow"/>
          <w:color w:val="000000"/>
          <w:u w:val="single"/>
        </w:rPr>
      </w:r>
    </w:p>
    <w:p>
      <w:pPr>
        <w:pStyle w:val="Department"/>
        <w:rPr>
          <w:rFonts w:ascii="Arial Narrow" w:hAnsi="Arial Narrow" w:cs="Arial Narrow"/>
          <w:color w:val="000000"/>
        </w:rPr>
      </w:pPr>
      <w:r>
        <w:rPr>
          <w:rFonts w:cs="Arial Narrow" w:ascii="Arial Narrow" w:hAnsi="Arial Narrow"/>
          <w:color w:val="000000"/>
        </w:rPr>
        <w:t>In Sao Paulo – Feb 13 – 16</w:t>
        <w:tab/>
        <w:tab/>
        <w:tab/>
        <w:t>In Australia – Feb 28 – March 1</w:t>
      </w:r>
    </w:p>
    <w:p>
      <w:pPr>
        <w:pStyle w:val="Department"/>
        <w:rPr>
          <w:rFonts w:ascii="Arial Narrow" w:hAnsi="Arial Narrow" w:cs="Arial Narrow"/>
          <w:color w:val="000000"/>
        </w:rPr>
      </w:pPr>
      <w:r>
        <w:rPr>
          <w:rFonts w:cs="Arial Narrow" w:ascii="Arial Narrow" w:hAnsi="Arial Narrow"/>
          <w:color w:val="000000"/>
        </w:rPr>
        <w:t>In Buenos Aires – Feb 16 – 18</w:t>
        <w:tab/>
        <w:tab/>
        <w:t>In Singapore – March 1 – 6</w:t>
      </w:r>
    </w:p>
    <w:p>
      <w:pPr>
        <w:pStyle w:val="Department"/>
        <w:rPr>
          <w:rFonts w:ascii="Arial Narrow" w:hAnsi="Arial Narrow" w:cs="Arial Narrow"/>
          <w:color w:val="000000"/>
        </w:rPr>
      </w:pPr>
      <w:r>
        <w:rPr>
          <w:rFonts w:cs="Arial Narrow" w:ascii="Arial Narrow" w:hAnsi="Arial Narrow"/>
          <w:color w:val="000000"/>
        </w:rPr>
        <w:t>Wrap-up following week</w:t>
        <w:tab/>
        <w:tab/>
        <w:tab/>
        <w:t>In London – March 6 – 8 (1/2 of team to go to London, other back to Houston)</w:t>
      </w:r>
    </w:p>
    <w:p>
      <w:pPr>
        <w:pStyle w:val="Department"/>
        <w:ind w:firstLine="720" w:start="2880" w:end="0"/>
        <w:rPr>
          <w:rFonts w:ascii="Arial Narrow" w:hAnsi="Arial Narrow" w:cs="Arial Narrow"/>
          <w:color w:val="000000"/>
        </w:rPr>
      </w:pPr>
      <w:r>
        <w:rPr>
          <w:rFonts w:cs="Arial Narrow" w:ascii="Arial Narrow" w:hAnsi="Arial Narrow"/>
          <w:color w:val="000000"/>
        </w:rPr>
        <w:t>Wrap-up – March 10</w:t>
      </w:r>
    </w:p>
    <w:p>
      <w:pPr>
        <w:pStyle w:val="Department"/>
        <w:rPr>
          <w:rFonts w:ascii="Arial Narrow" w:hAnsi="Arial Narrow" w:cs="Arial Narrow"/>
          <w:color w:val="000000"/>
        </w:rPr>
      </w:pPr>
      <w:r>
        <w:rPr>
          <w:rFonts w:cs="Arial Narrow" w:ascii="Arial Narrow" w:hAnsi="Arial Narrow"/>
          <w:color w:val="000000"/>
        </w:rPr>
      </w:r>
    </w:p>
    <w:p>
      <w:pPr>
        <w:pStyle w:val="Department"/>
        <w:rPr>
          <w:rFonts w:ascii="Arial Narrow" w:hAnsi="Arial Narrow" w:cs="Arial Narrow"/>
          <w:color w:val="000000"/>
        </w:rPr>
      </w:pPr>
      <w:r>
        <w:rPr>
          <w:rFonts w:cs="Arial Narrow" w:ascii="Arial Narrow" w:hAnsi="Arial Narrow"/>
          <w:color w:val="000000"/>
        </w:rPr>
        <w:t xml:space="preserve">Ted Murphy </w:t>
        <w:tab/>
        <w:tab/>
        <w:tab/>
        <w:tab/>
        <w:t>Bill Bradford - Lead</w:t>
      </w:r>
    </w:p>
    <w:p>
      <w:pPr>
        <w:pStyle w:val="Department"/>
        <w:rPr>
          <w:rFonts w:ascii="Arial Narrow" w:hAnsi="Arial Narrow" w:cs="Arial Narrow"/>
          <w:color w:val="000000"/>
        </w:rPr>
      </w:pPr>
      <w:r>
        <w:rPr>
          <w:rFonts w:cs="Arial Narrow" w:ascii="Arial Narrow" w:hAnsi="Arial Narrow"/>
          <w:color w:val="000000"/>
        </w:rPr>
        <w:t>Sally Beck</w:t>
        <w:tab/>
        <w:tab/>
        <w:tab/>
        <w:tab/>
        <w:t>Rudi Zipter</w:t>
      </w:r>
    </w:p>
    <w:p>
      <w:pPr>
        <w:pStyle w:val="Department"/>
        <w:rPr>
          <w:rFonts w:ascii="Arial Narrow" w:hAnsi="Arial Narrow" w:cs="Arial Narrow"/>
          <w:color w:val="000000"/>
        </w:rPr>
      </w:pPr>
      <w:r>
        <w:rPr>
          <w:rFonts w:cs="Arial Narrow" w:ascii="Arial Narrow" w:hAnsi="Arial Narrow"/>
          <w:color w:val="000000"/>
        </w:rPr>
        <w:t>John Sorrells – AA</w:t>
        <w:tab/>
        <w:tab/>
        <w:tab/>
        <w:tab/>
        <w:t>Scott Earnest</w:t>
      </w:r>
    </w:p>
    <w:p>
      <w:pPr>
        <w:pStyle w:val="Department"/>
        <w:rPr>
          <w:rFonts w:ascii="Arial Narrow" w:hAnsi="Arial Narrow" w:cs="Arial Narrow"/>
          <w:color w:val="000000"/>
        </w:rPr>
      </w:pPr>
      <w:r>
        <w:rPr>
          <w:rFonts w:cs="Arial Narrow" w:ascii="Arial Narrow" w:hAnsi="Arial Narrow"/>
          <w:color w:val="000000"/>
        </w:rPr>
        <w:t>John Vickers – AA</w:t>
        <w:tab/>
        <w:tab/>
        <w:tab/>
        <w:tab/>
        <w:t>Tom Bauer - AA</w:t>
      </w:r>
    </w:p>
    <w:p>
      <w:pPr>
        <w:pStyle w:val="Department"/>
        <w:rPr>
          <w:rFonts w:ascii="Arial Narrow" w:hAnsi="Arial Narrow" w:cs="Arial Narrow"/>
          <w:color w:val="000000"/>
        </w:rPr>
      </w:pPr>
      <w:r>
        <w:rPr>
          <w:rFonts w:cs="Arial Narrow" w:ascii="Arial Narrow" w:hAnsi="Arial Narrow"/>
          <w:color w:val="000000"/>
        </w:rPr>
        <w:t>Tom Bauer – AA</w:t>
        <w:tab/>
        <w:tab/>
        <w:tab/>
        <w:tab/>
        <w:t>Jim Brown - AA</w:t>
      </w:r>
    </w:p>
    <w:p>
      <w:pPr>
        <w:pStyle w:val="Department"/>
        <w:rPr>
          <w:rFonts w:ascii="Arial Narrow" w:hAnsi="Arial Narrow" w:cs="Arial Narrow"/>
          <w:color w:val="000000"/>
        </w:rPr>
      </w:pPr>
      <w:r>
        <w:rPr>
          <w:rFonts w:cs="Arial Narrow" w:ascii="Arial Narrow" w:hAnsi="Arial Narrow"/>
          <w:color w:val="000000"/>
        </w:rPr>
        <w:t>Kate Agnew – AA</w:t>
        <w:tab/>
        <w:tab/>
        <w:tab/>
        <w:tab/>
        <w:t>John Vickers - AA</w:t>
      </w:r>
    </w:p>
    <w:p>
      <w:pPr>
        <w:pStyle w:val="Department"/>
        <w:rPr>
          <w:rFonts w:ascii="Arial Narrow" w:hAnsi="Arial Narrow" w:cs="Arial Narrow"/>
          <w:color w:val="000000"/>
        </w:rPr>
      </w:pPr>
      <w:r>
        <w:rPr>
          <w:rFonts w:cs="Arial Narrow" w:ascii="Arial Narrow" w:hAnsi="Arial Narrow"/>
          <w:color w:val="000000"/>
        </w:rPr>
      </w:r>
    </w:p>
    <w:p>
      <w:pPr>
        <w:pStyle w:val="Department"/>
        <w:rPr>
          <w:rFonts w:ascii="Arial Narrow" w:hAnsi="Arial Narrow" w:cs="Arial Narrow"/>
          <w:color w:val="000000"/>
          <w:u w:val="single"/>
        </w:rPr>
      </w:pPr>
      <w:r>
        <w:rPr>
          <w:rFonts w:cs="Arial Narrow" w:ascii="Arial Narrow" w:hAnsi="Arial Narrow"/>
          <w:color w:val="000000"/>
          <w:u w:val="single"/>
        </w:rPr>
        <w:t>Team 2 – European</w:t>
      </w:r>
    </w:p>
    <w:p>
      <w:pPr>
        <w:pStyle w:val="Department"/>
        <w:rPr>
          <w:rFonts w:ascii="Arial Narrow" w:hAnsi="Arial Narrow" w:cs="Arial Narrow"/>
          <w:color w:val="000000"/>
          <w:u w:val="single"/>
        </w:rPr>
      </w:pPr>
      <w:r>
        <w:rPr>
          <w:rFonts w:cs="Arial Narrow" w:ascii="Arial Narrow" w:hAnsi="Arial Narrow"/>
          <w:color w:val="000000"/>
          <w:u w:val="single"/>
        </w:rPr>
      </w:r>
    </w:p>
    <w:p>
      <w:pPr>
        <w:pStyle w:val="Department"/>
        <w:rPr>
          <w:rFonts w:ascii="Arial Narrow" w:hAnsi="Arial Narrow" w:cs="Arial Narrow"/>
          <w:color w:val="000000"/>
          <w:u w:val="single"/>
        </w:rPr>
      </w:pPr>
      <w:r>
        <w:rPr>
          <w:rFonts w:cs="Arial Narrow" w:ascii="Arial Narrow" w:hAnsi="Arial Narrow"/>
          <w:color w:val="000000"/>
        </w:rPr>
        <w:t>In Oslo – Feb 21 – 23</w:t>
      </w:r>
    </w:p>
    <w:p>
      <w:pPr>
        <w:pStyle w:val="Department"/>
        <w:rPr>
          <w:rFonts w:ascii="Arial Narrow" w:hAnsi="Arial Narrow" w:cs="Arial Narrow"/>
          <w:color w:val="000000"/>
        </w:rPr>
      </w:pPr>
      <w:r>
        <w:rPr>
          <w:rFonts w:cs="Arial Narrow" w:ascii="Arial Narrow" w:hAnsi="Arial Narrow"/>
          <w:color w:val="000000"/>
        </w:rPr>
        <w:t>In Frankfurt – Feb 23 - 27</w:t>
      </w:r>
    </w:p>
    <w:p>
      <w:pPr>
        <w:pStyle w:val="Department"/>
        <w:rPr>
          <w:rFonts w:ascii="Arial Narrow" w:hAnsi="Arial Narrow" w:cs="Arial Narrow"/>
          <w:color w:val="000000"/>
        </w:rPr>
      </w:pPr>
      <w:r>
        <w:rPr>
          <w:rFonts w:cs="Arial Narrow" w:ascii="Arial Narrow" w:hAnsi="Arial Narrow"/>
          <w:color w:val="000000"/>
        </w:rPr>
        <w:t>Wrap-up following week</w:t>
      </w:r>
    </w:p>
    <w:p>
      <w:pPr>
        <w:pStyle w:val="Department"/>
        <w:rPr>
          <w:rFonts w:ascii="Arial Narrow" w:hAnsi="Arial Narrow" w:cs="Arial Narrow"/>
          <w:b/>
          <w:color w:val="000000"/>
          <w:u w:val="single"/>
        </w:rPr>
      </w:pPr>
      <w:r>
        <w:rPr>
          <w:rFonts w:cs="Arial Narrow" w:ascii="Arial Narrow" w:hAnsi="Arial Narrow"/>
          <w:b/>
          <w:color w:val="000000"/>
          <w:u w:val="single"/>
        </w:rPr>
      </w:r>
    </w:p>
    <w:p>
      <w:pPr>
        <w:pStyle w:val="Department"/>
        <w:rPr>
          <w:rFonts w:ascii="Arial Narrow" w:hAnsi="Arial Narrow" w:cs="Arial Narrow"/>
          <w:color w:val="000000"/>
        </w:rPr>
      </w:pPr>
      <w:r>
        <w:rPr>
          <w:rFonts w:cs="Arial Narrow" w:ascii="Arial Narrow" w:hAnsi="Arial Narrow"/>
          <w:color w:val="000000"/>
        </w:rPr>
        <w:t>Brent Price – Lead</w:t>
      </w:r>
    </w:p>
    <w:p>
      <w:pPr>
        <w:pStyle w:val="Department"/>
        <w:rPr>
          <w:rFonts w:ascii="Arial Narrow" w:hAnsi="Arial Narrow" w:cs="Arial Narrow"/>
          <w:color w:val="000000"/>
        </w:rPr>
      </w:pPr>
      <w:r>
        <w:rPr>
          <w:rFonts w:cs="Arial Narrow" w:ascii="Arial Narrow" w:hAnsi="Arial Narrow"/>
          <w:color w:val="000000"/>
        </w:rPr>
        <w:t>Bjorn Hagelmann</w:t>
      </w:r>
    </w:p>
    <w:p>
      <w:pPr>
        <w:pStyle w:val="Department"/>
        <w:rPr>
          <w:rFonts w:ascii="Arial Narrow" w:hAnsi="Arial Narrow" w:cs="Arial Narrow"/>
          <w:color w:val="000000"/>
        </w:rPr>
      </w:pPr>
      <w:r>
        <w:rPr>
          <w:rFonts w:cs="Arial Narrow" w:ascii="Arial Narrow" w:hAnsi="Arial Narrow"/>
          <w:color w:val="000000"/>
        </w:rPr>
        <w:t>Simon Prew – AA</w:t>
      </w:r>
    </w:p>
    <w:p>
      <w:pPr>
        <w:pStyle w:val="Department"/>
        <w:rPr>
          <w:rFonts w:ascii="Arial Narrow" w:hAnsi="Arial Narrow" w:cs="Arial Narrow"/>
          <w:color w:val="000000"/>
        </w:rPr>
      </w:pPr>
      <w:r>
        <w:rPr>
          <w:rFonts w:cs="Arial Narrow" w:ascii="Arial Narrow" w:hAnsi="Arial Narrow"/>
          <w:color w:val="000000"/>
        </w:rPr>
        <w:t>Rebecca Morrill – AA</w:t>
      </w:r>
    </w:p>
    <w:p>
      <w:pPr>
        <w:pStyle w:val="Department"/>
        <w:rPr>
          <w:rFonts w:ascii="Arial Narrow" w:hAnsi="Arial Narrow" w:cs="Arial Narrow"/>
          <w:color w:val="000000"/>
        </w:rPr>
      </w:pPr>
      <w:r>
        <w:rPr>
          <w:rFonts w:cs="Arial Narrow" w:ascii="Arial Narrow" w:hAnsi="Arial Narrow"/>
          <w:color w:val="000000"/>
        </w:rPr>
        <w:t>Nick Swingler - AA</w:t>
      </w:r>
    </w:p>
    <w:p>
      <w:pPr>
        <w:pStyle w:val="Department"/>
        <w:rPr>
          <w:rFonts w:ascii="Arial Narrow" w:hAnsi="Arial Narrow" w:cs="Arial Narrow"/>
          <w:color w:val="000000"/>
        </w:rPr>
      </w:pPr>
      <w:r>
        <w:rPr>
          <w:rFonts w:cs="Arial Narrow" w:ascii="Arial Narrow" w:hAnsi="Arial Narrow"/>
          <w:color w:val="000000"/>
        </w:rPr>
        <w:t>Chris Wooden – AA (in London as liaison)</w:t>
      </w:r>
    </w:p>
    <w:p>
      <w:pPr>
        <w:pStyle w:val="Department"/>
        <w:rPr>
          <w:rFonts w:ascii="Arial Narrow" w:hAnsi="Arial Narrow" w:cs="Arial Narrow"/>
          <w:color w:val="000000"/>
        </w:rPr>
      </w:pPr>
      <w:r>
        <w:rPr>
          <w:rFonts w:cs="Arial Narrow" w:ascii="Arial Narrow" w:hAnsi="Arial Narrow"/>
          <w:color w:val="000000"/>
        </w:rPr>
      </w:r>
    </w:p>
    <w:p>
      <w:pPr>
        <w:pStyle w:val="Department"/>
        <w:rPr>
          <w:rFonts w:ascii="Arial Narrow" w:hAnsi="Arial Narrow" w:cs="Arial Narrow"/>
          <w:color w:val="000000"/>
        </w:rPr>
      </w:pPr>
      <w:r>
        <w:rPr>
          <w:rFonts w:cs="Arial Narrow" w:ascii="Arial Narrow" w:hAnsi="Arial Narrow"/>
          <w:color w:val="000000"/>
        </w:rPr>
        <w:t>Phase II:</w:t>
      </w:r>
    </w:p>
    <w:p>
      <w:pPr>
        <w:pStyle w:val="Department"/>
        <w:rPr>
          <w:rFonts w:ascii="Arial Narrow" w:hAnsi="Arial Narrow" w:cs="Arial Narrow"/>
          <w:color w:val="000000"/>
        </w:rPr>
      </w:pPr>
      <w:r>
        <w:rPr>
          <w:rFonts w:cs="Arial Narrow" w:ascii="Arial Narrow" w:hAnsi="Arial Narrow"/>
          <w:color w:val="000000"/>
        </w:rPr>
      </w:r>
    </w:p>
    <w:p>
      <w:pPr>
        <w:pStyle w:val="Department"/>
        <w:rPr>
          <w:rFonts w:ascii="Arial Narrow" w:hAnsi="Arial Narrow" w:cs="Arial Narrow"/>
          <w:color w:val="000000"/>
        </w:rPr>
      </w:pPr>
      <w:r>
        <w:rPr>
          <w:rFonts w:cs="Arial Narrow" w:ascii="Arial Narrow" w:hAnsi="Arial Narrow"/>
          <w:color w:val="000000"/>
        </w:rPr>
        <w:t>To be determined</w:t>
      </w:r>
    </w:p>
    <w:p>
      <w:pPr>
        <w:pStyle w:val="Department"/>
        <w:rPr>
          <w:rFonts w:ascii="Arial Narrow" w:hAnsi="Arial Narrow" w:cs="Arial Narrow"/>
          <w:color w:val="000000"/>
        </w:rPr>
      </w:pPr>
      <w:r>
        <w:rPr>
          <w:rFonts w:cs="Arial Narrow" w:ascii="Arial Narrow" w:hAnsi="Arial Narrow"/>
          <w:color w:val="000000"/>
        </w:rPr>
      </w:r>
    </w:p>
    <w:p>
      <w:pPr>
        <w:pStyle w:val="Department"/>
        <w:rPr>
          <w:rFonts w:ascii="Arial Narrow" w:hAnsi="Arial Narrow" w:cs="Arial Narrow"/>
          <w:color w:val="000000"/>
        </w:rPr>
      </w:pPr>
      <w:r>
        <w:rPr>
          <w:rFonts w:cs="Arial Narrow" w:ascii="Arial Narrow" w:hAnsi="Arial Narrow"/>
          <w:color w:val="000000"/>
        </w:rPr>
        <w:t>Immediately, upon return of each team back to their respective home offices, we anticipate a review of the findings/recommendations with you.</w:t>
      </w:r>
    </w:p>
    <w:p>
      <w:pPr>
        <w:pStyle w:val="Department"/>
        <w:rPr>
          <w:rFonts w:ascii="Arial Narrow" w:hAnsi="Arial Narrow" w:cs="Arial Narrow"/>
          <w:color w:val="000000"/>
        </w:rPr>
      </w:pPr>
      <w:r>
        <w:rPr>
          <w:rFonts w:cs="Arial Narrow" w:ascii="Arial Narrow" w:hAnsi="Arial Narrow"/>
          <w:color w:val="000000"/>
        </w:rPr>
      </w:r>
    </w:p>
    <w:p>
      <w:pPr>
        <w:pStyle w:val="Department"/>
        <w:rPr>
          <w:rFonts w:ascii="Arial Narrow" w:hAnsi="Arial Narrow" w:cs="Arial Narrow"/>
          <w:color w:val="000000"/>
        </w:rPr>
      </w:pPr>
      <w:r>
        <w:rPr>
          <w:rFonts w:cs="Arial Narrow" w:ascii="Arial Narrow" w:hAnsi="Arial Narrow"/>
          <w:color w:val="000000"/>
        </w:rPr>
      </w:r>
    </w:p>
    <w:p>
      <w:pPr>
        <w:pStyle w:val="Department"/>
        <w:rPr>
          <w:rFonts w:ascii="Arial Narrow" w:hAnsi="Arial Narrow" w:cs="Arial Narrow"/>
          <w:color w:val="000000"/>
        </w:rPr>
      </w:pPr>
      <w:r>
        <w:rPr>
          <w:rFonts w:cs="Arial Narrow" w:ascii="Arial Narrow" w:hAnsi="Arial Narrow"/>
          <w:color w:val="000000"/>
        </w:rPr>
        <w:t>If you have any questions, please feel free to contact myself at x33324 or Sally Beck at x35926.</w:t>
      </w:r>
    </w:p>
    <w:p>
      <w:pPr>
        <w:pStyle w:val="Department"/>
        <w:rPr>
          <w:rFonts w:ascii="Arial Narrow" w:hAnsi="Arial Narrow" w:cs="Arial Narrow"/>
          <w:color w:val="000000"/>
          <w:u w:val="single"/>
        </w:rPr>
      </w:pPr>
      <w:r>
        <w:rPr>
          <w:rFonts w:cs="Arial Narrow" w:ascii="Arial Narrow" w:hAnsi="Arial Narrow"/>
          <w:color w:val="000000"/>
          <w:u w:val="single"/>
        </w:rPr>
      </w:r>
    </w:p>
    <w:p>
      <w:pPr>
        <w:pStyle w:val="Department"/>
        <w:rPr>
          <w:rFonts w:ascii="Arial Narrow" w:hAnsi="Arial Narrow" w:cs="Arial Narrow"/>
          <w:color w:val="000000"/>
          <w:u w:val="single"/>
        </w:rPr>
      </w:pPr>
      <w:r>
        <w:rPr>
          <w:rFonts w:cs="Arial Narrow" w:ascii="Arial Narrow" w:hAnsi="Arial Narrow"/>
          <w:color w:val="000000"/>
          <w:u w:val="single"/>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2000-02-10T17:00:00Z</dcterms:created>
  <dc:creator>Jeff Ford</dc:creator>
  <dc:description/>
  <dc:language>en-CA</dc:language>
  <cp:lastModifiedBy>vvaldez</cp:lastModifiedBy>
  <cp:lastPrinted>2000-02-11T15:22:00Z</cp:lastPrinted>
  <dcterms:modified xsi:type="dcterms:W3CDTF">2000-02-11T19:25:00Z</dcterms:modified>
  <cp:revision>15</cp:revision>
  <dc:subject/>
  <dc:title>Eron Capital &amp; Trade Resources Memo</dc:title>
</cp:coreProperties>
</file>