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p>
            <w:pPr>
              <w:pStyle w:val="To"/>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March 3,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Commission Agenda Next Week.  </w:t>
      </w:r>
      <w:r>
        <w:rPr>
          <w:rFonts w:eastAsia="Times New Roman" w:cs="Times New Roman" w:ascii="Times New Roman" w:hAnsi="Times New Roman"/>
        </w:rPr>
        <w:t>The Agenda will be released next week for the public meeting scheduled for March 15.</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FERC Rulemaking</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 w:val="left" w:pos="180" w:leader="none"/>
        </w:tabs>
        <w:spacing w:lineRule="atLeast" w:line="240"/>
        <w:ind w:hanging="720" w:start="720" w:end="0"/>
        <w:rPr/>
      </w:pPr>
      <w:r>
        <w:rPr>
          <w:rFonts w:eastAsia="Times New Roman" w:cs="Times New Roman" w:ascii="Times New Roman" w:hAnsi="Times New Roman"/>
          <w:b/>
          <w:bCs/>
        </w:rPr>
        <w:t>Final Rule in Order No. 637</w:t>
      </w:r>
      <w:r>
        <w:rPr>
          <w:rFonts w:eastAsia="Times New Roman" w:cs="Times New Roman" w:ascii="Times New Roman" w:hAnsi="Times New Roman"/>
        </w:rPr>
        <w:t xml:space="preserve"> was published in the </w:t>
      </w:r>
      <w:r>
        <w:rPr>
          <w:rFonts w:eastAsia="Times New Roman" w:cs="Times New Roman" w:ascii="Times New Roman" w:hAnsi="Times New Roman"/>
          <w:i/>
          <w:iCs/>
        </w:rPr>
        <w:t>Federal Register</w:t>
      </w:r>
      <w:r>
        <w:rPr>
          <w:rFonts w:eastAsia="Times New Roman" w:cs="Times New Roman" w:ascii="Times New Roman" w:hAnsi="Times New Roman"/>
        </w:rPr>
        <w:t xml:space="preserve"> on February 25 and therefore the rule takes effect March 27 (except for the reporting requirements, which take effect September 1).  Requests for rehearing are due next Friday, March 10.  While GPG plans to file rehearing, the request will be limited to specific implementation matters.  INGAA's comments similarly focus on specific language or implementation concerns. </w:t>
      </w:r>
    </w:p>
    <w:p>
      <w:pPr>
        <w:pStyle w:val="Normal"/>
        <w:numPr>
          <w:ilvl w:val="0"/>
          <w:numId w:val="0"/>
        </w:numPr>
        <w:spacing w:lineRule="atLeast" w:line="240"/>
        <w:ind w:hanging="0" w:start="0"/>
        <w:rPr>
          <w:rFonts w:ascii="Times New Roman" w:hAnsi="Times New Roman" w:eastAsia="Times New Roman" w:cs="Times New Roman"/>
        </w:rPr>
      </w:pPr>
      <w:r>
        <w:rPr>
          <w:rFonts w:eastAsia="Times New Roman" w:cs="Times New Roman" w:ascii="Times New Roman" w:hAnsi="Times New Roman"/>
        </w:rPr>
        <w:t xml:space="preserve">  </w:t>
      </w:r>
    </w:p>
    <w:p>
      <w:pPr>
        <w:pStyle w:val="Normal"/>
        <w:numPr>
          <w:ilvl w:val="0"/>
          <w:numId w:val="3"/>
        </w:numPr>
        <w:tabs>
          <w:tab w:val="clear" w:pos="540"/>
          <w:tab w:val="left" w:pos="0" w:leader="none"/>
          <w:tab w:val="left" w:pos="180" w:leader="none"/>
        </w:tabs>
        <w:spacing w:lineRule="atLeast" w:line="240"/>
        <w:ind w:hanging="720" w:start="720" w:end="0"/>
        <w:rPr>
          <w:rFonts w:ascii="Times New Roman" w:hAnsi="Times New Roman" w:eastAsia="Times New Roman" w:cs="Times New Roman"/>
        </w:rPr>
      </w:pPr>
      <w:r>
        <w:rPr>
          <w:rFonts w:eastAsia="Times New Roman" w:cs="Times New Roman" w:ascii="Times New Roman" w:hAnsi="Times New Roman"/>
          <w:b/>
          <w:bCs/>
        </w:rPr>
        <w:t xml:space="preserve">Order on Rehearing Issued in Order 603-B (New Certificate Rules).  </w:t>
      </w:r>
      <w:r>
        <w:rPr>
          <w:rFonts w:eastAsia="Times New Roman" w:cs="Times New Roman" w:ascii="Times New Roman" w:hAnsi="Times New Roman"/>
          <w:color w:val="000000"/>
        </w:rPr>
        <w:t xml:space="preserve">By order issued February 28, the Commission </w:t>
      </w:r>
      <w:r>
        <w:rPr>
          <w:rFonts w:eastAsia="Times New Roman" w:cs="Times New Roman" w:ascii="Times New Roman" w:hAnsi="Times New Roman"/>
          <w:b/>
          <w:bCs/>
          <w:i/>
          <w:iCs/>
          <w:color w:val="000000"/>
        </w:rPr>
        <w:t>reaffirmed</w:t>
      </w:r>
      <w:r>
        <w:rPr>
          <w:rFonts w:eastAsia="Times New Roman" w:cs="Times New Roman" w:ascii="Times New Roman" w:hAnsi="Times New Roman"/>
          <w:color w:val="000000"/>
        </w:rPr>
        <w:t xml:space="preserve"> its determinations in order 603 and 603-A, including finding that: new injection and withdrawal wells cannot be drilled under the miscellaneous rearrangement provisions of section 157.208, and interconnections between Part 284 transporters can be constructed under a blanket certificate.  Indicated Shippers had sought to have interconnections removed from the list of blanket-eligible facilities. Order 603-B also corrects the reporting requirements in section 157.211. </w:t>
      </w:r>
    </w:p>
    <w:p>
      <w:pPr>
        <w:pStyle w:val="Normal"/>
        <w:numPr>
          <w:ilvl w:val="0"/>
          <w:numId w:val="0"/>
        </w:numPr>
        <w:spacing w:lineRule="atLeast" w:line="240"/>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GPG-Related FERC Orders and Filings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Florida Gas (MG00-3), Northern Natural (MG00-4), and Northern Border (MG00-5)</w:t>
      </w:r>
    </w:p>
    <w:p>
      <w:pPr>
        <w:pStyle w:val="Normal"/>
        <w:numPr>
          <w:ilvl w:val="0"/>
          <w:numId w:val="0"/>
        </w:numPr>
        <w:tabs>
          <w:tab w:val="clear" w:pos="540"/>
        </w:tabs>
        <w:ind w:hanging="0" w:start="360" w:end="0"/>
        <w:rPr>
          <w:rFonts w:ascii="Times New Roman" w:hAnsi="Times New Roman" w:eastAsia="Times New Roman" w:cs="Times New Roman"/>
        </w:rPr>
      </w:pPr>
      <w:r>
        <w:rPr>
          <w:rFonts w:eastAsia="Times New Roman" w:cs="Times New Roman" w:ascii="Times New Roman" w:hAnsi="Times New Roman"/>
        </w:rPr>
        <w:t>Revised Standards of Conduct (updates/references to Internet web site) accepted for FGT and Northern Natural; Northern Border directed to make minor corrections on the language for Standard H and K.</w:t>
      </w:r>
    </w:p>
    <w:p>
      <w:pPr>
        <w:pStyle w:val="Normal"/>
        <w:numPr>
          <w:ilvl w:val="0"/>
          <w:numId w:val="0"/>
        </w:numPr>
        <w:tabs>
          <w:tab w:val="clear" w:pos="540"/>
        </w:tabs>
        <w:ind w:hanging="0" w:start="72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Complaint Proceedings on El Paso's Method of Allocating Capacity Consolidated, RP99-507, RP00-139. </w:t>
      </w:r>
      <w:r>
        <w:rPr>
          <w:rFonts w:eastAsia="Times New Roman" w:cs="Times New Roman" w:ascii="Times New Roman" w:hAnsi="Times New Roman"/>
        </w:rPr>
        <w:t>This order consolidates the complaint filings made by Amoco/Burlington in Docket No. RP99-507 and KN Marketing in RP00-139 into RP99-507.  KN Marketing filed a similar complaint to Amoco's alleging violation of the allocation method used by El Paso for capacity release transactions.  Recently, the Commission directed El Paso to revise its allocation method for the San Juan Basin in Amoco's complaint, RP99-507. Amoco is similarly situated to KN Marketing. Williams has also filed in support of KN Marketing.  We have circulated copies of El Paso's latest capacity proposal.  Please call Jan Butler if you need a copy.  A technical conference is scheduled for March 9.</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NorAm Gas Order on Remand Issued, RP97-57.  </w:t>
      </w:r>
      <w:r>
        <w:rPr>
          <w:rFonts w:eastAsia="Times New Roman" w:cs="Times New Roman" w:ascii="Times New Roman" w:hAnsi="Times New Roman"/>
        </w:rPr>
        <w:t>On October 23, the District Court remanded the Commission's order approving proposed tariff sheets increasing certain penalties and allowing NorAm to retain the resulting revenues for a more adequate explanation.  In this order, the Commission reaffirms its previous orders explaining that properly designed penalties would not generate an excessive amount of revenue.  Prior to the increased penalty provisions, NorAm collected $1.8 mil; after implementation of the increased penalty provisions, no overrun or OFO penalties were paid be shippers since May 1997.  However, the Commission clarifies that NorAm's future penalty revenues will be governed by the new regulations in Order 637.</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Koch's Negotiated Rate Parking Agreements Set for Technical Conference, RP96-302.  </w:t>
      </w:r>
      <w:r>
        <w:rPr>
          <w:rFonts w:eastAsia="Times New Roman" w:cs="Times New Roman" w:ascii="Times New Roman" w:hAnsi="Times New Roman"/>
        </w:rPr>
        <w:t xml:space="preserve">This filing consists of four executed negotiated rate agreements for parking service that Koch entered into with its marketing affiliate, Koch Energy and Trading (KET).  The agreements contain identical provisions but different terms.  Protestors contend that Koch's negotiated arrangements with KET are designed to prevent any non-affiliate from similar arrangements with Koch since only an affiliate could agree to give Koch 90% of its profits on a pricing spread.  Joint Parties also argue that Koch delayed filing the negotiated agreements to further benefit KET (executed 9-11/99, filed 1/31/2000).  Koch countered that the protests fail to understand that index-based pricing arrangements are not speculative for the pipelines.  In fact, the pipeline has an inherently "long" position on capacity, and to the extent the pipeline can lock-in a price, the price is a hedge.  Here where a shipper can park gas worth less in the current month and sell gas at prices for a future month, the party agrees to may the 90% because without the park and ride they cannot capture the pricing spread.  The Commission will convene a technical conference to explore the issues raised in this filing. The negotiated rate filings are suspended but effective February 1, 2000 subject to refund and the outcome of the technical conference.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National Fuel Proposes Varying Payment and Crediting Mechanisms for Capacity Release, RP00-187.  </w:t>
      </w:r>
      <w:r>
        <w:rPr>
          <w:rFonts w:eastAsia="Times New Roman" w:cs="Times New Roman" w:ascii="Times New Roman" w:hAnsi="Times New Roman"/>
        </w:rPr>
        <w:t xml:space="preserve">In National Fuel's filing of February 28, a proposal to revise the GT&amp;C to permit National Fuel and its shippers to vary the payment obligations and crediting mechanism for capacity release transactions in negotiated rate agreements.  National clarifies that the proposed language does not authorize negotiation of terms and conditions.  Note: in a </w:t>
      </w:r>
      <w:r>
        <w:rPr>
          <w:rFonts w:eastAsia="Times New Roman" w:cs="Times New Roman" w:ascii="Times New Roman" w:hAnsi="Times New Roman"/>
          <w:u w:val="single"/>
        </w:rPr>
        <w:t>Tennessee</w:t>
      </w:r>
      <w:r>
        <w:rPr>
          <w:rFonts w:eastAsia="Times New Roman" w:cs="Times New Roman" w:ascii="Times New Roman" w:hAnsi="Times New Roman"/>
        </w:rPr>
        <w:t xml:space="preserve"> case, Commissioner Breathitt has said that she believes payment provisions are negotiated terms].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Williams' Pleasant Hill Power Project Issued NOI for Environmental Assessment, CP00-82.  </w:t>
      </w:r>
      <w:r>
        <w:rPr>
          <w:rFonts w:eastAsia="Times New Roman" w:cs="Times New Roman" w:ascii="Times New Roman" w:hAnsi="Times New Roman"/>
        </w:rPr>
        <w:t xml:space="preserve">Staff will prepare an environmental assessment for Williams' Pleasant Hill Power Project involving construction/operation of gas transmission facilities in Kansas and Missouri.  Williams wants to expand its capacity to provide an additional 44,200 Dth/d in the winter and 88,200 Dth/d in the summer to the UtiliCorp United power plant and to U. S. Energy Services.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Natural's Service Area Determination Approved, CP99-610.  </w:t>
      </w:r>
      <w:r>
        <w:rPr>
          <w:rFonts w:eastAsia="Times New Roman" w:cs="Times New Roman" w:ascii="Times New Roman" w:hAnsi="Times New Roman"/>
        </w:rPr>
        <w:t>Natural requests that the Commission approve a service determination area within Natural's territory to operate distribution facilities adjacent to the New Mexico/Texas border. Natural states that it qualifies as an LDC through its division, Zia.  Zia's rates will be regulated by the Texas Railroad Commission and will not affect other distribution systems.  The Commission grants LDC status to Zia.</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Columbia Gas' Sale to Gatherco Granted, CP99-616.  </w:t>
      </w:r>
      <w:r>
        <w:rPr>
          <w:rFonts w:eastAsia="Times New Roman" w:cs="Times New Roman" w:ascii="Times New Roman" w:hAnsi="Times New Roman"/>
        </w:rPr>
        <w:t>The facilities Columbia Gas is selling to Gatherco, an unaffiliated gatherer, located in Ohio and will be considered primarily gathering facilities upon transfer.  The facilities consist of approximately 200 miles of certificated pipeline, meters, and right of way. This application continues Columbia's effort to sell particular non-essential transmission facilities.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Questar's Pipeline Project Issued NOI on Joint Draft EIS, CP99-163.  </w:t>
      </w:r>
      <w:r>
        <w:rPr>
          <w:rFonts w:eastAsia="Times New Roman" w:cs="Times New Roman" w:ascii="Times New Roman" w:hAnsi="Times New Roman"/>
        </w:rPr>
        <w:t xml:space="preserve">On February 25, the Commission issued an NOI on a joint draft EIS on Questar's Southern Trails Pipeline Project.  The EIS was prepared jointly by Staff and the California State Lands Commission. The project involves the conversion of an existing crude oil pipeline (675 miles) to natural gas service, construction of new pipeline (43 miles of extension and 16 miles of realignments/replacement segments), compressor station (7 new stations) and facilities located in California, Arizona, Utah and New Mexico.  Comments are due April 17.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Kinder Morgan Submits Name Change for KN Interstate, GT00-19.  </w:t>
      </w:r>
      <w:r>
        <w:rPr>
          <w:rFonts w:eastAsia="Times New Roman" w:cs="Times New Roman" w:ascii="Times New Roman" w:hAnsi="Times New Roman"/>
        </w:rPr>
        <w:t xml:space="preserve">Formerly known as KN Interstate Gas has been changed to </w:t>
      </w:r>
      <w:r>
        <w:rPr>
          <w:rFonts w:eastAsia="Times New Roman" w:cs="Times New Roman" w:ascii="Times New Roman" w:hAnsi="Times New Roman"/>
          <w:i/>
          <w:iCs/>
        </w:rPr>
        <w:t xml:space="preserve">Kinder Morgan Interstate Gas Transmission LLC </w:t>
      </w:r>
      <w:r>
        <w:rPr>
          <w:rFonts w:eastAsia="Times New Roman" w:cs="Times New Roman" w:ascii="Times New Roman" w:hAnsi="Times New Roman"/>
        </w:rPr>
        <w:t xml:space="preserve">(KMIGT).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Electric Matters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360" w:start="720" w:end="0"/>
        <w:rPr/>
      </w:pPr>
      <w:r>
        <w:rPr>
          <w:rFonts w:eastAsia="Times New Roman" w:cs="Times New Roman" w:ascii="Times New Roman" w:hAnsi="Times New Roman"/>
          <w:b/>
          <w:bCs/>
        </w:rPr>
        <w:t xml:space="preserve">Final Rule Issued for Open Access Same-Time Information System and Standards of Conduct (OASIS), Order No. 638.  </w:t>
      </w:r>
      <w:r>
        <w:rPr>
          <w:rFonts w:eastAsia="Times New Roman" w:cs="Times New Roman" w:ascii="Times New Roman" w:hAnsi="Times New Roman"/>
        </w:rPr>
        <w:t xml:space="preserve">On February 25, FERC issued a final rule defining a set of uniform business practices for implementing the Commission's policies on transmission service price negotiation in RM95-9.  </w:t>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WK7_2_9.doc</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Wk3-3.doc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2000-03-02T17:06:00Z</dcterms:created>
  <dc:creator>Jan Butler</dc:creator>
  <dc:description/>
  <dc:language>en-CA</dc:language>
  <cp:lastModifiedBy>Janet Butler</cp:lastModifiedBy>
  <cp:lastPrinted>2000-03-03T16:18:00Z</cp:lastPrinted>
  <dcterms:modified xsi:type="dcterms:W3CDTF">2000-03-03T19:48:00Z</dcterms:modified>
  <cp:revision>13</cp:revision>
  <dc:subject/>
  <dc:title>Weekly Regulatory Report template</dc:title>
</cp:coreProperties>
</file>