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A reminder: this column serves two objectives. The first is introduction of new members of the Research Group, and of the associates and summer interns rotating through the group. The second objective is to review interesting publications related to energy markets, quantitative finance and other topics of interest to the Enron audience. I have run out of the new members to introduce and it’s time to some real work.</w:t>
      </w:r>
    </w:p>
    <w:p>
      <w:pPr>
        <w:pStyle w:val="BodyText"/>
        <w:rPr/>
      </w:pPr>
      <w:r>
        <w:rPr/>
      </w:r>
    </w:p>
    <w:p>
      <w:pPr>
        <w:pStyle w:val="BodyText"/>
        <w:rPr/>
      </w:pPr>
      <w:r>
        <w:rPr/>
        <w:t>Today’s column is devoted to the issue of technical analysis. Financial economists tend to dismiss technical analysis (chartism) as voodoo science. Over the last few years, however, a significant amount of evidence that technical analysis works at least in some markets. A paper published recently by Carol Osler of Federal Reserve Bank of New York (</w:t>
      </w:r>
      <w:r>
        <w:rPr>
          <w:i/>
          <w:iCs/>
        </w:rPr>
        <w:t>Currency Orders and Exchange-Rate Dynamics: Explaining the Success of Technical Analysis</w:t>
      </w:r>
      <w:r>
        <w:rPr/>
        <w:t>) reviews two cases in which technical analysis proved quite successful in offering useful predictions in the foreign currency markets. The first prediction is that trends tend to be reversed at identifiable support or resistance levels. The second is that if a support or resistance level is breached, trends tend to accelerate.</w:t>
      </w:r>
    </w:p>
    <w:p>
      <w:pPr>
        <w:pStyle w:val="BodyText"/>
        <w:rPr/>
      </w:pPr>
      <w:r>
        <w:rPr/>
      </w:r>
    </w:p>
    <w:p>
      <w:pPr>
        <w:pStyle w:val="BodyText"/>
        <w:rPr/>
      </w:pPr>
      <w:r>
        <w:rPr/>
        <w:t xml:space="preserve">The explanation of this success can be found, according to Carol Osler, in the microstructure of the F/X market: take-profit and stop-loss orders tend to cluster around certain typical levels (like exchange rate ending in a specific market at 00 or 50 level). For example, the author found that that roughly 2.8% of all stop-loss buy orders are triggered when the rate hits a round number, while 10.5% of take profit sales orders are triggered. This asymmetry explains the success of the first prediction of technical analysis. A second asymmetry is related to clustering of orders just above and just below round numbers ending in 50 and 00. Stop-loss buy orders are infrequent at rates just below these levels, and cluster above these levels. Stop-loss sell orders, however, cluster just below 00 and 50 levels a relatively scarce at rates just above these levels. </w:t>
      </w:r>
    </w:p>
    <w:p>
      <w:pPr>
        <w:pStyle w:val="BodyText"/>
        <w:rPr/>
      </w:pPr>
      <w:r>
        <w:rPr/>
      </w:r>
    </w:p>
    <w:p>
      <w:pPr>
        <w:pStyle w:val="BodyText"/>
        <w:rPr/>
      </w:pPr>
      <w:r>
        <w:rPr/>
        <w:t>The question remains, why conditional orders tend to cluster at certain levels. One possibility is cognitive advantage traders derive from managing large volume of information using simplified rules. Another possibility is that they follow recommendations of technical analysis in managing their books. In this case, technical analysis becomes a self-fulfilling prophecy.</w:t>
      </w:r>
    </w:p>
    <w:p>
      <w:pPr>
        <w:pStyle w:val="BodyText"/>
        <w:rPr/>
      </w:pPr>
      <w:r>
        <w:rPr/>
      </w:r>
    </w:p>
    <w:p>
      <w:pPr>
        <w:pStyle w:val="BodyText"/>
        <w:rPr/>
      </w:pPr>
      <w:r>
        <w:rPr/>
        <w:t>Please, contact us for the copy of the paper if this caught your attention.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2001-05-06T20:13:00Z</dcterms:created>
  <dc:creator>Vince Kaminski</dc:creator>
  <dc:description/>
  <dc:language>en-CA</dc:language>
  <cp:lastModifiedBy>Vince Kaminski</cp:lastModifiedBy>
  <dcterms:modified xsi:type="dcterms:W3CDTF">2001-05-06T22:37:00Z</dcterms:modified>
  <cp:revision>4</cp:revision>
  <dc:subject/>
  <dc:title>A reminder: this column serves two objectives</dc:title>
</cp:coreProperties>
</file>