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320" w:leader="none"/>
        </w:tabs>
        <w:rPr>
          <w:sz w:val="28"/>
        </w:rPr>
      </w:pPr>
      <w:r>
        <w:rPr>
          <w:sz w:val="28"/>
        </w:rPr>
        <w:t>PROPOSAL</w:t>
      </w:r>
    </w:p>
    <w:p>
      <w:pPr>
        <w:pStyle w:val="Heading"/>
        <w:tabs>
          <w:tab w:val="clear" w:pos="720"/>
          <w:tab w:val="center" w:pos="4320" w:leader="none"/>
        </w:tabs>
        <w:rPr>
          <w:sz w:val="24"/>
        </w:rPr>
      </w:pPr>
      <w:r>
        <w:rPr>
          <w:sz w:val="24"/>
        </w:rPr>
        <w:t>FOR THE</w:t>
      </w:r>
    </w:p>
    <w:p>
      <w:pPr>
        <w:pStyle w:val="Heading"/>
        <w:tabs>
          <w:tab w:val="clear" w:pos="720"/>
          <w:tab w:val="center" w:pos="4320" w:leader="none"/>
        </w:tabs>
        <w:rPr>
          <w:sz w:val="28"/>
        </w:rPr>
      </w:pPr>
      <w:r>
        <w:rPr>
          <w:sz w:val="28"/>
        </w:rPr>
        <w:t>WESTERN INTERCONNECTION ORGANIZATION</w:t>
      </w:r>
    </w:p>
    <w:p>
      <w:pPr>
        <w:pStyle w:val="Heading"/>
        <w:tabs>
          <w:tab w:val="clear" w:pos="720"/>
          <w:tab w:val="center" w:pos="4320" w:leader="none"/>
        </w:tabs>
        <w:rPr>
          <w:sz w:val="24"/>
        </w:rPr>
      </w:pPr>
      <w:r>
        <w:rPr>
          <w:sz w:val="24"/>
        </w:rPr>
        <w:t>July 27, 2000</w:t>
      </w:r>
    </w:p>
    <w:p>
      <w:pPr>
        <w:sectPr>
          <w:headerReference w:type="default" r:id="rId2"/>
          <w:footerReference w:type="default" r:id="rId3"/>
          <w:type w:val="nextPage"/>
          <w:pgSz w:w="12240" w:h="15840"/>
          <w:pgMar w:left="1440" w:right="1440" w:gutter="0" w:header="720" w:top="776" w:footer="360" w:bottom="1440"/>
          <w:pgNumType w:start="1" w:fmt="decimal"/>
          <w:formProt w:val="false"/>
          <w:textDirection w:val="lrTb"/>
          <w:docGrid w:type="default" w:linePitch="360" w:charSpace="0"/>
        </w:sectPr>
      </w:pPr>
    </w:p>
    <w:p>
      <w:pPr>
        <w:pStyle w:val="Heading"/>
        <w:tabs>
          <w:tab w:val="clear" w:pos="720"/>
          <w:tab w:val="center" w:pos="4320" w:leader="none"/>
        </w:tabs>
        <w:rPr>
          <w:sz w:val="24"/>
        </w:rPr>
      </w:pPr>
      <w:r>
        <w:rPr>
          <w:sz w:val="24"/>
        </w:rPr>
      </w:r>
    </w:p>
    <w:p>
      <w:pPr>
        <w:pStyle w:val="Normal"/>
        <w:rPr>
          <w:sz w:val="24"/>
        </w:rPr>
      </w:pPr>
      <w:r>
        <w:rPr>
          <w:sz w:val="24"/>
        </w:rPr>
      </w:r>
    </w:p>
    <w:p>
      <w:pPr>
        <w:pStyle w:val="Heading1"/>
        <w:numPr>
          <w:ilvl w:val="0"/>
          <w:numId w:val="2"/>
        </w:numPr>
        <w:rPr/>
      </w:pPr>
      <w:r>
        <w:rPr/>
        <w:t>OVERVIEW</w:t>
      </w:r>
    </w:p>
    <w:p>
      <w:pPr>
        <w:pStyle w:val="Normal"/>
        <w:rPr/>
      </w:pPr>
      <w:r>
        <w:rPr/>
      </w:r>
    </w:p>
    <w:p>
      <w:pPr>
        <w:pStyle w:val="Normal"/>
        <w:rPr/>
      </w:pPr>
      <w:r>
        <w:rPr/>
        <w:t>This Proposal describes an organization to be created in the Western Interconnection (WI) to perform many of the functions now performed by Western Systems Coordinating Council (WSCC), Western Regional Transmission Association, Southwest Regional Transmission Association and Northwest Regional Transmission Association.  At present, for lack of an agreed upon name, this organization is called the Western Interconnection Organization (WIO).  Definitions of key terms not defined herein are provided at the end of the summary.</w:t>
      </w:r>
    </w:p>
    <w:p>
      <w:pPr>
        <w:pStyle w:val="Normal"/>
        <w:rPr/>
      </w:pPr>
      <w:r>
        <w:rPr/>
      </w:r>
    </w:p>
    <w:p>
      <w:pPr>
        <w:pStyle w:val="Normal"/>
        <w:rPr/>
      </w:pPr>
      <w:r>
        <w:rPr/>
        <w:t xml:space="preserve">The WIO concept envisions the elimination of many of the existing organizations and the transfer of most of their functions into a single organization.  The result will be clearer identification of roles and responsibilities among the interconnection-wide WIO and Regional Entities resulting in timely decisions regarding grid management.  It is intended that the WIO will also eliminate overlap or duplication of effort </w:t>
      </w:r>
      <w:r>
        <w:rPr>
          <w:color w:val="000000"/>
        </w:rPr>
        <w:t xml:space="preserve">among current </w:t>
      </w:r>
      <w:r>
        <w:rPr/>
        <w:t>grid management organizations, provide for a clear determination of authority and responsibility over grid management functions, and make decisions within a reasonable time.</w:t>
      </w:r>
    </w:p>
    <w:p>
      <w:pPr>
        <w:pStyle w:val="Normal"/>
        <w:rPr/>
      </w:pPr>
      <w:r>
        <w:rPr/>
      </w:r>
    </w:p>
    <w:p>
      <w:pPr>
        <w:pStyle w:val="Normal"/>
        <w:rPr/>
      </w:pPr>
      <w:r>
        <w:rPr/>
        <w:t>The existing grid management organizations will be requested to approve this Proposal and the WIO structure at their Board and member meetings starting in late fall, 2000.  Assuming the requisite level of support is present following those meetings, WIO will be formed in early 2001, file for FERC approvals and begin the assumption of functions from existing organizations.</w:t>
      </w:r>
    </w:p>
    <w:p>
      <w:pPr>
        <w:pStyle w:val="Heading"/>
        <w:jc w:val="start"/>
        <w:rPr>
          <w:b w:val="false"/>
          <w:sz w:val="24"/>
        </w:rPr>
      </w:pPr>
      <w:r>
        <w:rPr>
          <w:b w:val="false"/>
          <w:sz w:val="24"/>
        </w:rPr>
      </w:r>
    </w:p>
    <w:p>
      <w:pPr>
        <w:pStyle w:val="Heading"/>
        <w:jc w:val="start"/>
        <w:rPr>
          <w:b w:val="false"/>
          <w:sz w:val="24"/>
        </w:rPr>
      </w:pPr>
      <w:r>
        <w:rPr>
          <w:b w:val="false"/>
          <w:sz w:val="24"/>
        </w:rPr>
        <w:t>This Proposal is excerpted from a document titled “Western Interconnection Organization - A Detailed Proposal For A Grid Management Organization In The Western Interconnection”.  Please refer to that document for additional detail and discussion of the points described below.</w:t>
      </w:r>
    </w:p>
    <w:p>
      <w:pPr>
        <w:pStyle w:val="Normal"/>
        <w:rPr>
          <w:b/>
          <w:sz w:val="24"/>
        </w:rPr>
      </w:pPr>
      <w:r>
        <w:rPr>
          <w:b/>
          <w:sz w:val="24"/>
        </w:rPr>
      </w:r>
    </w:p>
    <w:p>
      <w:pPr>
        <w:pStyle w:val="Normal"/>
        <w:rPr/>
      </w:pPr>
      <w:r>
        <w:rPr>
          <w:b/>
        </w:rPr>
        <w:t>The mission of the WIO is to maintain a reliable electric power system in the WI that supports efficient competitive markets.</w:t>
      </w:r>
      <w:r>
        <w:rPr/>
        <w:t xml:space="preserve">    The WIO will have the following structure:</w:t>
      </w:r>
    </w:p>
    <w:p>
      <w:pPr>
        <w:pStyle w:val="Normal"/>
        <w:rPr/>
      </w:pPr>
      <w:r>
        <w:rPr/>
      </w:r>
    </w:p>
    <w:p>
      <w:pPr>
        <w:pStyle w:val="Normal"/>
        <w:rPr/>
      </w:pPr>
      <w:r>
        <w:rPr/>
        <w:drawing>
          <wp:inline distT="0" distB="0" distL="0" distR="0">
            <wp:extent cx="5955030" cy="25196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6" t="-12" r="-6" b="-12"/>
                    <a:stretch>
                      <a:fillRect/>
                    </a:stretch>
                  </pic:blipFill>
                  <pic:spPr bwMode="auto">
                    <a:xfrm>
                      <a:off x="0" y="0"/>
                      <a:ext cx="5955030" cy="2519680"/>
                    </a:xfrm>
                    <a:prstGeom prst="rect">
                      <a:avLst/>
                    </a:prstGeom>
                    <a:noFill/>
                  </pic:spPr>
                </pic:pic>
              </a:graphicData>
            </a:graphic>
          </wp:inline>
        </w:drawing>
      </w:r>
    </w:p>
    <w:p>
      <w:pPr>
        <w:sectPr>
          <w:type w:val="continuous"/>
          <w:pgSz w:w="12240" w:h="15840"/>
          <w:pgMar w:left="1440" w:right="1440" w:gutter="0" w:header="720" w:top="776" w:footer="360" w:bottom="1440"/>
          <w:formProt w:val="false"/>
          <w:textDirection w:val="lrTb"/>
          <w:docGrid w:type="default" w:linePitch="360" w:charSpace="0"/>
        </w:sectPr>
      </w:pPr>
    </w:p>
    <w:p>
      <w:pPr>
        <w:pStyle w:val="Normal"/>
        <w:rPr/>
      </w:pPr>
      <w:r>
        <w:rPr/>
        <w:t>The WIO will (1) promote reliability and market efficiency in the WI, (2) be a qualified Interconnection-wide Affiliated Regional Reliability Entity to which a future North American reliability organization that may be authorized by federal legislation delegates reliability1 responsibilities, and (3) act as a coordinating entity for the entire WI for activities of Regional Entities that encompass a portion of the WI.</w:t>
      </w:r>
    </w:p>
    <w:p>
      <w:pPr>
        <w:pStyle w:val="Normal"/>
        <w:rPr/>
      </w:pPr>
      <w:r>
        <w:rPr/>
      </w:r>
    </w:p>
    <w:p>
      <w:pPr>
        <w:pStyle w:val="Normal"/>
        <w:tabs>
          <w:tab w:val="clear" w:pos="720"/>
          <w:tab w:val="left" w:pos="-1440" w:leader="none"/>
          <w:tab w:val="left" w:pos="-720" w:leader="none"/>
        </w:tabs>
        <w:suppressAutoHyphens w:val="true"/>
        <w:rPr/>
      </w:pPr>
      <w:r>
        <w:rPr>
          <w:color w:val="000000"/>
        </w:rPr>
        <w:t>Until</w:t>
      </w:r>
      <w:r>
        <w:rPr/>
        <w:t xml:space="preserve"> enactment of federal reliability legislation, the WIO will:</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Develop Interconnection-wide operating and planning standards and guidelines necessary to maintain reliable operation of the bulk power system;</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 xml:space="preserve">Promote interregional coordination of planning and operation between bulk power systems; </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Ensure interregional integration of reliability practices within the WI particularly at the seams between control areas or regions;</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Promote the development of efficient market interface practices among Regional Entities within the WI;</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Facilitate the compatibility of commercial practices within the WI; and</w:t>
      </w:r>
    </w:p>
    <w:p>
      <w:pPr>
        <w:pStyle w:val="Normal"/>
        <w:numPr>
          <w:ilvl w:val="0"/>
          <w:numId w:val="5"/>
        </w:numPr>
        <w:tabs>
          <w:tab w:val="left" w:pos="-1440" w:leader="none"/>
          <w:tab w:val="left" w:pos="-720" w:leader="none"/>
          <w:tab w:val="left" w:pos="720" w:leader="none"/>
        </w:tabs>
        <w:suppressAutoHyphens w:val="true"/>
        <w:spacing w:before="240" w:after="0"/>
        <w:ind w:hanging="360" w:start="720" w:end="0"/>
        <w:rPr/>
      </w:pPr>
      <w:r>
        <w:rPr/>
        <w:t>Provide a process for the timely resolution of disputes arising out of WIO functions or activities, and between WIO members.</w:t>
      </w:r>
    </w:p>
    <w:p>
      <w:pPr>
        <w:pStyle w:val="Normal"/>
        <w:rPr/>
      </w:pPr>
      <w:r>
        <w:rPr/>
      </w:r>
    </w:p>
    <w:p>
      <w:pPr>
        <w:pStyle w:val="Normal"/>
        <w:rPr/>
      </w:pPr>
      <w:r>
        <w:rPr/>
        <w:t xml:space="preserve">If federal electricity reliability legislation is enacted, WIO </w:t>
      </w:r>
      <w:r>
        <w:rPr>
          <w:color w:val="000000"/>
        </w:rPr>
        <w:t xml:space="preserve">will seek qualification </w:t>
      </w:r>
      <w:r>
        <w:rPr/>
        <w:t>as an Affiliated Regional Reliability Entity eligible under that legislation to receive deference to its proposed reliability standards from the North American reliability organization (presumably the North American Electric Reliability Organization [NAERO] which is expected to be the successor to the North American Electric Reliability Council [NERC]).</w:t>
      </w:r>
    </w:p>
    <w:p>
      <w:pPr>
        <w:pStyle w:val="Normal"/>
        <w:rPr/>
      </w:pPr>
      <w:r>
        <w:rPr/>
      </w:r>
    </w:p>
    <w:p>
      <w:pPr>
        <w:pStyle w:val="Normal"/>
        <w:rPr/>
      </w:pPr>
      <w:r>
        <w:rPr/>
        <w:t xml:space="preserve">A key to effective grid management is the identification of </w:t>
      </w:r>
      <w:r>
        <w:rPr>
          <w:i/>
        </w:rPr>
        <w:t>primary</w:t>
      </w:r>
      <w:r>
        <w:rPr/>
        <w:t xml:space="preserve"> and </w:t>
      </w:r>
      <w:r>
        <w:rPr>
          <w:i/>
        </w:rPr>
        <w:t>backstop</w:t>
      </w:r>
      <w:r>
        <w:rPr/>
        <w:t xml:space="preserve"> authorities for the WIO and Regional Entities over a range of functions, as follows:</w:t>
      </w:r>
    </w:p>
    <w:p>
      <w:pPr>
        <w:pStyle w:val="Normal"/>
        <w:rPr>
          <w:u w:val="single"/>
        </w:rPr>
      </w:pPr>
      <w:r>
        <w:rPr>
          <w:u w:val="single"/>
        </w:rPr>
      </w:r>
    </w:p>
    <w:p>
      <w:pPr>
        <w:pStyle w:val="Normal"/>
        <w:rPr>
          <w:u w:val="single"/>
        </w:rPr>
      </w:pPr>
      <w:r>
        <w:rPr>
          <w:u w:val="single"/>
        </w:rPr>
        <w:t>Reliability:</w:t>
      </w:r>
    </w:p>
    <w:p>
      <w:pPr>
        <w:pStyle w:val="Normal"/>
        <w:ind w:start="720" w:end="0"/>
        <w:rPr/>
      </w:pPr>
      <w:r>
        <w:rPr/>
      </w:r>
    </w:p>
    <w:p>
      <w:pPr>
        <w:pStyle w:val="Normal"/>
        <w:ind w:start="720" w:end="0"/>
        <w:rPr/>
      </w:pPr>
      <w:r>
        <w:rPr>
          <w:i/>
        </w:rPr>
        <w:t xml:space="preserve">Primary </w:t>
      </w:r>
      <w:r>
        <w:rPr/>
        <w:t xml:space="preserve">authority for </w:t>
      </w:r>
      <w:r>
        <w:rPr>
          <w:b/>
        </w:rPr>
        <w:t>setting planning and operating reliability standards</w:t>
      </w:r>
      <w:r>
        <w:rPr/>
        <w:t xml:space="preserve"> will lie with the WIO in conjunction with NERC and NAERO processes.  </w:t>
      </w:r>
      <w:r>
        <w:rPr>
          <w:i/>
        </w:rPr>
        <w:t>Backstop</w:t>
      </w:r>
      <w:r>
        <w:rPr/>
        <w:t xml:space="preserve"> authority will lie with NERC/NAERO.</w:t>
      </w:r>
    </w:p>
    <w:p>
      <w:pPr>
        <w:pStyle w:val="Normal"/>
        <w:rPr/>
      </w:pPr>
      <w:r>
        <w:rPr/>
      </w:r>
    </w:p>
    <w:p>
      <w:pPr>
        <w:pStyle w:val="Normal"/>
        <w:tabs>
          <w:tab w:val="left" w:pos="720" w:leader="none"/>
        </w:tabs>
        <w:ind w:start="720" w:end="0"/>
        <w:rPr/>
      </w:pPr>
      <w:r>
        <w:rPr>
          <w:i/>
        </w:rPr>
        <w:t>Primary</w:t>
      </w:r>
      <w:r>
        <w:rPr/>
        <w:t xml:space="preserve"> authority for </w:t>
      </w:r>
      <w:r>
        <w:rPr>
          <w:b/>
        </w:rPr>
        <w:t>maintaining regional reliability and meeting reliability standards</w:t>
      </w:r>
      <w:r>
        <w:rPr/>
        <w:t xml:space="preserve"> will lie with the operating entity (e.g. control area, Regional Entity).  </w:t>
      </w:r>
      <w:r>
        <w:rPr>
          <w:i/>
        </w:rPr>
        <w:t>Primary</w:t>
      </w:r>
      <w:r>
        <w:rPr/>
        <w:t xml:space="preserve"> authority for compliance monitoring and enforcement of reliability standards will lie with the WIO.  In the transition period the compliance enforcement mechanism will be through the existing WSCC Reliability Management System (RMS) program.  Authority for enforcement of certain standards might be delegated to Regional Entities.</w:t>
      </w:r>
    </w:p>
    <w:p>
      <w:pPr>
        <w:pStyle w:val="Normal"/>
        <w:tabs>
          <w:tab w:val="left" w:pos="720" w:leader="none"/>
        </w:tabs>
        <w:ind w:start="720" w:end="0"/>
        <w:rPr/>
      </w:pPr>
      <w:r>
        <w:rPr/>
      </w:r>
    </w:p>
    <w:p>
      <w:pPr>
        <w:pStyle w:val="Normal"/>
        <w:tabs>
          <w:tab w:val="left" w:pos="720" w:leader="none"/>
        </w:tabs>
        <w:ind w:start="720" w:end="0"/>
        <w:rPr/>
      </w:pPr>
      <w:r>
        <w:rPr/>
        <w:t>With respect to planning, Regional Entities will conduct planning studies and expansion plans for their areas in accordance with WIO standards and procedures.  The WIO will review compliance with WIO standards and procedures to determine whether the integrated plans meet WIO reliability criteria and refer matters back to Regional Entities where corrective action is needed.  Where the WIO sees a compelling need for a study it will request that Regional Entities conduct the study.  The WIO may conduct a study where the Regional Entity(s) is/are not able or willing to perform the requested study.</w:t>
      </w:r>
    </w:p>
    <w:p>
      <w:pPr>
        <w:pStyle w:val="Normal"/>
        <w:tabs>
          <w:tab w:val="left" w:pos="720" w:leader="none"/>
        </w:tabs>
        <w:ind w:start="720" w:end="0"/>
        <w:rPr/>
      </w:pPr>
      <w:r>
        <w:rPr/>
      </w:r>
    </w:p>
    <w:p>
      <w:pPr>
        <w:pStyle w:val="Normal"/>
        <w:tabs>
          <w:tab w:val="left" w:pos="720" w:leader="none"/>
        </w:tabs>
        <w:ind w:start="720" w:end="0"/>
        <w:rPr/>
      </w:pPr>
      <w:r>
        <w:rPr/>
        <w:t>WIO will not have the authority to order members to construct facilities.</w:t>
      </w:r>
    </w:p>
    <w:p>
      <w:pPr>
        <w:pStyle w:val="Normal"/>
        <w:rPr/>
      </w:pPr>
      <w:r>
        <w:rPr/>
      </w:r>
    </w:p>
    <w:p>
      <w:pPr>
        <w:pStyle w:val="Normal"/>
        <w:rPr/>
      </w:pPr>
      <w:r>
        <w:rPr>
          <w:u w:val="single"/>
        </w:rPr>
        <w:t>Market Interface</w:t>
      </w:r>
      <w:r>
        <w:rPr/>
        <w:t xml:space="preserve">  (“Market Interface” refers to the impact of planning and operating reliability  standards, practices and procedures on the commercial electricity market and the impact of electricity market practices on electric system reliability.)</w:t>
      </w:r>
      <w:r>
        <w:rPr>
          <w:u w:val="single"/>
        </w:rPr>
        <w:t>:</w:t>
      </w:r>
    </w:p>
    <w:p>
      <w:pPr>
        <w:pStyle w:val="Normal"/>
        <w:ind w:start="720" w:end="0"/>
        <w:rPr/>
      </w:pPr>
      <w:r>
        <w:rPr/>
      </w:r>
    </w:p>
    <w:p>
      <w:pPr>
        <w:pStyle w:val="Normal"/>
        <w:ind w:start="720" w:end="0"/>
        <w:rPr/>
      </w:pPr>
      <w:r>
        <w:rPr/>
        <w:t xml:space="preserve">The RTOs, when formed, will have </w:t>
      </w:r>
      <w:r>
        <w:rPr>
          <w:i/>
        </w:rPr>
        <w:t>primary</w:t>
      </w:r>
      <w:r>
        <w:rPr/>
        <w:t xml:space="preserve"> authority to adopt market interface practices and procedures within their respective regions.</w:t>
      </w:r>
    </w:p>
    <w:p>
      <w:pPr>
        <w:pStyle w:val="Normal"/>
        <w:ind w:firstLine="360" w:start="720" w:end="0"/>
        <w:rPr/>
      </w:pPr>
      <w:r>
        <w:rPr/>
      </w:r>
    </w:p>
    <w:p>
      <w:pPr>
        <w:pStyle w:val="Normal"/>
        <w:ind w:firstLine="720" w:end="0"/>
        <w:rPr/>
      </w:pPr>
      <w:r>
        <w:rPr/>
        <w:t>WIO’s role will be to:</w:t>
      </w:r>
    </w:p>
    <w:p>
      <w:pPr>
        <w:pStyle w:val="Normal"/>
        <w:ind w:start="720" w:end="0"/>
        <w:rPr/>
      </w:pPr>
      <w:r>
        <w:rPr/>
      </w:r>
    </w:p>
    <w:p>
      <w:pPr>
        <w:pStyle w:val="Normal"/>
        <w:numPr>
          <w:ilvl w:val="0"/>
          <w:numId w:val="6"/>
        </w:numPr>
        <w:tabs>
          <w:tab w:val="clear" w:pos="720"/>
          <w:tab w:val="left" w:pos="1440" w:leader="none"/>
        </w:tabs>
        <w:ind w:hanging="360" w:start="1440" w:end="0"/>
        <w:rPr/>
      </w:pPr>
      <w:r>
        <w:rPr/>
        <w:t>facilitate development of compatible and efficient practices across the WI; and</w:t>
      </w:r>
    </w:p>
    <w:p>
      <w:pPr>
        <w:pStyle w:val="Normal"/>
        <w:ind w:start="1080" w:end="0"/>
        <w:rPr/>
      </w:pPr>
      <w:r>
        <w:rPr/>
      </w:r>
    </w:p>
    <w:p>
      <w:pPr>
        <w:pStyle w:val="Normal"/>
        <w:numPr>
          <w:ilvl w:val="0"/>
          <w:numId w:val="6"/>
        </w:numPr>
        <w:tabs>
          <w:tab w:val="clear" w:pos="720"/>
          <w:tab w:val="left" w:pos="1440" w:leader="none"/>
        </w:tabs>
        <w:ind w:hanging="360" w:start="1440" w:end="0"/>
        <w:rPr>
          <w:u w:val="single"/>
        </w:rPr>
      </w:pPr>
      <w:r>
        <w:rPr/>
        <w:t xml:space="preserve">exercise </w:t>
      </w:r>
      <w:r>
        <w:rPr>
          <w:i/>
        </w:rPr>
        <w:t>backstop</w:t>
      </w:r>
      <w:r>
        <w:rPr/>
        <w:t xml:space="preserve"> authority where an unresolved market interface issue </w:t>
      </w:r>
      <w:r>
        <w:rPr>
          <w:color w:val="000000"/>
        </w:rPr>
        <w:t>might</w:t>
      </w:r>
      <w:r>
        <w:rPr/>
        <w:t xml:space="preserve"> cause material external impacts that extend beyond the RTO, including, if necessary, proposing solutions to FERC or appropriate Canadian or Mexican authorities.</w:t>
      </w:r>
    </w:p>
    <w:p>
      <w:pPr>
        <w:pStyle w:val="Normal"/>
        <w:tabs>
          <w:tab w:val="clear" w:pos="720"/>
          <w:tab w:val="left" w:pos="1440" w:leader="none"/>
        </w:tabs>
        <w:ind w:start="1080" w:end="0"/>
        <w:rPr>
          <w:u w:val="single"/>
        </w:rPr>
      </w:pPr>
      <w:r>
        <w:rPr>
          <w:u w:val="single"/>
        </w:rPr>
      </w:r>
    </w:p>
    <w:p>
      <w:pPr>
        <w:pStyle w:val="Normal"/>
        <w:rPr/>
      </w:pPr>
      <w:r>
        <w:rPr>
          <w:u w:val="single"/>
        </w:rPr>
        <w:t>Commerce</w:t>
      </w:r>
      <w:r>
        <w:rPr/>
        <w:t xml:space="preserve">  (“Commerce” refers to the products and practices involved in trading electricity.)</w:t>
      </w:r>
      <w:r>
        <w:rPr>
          <w:u w:val="single"/>
        </w:rPr>
        <w:t>:</w:t>
      </w:r>
    </w:p>
    <w:p>
      <w:pPr>
        <w:pStyle w:val="Normal"/>
        <w:ind w:start="720" w:end="0"/>
        <w:rPr>
          <w:u w:val="single"/>
        </w:rPr>
      </w:pPr>
      <w:r>
        <w:rPr>
          <w:u w:val="single"/>
        </w:rPr>
      </w:r>
    </w:p>
    <w:p>
      <w:pPr>
        <w:pStyle w:val="BodyTextIndent"/>
        <w:rPr/>
      </w:pPr>
      <w:r>
        <w:rPr/>
        <w:t>WIO will have no authority over commercial practices.  WIO could perform a facilitation role to promote compatible, efficient markets.</w:t>
      </w:r>
    </w:p>
    <w:p>
      <w:pPr>
        <w:pStyle w:val="BodyTextIndent"/>
        <w:rPr/>
      </w:pPr>
      <w:r>
        <w:rPr/>
      </w:r>
    </w:p>
    <w:p>
      <w:pPr>
        <w:pStyle w:val="Heading21"/>
        <w:tabs>
          <w:tab w:val="clear" w:pos="720"/>
          <w:tab w:val="left" w:pos="-1440" w:leader="none"/>
          <w:tab w:val="left" w:pos="-720" w:leader="none"/>
        </w:tabs>
        <w:suppressAutoHyphens w:val="true"/>
        <w:spacing w:before="240" w:after="0"/>
        <w:rPr/>
      </w:pPr>
      <w:r>
        <w:rPr/>
        <w:t xml:space="preserve">II.  </w:t>
      </w:r>
      <w:r>
        <w:rPr>
          <w:i/>
        </w:rPr>
        <w:t>ATTRIBUTES OF THE WIO</w:t>
      </w:r>
    </w:p>
    <w:p>
      <w:pPr>
        <w:pStyle w:val="Normal"/>
        <w:rPr>
          <w:i/>
          <w:i/>
        </w:rPr>
      </w:pPr>
      <w:r>
        <w:rPr>
          <w:i/>
        </w:rPr>
      </w:r>
    </w:p>
    <w:p>
      <w:pPr>
        <w:pStyle w:val="Normal"/>
        <w:rPr/>
      </w:pPr>
      <w:r>
        <w:rPr>
          <w:b/>
        </w:rPr>
        <w:t>Members and Membership:</w:t>
      </w:r>
      <w:r>
        <w:rPr/>
        <w:t xml:space="preserve">  The WIO's voluntary membership will be open to any user of the bulk power system in the WI, i.e. any entity that has either a physical or commercial interaction with the bulk electricity system in the WI, any entity planning to use the bulk power system in the WI, and any public interest group concerned with the operation of the western electric grid.  System operator entities in the WI should be members of the WIO.  A system operator entity is currently defined to be any entity that operates or is responsible for the operation of a bulk power system, including, but not limited to a control area operator, an RTO, a transmission company, a transmission system operator, or regional security coordinator.  </w:t>
      </w:r>
    </w:p>
    <w:p>
      <w:pPr>
        <w:pStyle w:val="Normal"/>
        <w:rPr/>
      </w:pPr>
      <w:r>
        <w:rPr/>
      </w:r>
    </w:p>
    <w:p>
      <w:pPr>
        <w:pStyle w:val="Normal"/>
        <w:rPr/>
      </w:pPr>
      <w:r>
        <w:rPr>
          <w:b/>
        </w:rPr>
        <w:t>Blend of Experience and Expertise:</w:t>
      </w:r>
      <w:r>
        <w:rPr/>
        <w:t xml:space="preserve">  The WIO will address a wide range of reliability, market interface and commercial issues.  The WIO Board, Committees and staff must each be composed of individuals with skills and backgrounds adequate to meet the needs of the members.  The WIO Board should include Directors with specific experience and expertise in transmission grid management, including some expertise with the WI.  Other general areas of expertise include law, finance, economics, accounting, engineering, regulation, or commercial commodity markets and associated risk management.</w:t>
      </w:r>
    </w:p>
    <w:p>
      <w:pPr>
        <w:pStyle w:val="Normal"/>
        <w:rPr/>
      </w:pPr>
      <w:r>
        <w:rPr>
          <w:b/>
        </w:rPr>
        <w:t>Check and Balance of Interests:</w:t>
      </w:r>
      <w:r>
        <w:rPr/>
        <w:t xml:space="preserve">  A general principle espoused by the FERC is that governance of grid management organizations should be independent in nature, and that one way to demonstrate that independence is by ensuring that no small group of interests can force action by the organization.  Ideally, actions taken by the WIO Board will be arrived at by a consensus-building process in which the interests of separate membership classes, if they do diverge, will be fully explored and considered in the Board’s deliberations.</w:t>
      </w:r>
    </w:p>
    <w:p>
      <w:pPr>
        <w:pStyle w:val="Normal"/>
        <w:rPr/>
      </w:pPr>
      <w:r>
        <w:rPr/>
      </w:r>
    </w:p>
    <w:p>
      <w:pPr>
        <w:pStyle w:val="Normal"/>
        <w:rPr/>
      </w:pPr>
      <w:r>
        <w:rPr/>
        <w:t>Few, if any, matters will require a vote of the WIO membership.  Once elected, the Board of Directors is the policy setting and ultimate governing body of the WIO.</w:t>
      </w:r>
    </w:p>
    <w:p>
      <w:pPr>
        <w:pStyle w:val="Normal"/>
        <w:rPr/>
      </w:pPr>
      <w:r>
        <w:rPr/>
      </w:r>
    </w:p>
    <w:p>
      <w:pPr>
        <w:pStyle w:val="Normal"/>
        <w:rPr/>
      </w:pPr>
      <w:r>
        <w:rPr>
          <w:b/>
        </w:rPr>
        <w:t>Avoiding Gridlock:</w:t>
      </w:r>
      <w:r>
        <w:rPr/>
        <w:t xml:space="preserve">  A complementary byproduct of the WIO's independence will be its ability to avoid gridlock through the check-and-balance system afforded by the proposed membership class structure.  No single member or faction will be able to frustrate action by the Board.  In fact, it will take Directors elected from at least two Classes acting in unison, to veto any proposed Board action.  This, in turn will help the Board to reach reasonable positions and consensus.</w:t>
      </w:r>
    </w:p>
    <w:p>
      <w:pPr>
        <w:pStyle w:val="Normal"/>
        <w:rPr>
          <w:b/>
        </w:rPr>
      </w:pPr>
      <w:r>
        <w:rPr>
          <w:b/>
        </w:rPr>
      </w:r>
    </w:p>
    <w:p>
      <w:pPr>
        <w:pStyle w:val="Normal"/>
        <w:rPr/>
      </w:pPr>
      <w:r>
        <w:rPr>
          <w:b/>
        </w:rPr>
        <w:t>Regional Participation:</w:t>
      </w:r>
      <w:r>
        <w:rPr/>
        <w:t xml:space="preserve">  It is intended that Regional Entities first resolve grid reliability, planning and market interface issues using standards developed by the WIO.  In the WI, the needs and viewpoints of members may be as unique to geographic regions as they are to classes of market participants.  WIO must afford the opportunity for presentation of unique regional views including those from Canadian and Mexican entities.</w:t>
      </w:r>
    </w:p>
    <w:p>
      <w:pPr>
        <w:pStyle w:val="Normal"/>
        <w:rPr/>
      </w:pPr>
      <w:r>
        <w:rPr/>
      </w:r>
    </w:p>
    <w:p>
      <w:pPr>
        <w:pStyle w:val="Normal"/>
        <w:rPr/>
      </w:pPr>
      <w:r>
        <w:rPr>
          <w:b/>
        </w:rPr>
        <w:t>Process for Resolving Disputes</w:t>
      </w:r>
      <w:r>
        <w:rPr/>
        <w:t>:  The WIO will develop and maintain an effective Alternative Dispute Resolution (ADR) process to resolve disputes among members and between members and the organization.  The ADR process could be used to resolve disputes over standards, non-compliance with standards and the presence of material external impacts.  The intent of this ADR process is to resolve issues within the WIO, rather than in the courts or at FERC or appropriate Canadian or Mexican authorities.  Members will retain appeal rights defined under the ADR process.</w:t>
      </w:r>
    </w:p>
    <w:p>
      <w:pPr>
        <w:pStyle w:val="Normal"/>
        <w:rPr/>
      </w:pPr>
      <w:r>
        <w:rPr/>
      </w:r>
    </w:p>
    <w:p>
      <w:pPr>
        <w:pStyle w:val="Normal"/>
        <w:rPr/>
      </w:pPr>
      <w:r>
        <w:rPr>
          <w:b/>
        </w:rPr>
        <w:t>Open Forum Decision-Making:</w:t>
      </w:r>
      <w:r>
        <w:rPr/>
        <w:t xml:space="preserve">  All WIO decision-making processes including Board and committee meetings will be open (except in limited circumstances such as personnel matters, litigation or proprietary issues) with appropriate advance notification to interested parties.  Meetings will provide an opportunity for attendees to be heard on issues of interest to them.  Thus, proposals could be processed through the organization effectively and all interested parties could be heard.  This process will allow the organization to make a timely decision.</w:t>
      </w:r>
    </w:p>
    <w:p>
      <w:pPr>
        <w:pStyle w:val="Normal"/>
        <w:rPr/>
      </w:pPr>
      <w:r>
        <w:rPr/>
      </w:r>
    </w:p>
    <w:p>
      <w:pPr>
        <w:pStyle w:val="Normal"/>
        <w:rPr/>
      </w:pPr>
      <w:r>
        <w:rPr>
          <w:b/>
        </w:rPr>
        <w:t>Flexibility and Ability to Change or Evolve:</w:t>
      </w:r>
      <w:r>
        <w:rPr/>
        <w:t xml:space="preserve">  The wholesale transmission access world has been undergoing tremendous change during the past decade.  It is probable that the general structure of the industry today will evolve over time to adapt to the changing market conditions and regulatory standards.  Any grid management structure put in place today must therefore have the ability to adapt to changing conditions in the future.</w:t>
      </w:r>
    </w:p>
    <w:p>
      <w:pPr>
        <w:pStyle w:val="Normal"/>
        <w:rPr/>
      </w:pPr>
      <w:r>
        <w:rPr/>
      </w:r>
      <w:r>
        <w:br w:type="page"/>
      </w:r>
    </w:p>
    <w:p>
      <w:pPr>
        <w:pStyle w:val="Heading1"/>
        <w:rPr/>
      </w:pPr>
      <w:r>
        <w:rPr/>
        <w:t>III.  WIO ORGANIZATION, STRUCTURE, FUNCTIONS AND FUNDING</w:t>
      </w:r>
    </w:p>
    <w:p>
      <w:pPr>
        <w:pStyle w:val="Normal"/>
        <w:rPr/>
      </w:pPr>
      <w:r>
        <w:rPr/>
      </w:r>
    </w:p>
    <w:p>
      <w:pPr>
        <w:pStyle w:val="Normal"/>
        <w:rPr>
          <w:u w:val="single"/>
        </w:rPr>
      </w:pPr>
      <w:r>
        <w:rPr>
          <w:b/>
          <w:u w:val="single"/>
        </w:rPr>
        <w:t>WIO Membership</w:t>
      </w:r>
    </w:p>
    <w:p>
      <w:pPr>
        <w:pStyle w:val="Normal"/>
        <w:rPr>
          <w:u w:val="single"/>
        </w:rPr>
      </w:pPr>
      <w:r>
        <w:rPr>
          <w:u w:val="single"/>
        </w:rPr>
      </w:r>
    </w:p>
    <w:p>
      <w:pPr>
        <w:pStyle w:val="Normal"/>
        <w:rPr/>
      </w:pPr>
      <w:r>
        <w:rPr/>
        <w:t>The WIO will have five voting membership classes and a hybrid Board structure that will include both stakeholder and Non-Affiliated Board members.</w:t>
      </w:r>
    </w:p>
    <w:p>
      <w:pPr>
        <w:pStyle w:val="Normal"/>
        <w:rPr/>
      </w:pPr>
      <w:r>
        <w:rPr/>
      </w:r>
    </w:p>
    <w:p>
      <w:pPr>
        <w:pStyle w:val="Normal"/>
        <w:rPr/>
      </w:pPr>
      <w:r>
        <w:rPr/>
        <w:t>The five WIO membership classes will be mutually exclusive and based on objective criteria and clear distinctions that permit only one choice of membership class for each prospective WIO member.</w:t>
      </w:r>
    </w:p>
    <w:p>
      <w:pPr>
        <w:pStyle w:val="Normal"/>
        <w:rPr/>
      </w:pPr>
      <w:r>
        <w:rPr/>
      </w:r>
    </w:p>
    <w:p>
      <w:pPr>
        <w:pStyle w:val="Normal"/>
        <w:rPr/>
      </w:pPr>
      <w:r>
        <w:rPr/>
        <w:t>The WIO membership classes are:</w:t>
      </w:r>
    </w:p>
    <w:p>
      <w:pPr>
        <w:pStyle w:val="Normal"/>
        <w:rPr/>
      </w:pPr>
      <w:r>
        <w:rPr/>
      </w:r>
    </w:p>
    <w:p>
      <w:pPr>
        <w:pStyle w:val="Normal"/>
        <w:numPr>
          <w:ilvl w:val="0"/>
          <w:numId w:val="4"/>
        </w:numPr>
        <w:tabs>
          <w:tab w:val="clear" w:pos="720"/>
          <w:tab w:val="left" w:pos="1800" w:leader="none"/>
        </w:tabs>
        <w:rPr/>
      </w:pPr>
      <w:r>
        <w:rPr/>
        <w:t>Major transmission and distribution entities that own or control 1000 circuit miles or more of transmission lines of 115 kV and higher voltages in the WI.</w:t>
      </w:r>
    </w:p>
    <w:p>
      <w:pPr>
        <w:pStyle w:val="Normal"/>
        <w:rPr/>
      </w:pPr>
      <w:r>
        <w:rPr/>
      </w:r>
    </w:p>
    <w:p>
      <w:pPr>
        <w:pStyle w:val="Normal"/>
        <w:numPr>
          <w:ilvl w:val="0"/>
          <w:numId w:val="4"/>
        </w:numPr>
        <w:tabs>
          <w:tab w:val="clear" w:pos="720"/>
          <w:tab w:val="left" w:pos="1800" w:leader="none"/>
        </w:tabs>
        <w:rPr/>
      </w:pPr>
      <w:r>
        <w:rPr/>
        <w:t>Other transmission and distribution entities that own or control less than 1000 circuit miles of transmission lines of 115 kV and higher voltages in the WI.</w:t>
      </w:r>
    </w:p>
    <w:p>
      <w:pPr>
        <w:pStyle w:val="Normal"/>
        <w:tabs>
          <w:tab w:val="clear" w:pos="720"/>
          <w:tab w:val="left" w:pos="1800" w:leader="none"/>
        </w:tabs>
        <w:rPr/>
      </w:pPr>
      <w:r>
        <w:rPr/>
      </w:r>
    </w:p>
    <w:p>
      <w:pPr>
        <w:pStyle w:val="Normal"/>
        <w:numPr>
          <w:ilvl w:val="0"/>
          <w:numId w:val="4"/>
        </w:numPr>
        <w:tabs>
          <w:tab w:val="clear" w:pos="720"/>
          <w:tab w:val="left" w:pos="1800" w:leader="none"/>
        </w:tabs>
        <w:rPr/>
      </w:pPr>
      <w:r>
        <w:rPr/>
        <w:t>Other electric power entities, engaged or planning to engage in business in the WI, such as generators, marketers, power exchanges and load serving entities which own no transmission or distribution lines.</w:t>
      </w:r>
    </w:p>
    <w:p>
      <w:pPr>
        <w:pStyle w:val="Normal"/>
        <w:tabs>
          <w:tab w:val="clear" w:pos="720"/>
          <w:tab w:val="left" w:pos="1800" w:leader="none"/>
        </w:tabs>
        <w:rPr/>
      </w:pPr>
      <w:r>
        <w:rPr/>
      </w:r>
    </w:p>
    <w:p>
      <w:pPr>
        <w:pStyle w:val="Normal"/>
        <w:numPr>
          <w:ilvl w:val="0"/>
          <w:numId w:val="4"/>
        </w:numPr>
        <w:tabs>
          <w:tab w:val="clear" w:pos="720"/>
          <w:tab w:val="left" w:pos="1800" w:leader="none"/>
        </w:tabs>
        <w:rPr/>
      </w:pPr>
      <w:r>
        <w:rPr/>
        <w:t>End (industrial, commercial, residential and agricultural) users in the WI.</w:t>
      </w:r>
    </w:p>
    <w:p>
      <w:pPr>
        <w:pStyle w:val="Normal"/>
        <w:tabs>
          <w:tab w:val="clear" w:pos="720"/>
          <w:tab w:val="left" w:pos="1800" w:leader="none"/>
        </w:tabs>
        <w:rPr/>
      </w:pPr>
      <w:r>
        <w:rPr/>
      </w:r>
    </w:p>
    <w:p>
      <w:pPr>
        <w:pStyle w:val="Normal"/>
        <w:numPr>
          <w:ilvl w:val="0"/>
          <w:numId w:val="4"/>
        </w:numPr>
        <w:tabs>
          <w:tab w:val="clear" w:pos="720"/>
          <w:tab w:val="left" w:pos="1800" w:leader="none"/>
        </w:tabs>
        <w:rPr/>
      </w:pPr>
      <w:r>
        <w:rPr/>
        <w:t>State and provincial representatives in the WI.</w:t>
      </w:r>
    </w:p>
    <w:p>
      <w:pPr>
        <w:pStyle w:val="Header"/>
        <w:tabs>
          <w:tab w:val="clear" w:pos="4320"/>
          <w:tab w:val="clear" w:pos="8640"/>
        </w:tabs>
        <w:rPr/>
      </w:pPr>
      <w:r>
        <w:rPr/>
      </w:r>
    </w:p>
    <w:p>
      <w:pPr>
        <w:pStyle w:val="Normal"/>
        <w:rPr/>
      </w:pPr>
      <w:r>
        <w:rPr/>
        <w:t>The first three membership classes include entities whose primary business interest is providing or brokering power and energy and related services.  Initially, ISOs and RTOs will be included in Class 1 as entities that control 1000 or more miles of transmission lines.  There will be a provision to allow electric line of business entities that own between 400 and 1000 circuit miles of transmission to petition for membership in Class 1.</w:t>
      </w:r>
    </w:p>
    <w:p>
      <w:pPr>
        <w:pStyle w:val="Normal"/>
        <w:rPr>
          <w:i/>
          <w:i/>
        </w:rPr>
      </w:pPr>
      <w:r>
        <w:rPr>
          <w:i/>
        </w:rPr>
      </w:r>
    </w:p>
    <w:p>
      <w:pPr>
        <w:pStyle w:val="BodyText"/>
        <w:rPr>
          <w:i w:val="false"/>
          <w:i w:val="false"/>
        </w:rPr>
      </w:pPr>
      <w:r>
        <w:rPr>
          <w:i w:val="false"/>
        </w:rPr>
        <w:t>Class 4 is composed of customers who purchase and use products from the entities in the first three classes and associations representing such customers or users.  Class 5 is composed of representatives of states and provinces and includes electric utility regulators, state or provincial energy offices, and environmental agencies.</w:t>
      </w:r>
    </w:p>
    <w:p>
      <w:pPr>
        <w:pStyle w:val="Normal"/>
        <w:rPr>
          <w:i/>
          <w:i/>
        </w:rPr>
      </w:pPr>
      <w:r>
        <w:rPr>
          <w:i/>
        </w:rPr>
      </w:r>
    </w:p>
    <w:p>
      <w:pPr>
        <w:pStyle w:val="Normal"/>
        <w:rPr/>
      </w:pPr>
      <w:r>
        <w:rPr/>
        <w:t>Public interest groups may fit into several of the membership classes, depending on the purpose of the group.  If the group is primarily concerned with the rights of electric consumers, the appropriate category for that group may be Class 4.  Representatives of any public interest group might also qualify to be a non-affiliated director.</w:t>
      </w:r>
    </w:p>
    <w:p>
      <w:pPr>
        <w:pStyle w:val="Normal"/>
        <w:rPr/>
      </w:pPr>
      <w:r>
        <w:rPr/>
      </w:r>
    </w:p>
    <w:p>
      <w:pPr>
        <w:pStyle w:val="Normal"/>
        <w:rPr/>
      </w:pPr>
      <w:r>
        <w:rPr/>
        <w:t>Affiliates of an entity that qualify for different membership classes than the parent business enterprise can be members of the WIO.  Affiliates must be fully independent and not merely business units of the parent.  If more than one affiliate of the same entity is a member of the same membership class, only one of those affiliates may vote within that class.  Only one representative of an entire family of affiliates may serve as a Director of the WIO at any one time.</w:t>
      </w:r>
    </w:p>
    <w:p>
      <w:pPr>
        <w:pStyle w:val="Heading2"/>
        <w:tabs>
          <w:tab w:val="clear" w:pos="720"/>
          <w:tab w:val="left" w:pos="2880" w:leader="none"/>
        </w:tabs>
        <w:rPr/>
      </w:pPr>
      <w:r>
        <w:rPr>
          <w:rFonts w:cs="Times New Roman" w:ascii="Times New Roman" w:hAnsi="Times New Roman"/>
          <w:i w:val="false"/>
          <w:u w:val="single"/>
        </w:rPr>
        <w:t>WIO Board of Directors</w:t>
      </w:r>
      <w:r>
        <w:rPr>
          <w:rFonts w:cs="Times New Roman" w:ascii="Times New Roman" w:hAnsi="Times New Roman"/>
          <w:b w:val="false"/>
          <w:i w:val="false"/>
          <w:u w:val="single"/>
        </w:rPr>
        <w:t xml:space="preserve">  </w:t>
      </w:r>
    </w:p>
    <w:p>
      <w:pPr>
        <w:pStyle w:val="Heading2"/>
        <w:tabs>
          <w:tab w:val="clear" w:pos="720"/>
          <w:tab w:val="left" w:pos="2880" w:leader="none"/>
        </w:tabs>
        <w:rPr>
          <w:rFonts w:ascii="Times New Roman" w:hAnsi="Times New Roman" w:cs="Times New Roman"/>
          <w:b w:val="false"/>
          <w:i w:val="false"/>
          <w:i w:val="false"/>
        </w:rPr>
      </w:pPr>
      <w:r>
        <w:rPr>
          <w:rFonts w:cs="Times New Roman" w:ascii="Times New Roman" w:hAnsi="Times New Roman"/>
          <w:b w:val="false"/>
          <w:i w:val="false"/>
        </w:rPr>
        <w:t>The WIO Board is composed of 27 Directors.  Four Directors will be chosen by each of the five membership classes, for a total of 20.  There will be seven non-affiliated directors.  The Chief Executive Officer of WIO may also sit on the Board if elected as one of the non-affiliated directors.</w:t>
      </w:r>
    </w:p>
    <w:p>
      <w:pPr>
        <w:pStyle w:val="Normal"/>
        <w:rPr>
          <w:rFonts w:ascii="Times New Roman" w:hAnsi="Times New Roman" w:cs="Times New Roman"/>
          <w:b/>
          <w:i/>
          <w:i/>
        </w:rPr>
      </w:pPr>
      <w:r>
        <w:rPr>
          <w:rFonts w:cs="Times New Roman"/>
          <w:b/>
          <w:i/>
        </w:rPr>
      </w:r>
    </w:p>
    <w:p>
      <w:pPr>
        <w:pStyle w:val="Normal"/>
        <w:rPr/>
      </w:pPr>
      <w:r>
        <w:rPr/>
        <w:t>Directors selected by members in Classes 1 through 5 will not receive compensation from WIO, although certain expenses may be reimbursed by WIO.  Non-affiliated directors will be compensated by WIO for their service on the Board and will have all appropriate expenses reimbursed by WIO.  The level of compensation will be set from time to time by the Board Members elected by member classes.</w:t>
      </w:r>
    </w:p>
    <w:p>
      <w:pPr>
        <w:pStyle w:val="Normal"/>
        <w:rPr/>
      </w:pPr>
      <w:r>
        <w:rPr/>
      </w:r>
    </w:p>
    <w:p>
      <w:pPr>
        <w:pStyle w:val="Normal"/>
        <w:rPr/>
      </w:pPr>
      <w:r>
        <w:rPr/>
        <w:t>The seven non-affiliated directors on the Board will bring additional skills to the Board that may or may not be present in the Directors selected from Classes 1 through 5.  These skills will aid in achieving the blend of experience and expertise desired on the Board.</w:t>
      </w:r>
    </w:p>
    <w:p>
      <w:pPr>
        <w:pStyle w:val="Normal"/>
        <w:rPr/>
      </w:pPr>
      <w:r>
        <w:rPr/>
      </w:r>
    </w:p>
    <w:p>
      <w:pPr>
        <w:pStyle w:val="Heading3"/>
        <w:rPr/>
      </w:pPr>
      <w:r>
        <w:rPr>
          <w:b/>
          <w:u w:val="none"/>
        </w:rPr>
        <w:t>Selection of Directors by Member Classes:</w:t>
      </w:r>
      <w:r>
        <w:rPr>
          <w:u w:val="none"/>
        </w:rPr>
        <w:t xml:space="preserve">  A member class may identify candidates on its own, or it may use a nominating committee appointed by the WIO Chairman to do so.  Directors selected by member classes will be elected by majority vote of the Class at the Annual Meeting of WIO.</w:t>
      </w:r>
    </w:p>
    <w:p>
      <w:pPr>
        <w:pStyle w:val="Normal"/>
        <w:rPr>
          <w:u w:val="none"/>
        </w:rPr>
      </w:pPr>
      <w:r>
        <w:rPr>
          <w:u w:val="none"/>
        </w:rPr>
      </w:r>
    </w:p>
    <w:p>
      <w:pPr>
        <w:pStyle w:val="Heading3"/>
        <w:rPr/>
      </w:pPr>
      <w:r>
        <w:rPr>
          <w:b/>
          <w:u w:val="none"/>
        </w:rPr>
        <w:t>Selection of Non-affiliated Directors:</w:t>
      </w:r>
      <w:r>
        <w:rPr>
          <w:u w:val="none"/>
        </w:rPr>
        <w:t xml:space="preserve">  The Bylaws will list desirable qualifications for non-affiliated directors to the WIO Board.  The nominating committee will develop a slate of candidates and non-affiliated directors will be elected by a vote of the WIO membership at the Annual Meeting.</w:t>
      </w:r>
    </w:p>
    <w:p>
      <w:pPr>
        <w:pStyle w:val="Normal"/>
        <w:rPr>
          <w:u w:val="none"/>
        </w:rPr>
      </w:pPr>
      <w:r>
        <w:rPr>
          <w:u w:val="none"/>
        </w:rPr>
      </w:r>
    </w:p>
    <w:p>
      <w:pPr>
        <w:pStyle w:val="Normal"/>
        <w:rPr/>
      </w:pPr>
      <w:r>
        <w:rPr>
          <w:b/>
        </w:rPr>
        <w:t>Common Duty/Loyalty:</w:t>
      </w:r>
      <w:r>
        <w:rPr/>
        <w:t xml:space="preserve">  All of the WIO Directors will have a duty to act in the best interests of WIO and its members, regardless of the membership class that elects them.  Accordingly, WIO will establish guidelines clarifying a Director’s duty of loyalty to the organization and duty to represent the interests of WIO.</w:t>
      </w:r>
    </w:p>
    <w:p>
      <w:pPr>
        <w:pStyle w:val="Normal"/>
        <w:rPr/>
      </w:pPr>
      <w:r>
        <w:rPr/>
      </w:r>
    </w:p>
    <w:p>
      <w:pPr>
        <w:pStyle w:val="Normal"/>
        <w:rPr/>
      </w:pPr>
      <w:r>
        <w:rPr>
          <w:b/>
        </w:rPr>
        <w:t>Flexibility/Ability to Change or Evolve:</w:t>
      </w:r>
      <w:r>
        <w:rPr/>
        <w:t xml:space="preserve">  The WIO governance structure should be reviewed at least once every five years to make sure the organization is effectively meeting its charter.  The Board will complete an initial review no later than four years after formation.</w:t>
      </w:r>
    </w:p>
    <w:p>
      <w:pPr>
        <w:pStyle w:val="Normal"/>
        <w:rPr/>
      </w:pPr>
      <w:r>
        <w:rPr/>
      </w:r>
    </w:p>
    <w:p>
      <w:pPr>
        <w:pStyle w:val="Heading3"/>
        <w:rPr/>
      </w:pPr>
      <w:r>
        <w:rPr>
          <w:b/>
          <w:u w:val="none"/>
        </w:rPr>
        <w:t>Dispute Resolution and Enforcement:</w:t>
      </w:r>
      <w:r>
        <w:rPr>
          <w:u w:val="none"/>
        </w:rPr>
        <w:t xml:space="preserve">  Although the Board of Directors has overall responsibility for all of the functions and business activities of WIO, there are some functions which the Board does not perform itself.  Examples are dispute resolution and assessment of penalties against members that fail to meet WIO standards.  While the Board is charged with creating and maintaining the mechanisms to accomplish these functions, the Board and individual Directors do not directly perform the functions.</w:t>
      </w:r>
    </w:p>
    <w:p>
      <w:pPr>
        <w:pStyle w:val="Normal"/>
        <w:rPr>
          <w:u w:val="none"/>
        </w:rPr>
      </w:pPr>
      <w:r>
        <w:rPr>
          <w:u w:val="none"/>
        </w:rPr>
      </w:r>
    </w:p>
    <w:p>
      <w:pPr>
        <w:pStyle w:val="Normal"/>
        <w:rPr/>
      </w:pPr>
      <w:r>
        <w:rPr/>
        <w:t>A dispute resolution mechanism will be defined in the Bylaws of WIO.  WIO will initially enforce standards through the Reliability Management System developed by WSCC.  If reliability legislation is enacted, WIO may become responsible for enforcing NAERO standards and variances</w:t>
      </w:r>
    </w:p>
    <w:p>
      <w:pPr>
        <w:pStyle w:val="Heading21"/>
        <w:rPr>
          <w:u w:val="single"/>
        </w:rPr>
      </w:pPr>
      <w:r>
        <w:rPr>
          <w:u w:val="single"/>
        </w:rPr>
      </w:r>
    </w:p>
    <w:p>
      <w:pPr>
        <w:pStyle w:val="Heading21"/>
        <w:rPr>
          <w:u w:val="single"/>
        </w:rPr>
      </w:pPr>
      <w:r>
        <w:rPr>
          <w:u w:val="single"/>
        </w:rPr>
        <w:t>Committees</w:t>
      </w:r>
    </w:p>
    <w:p>
      <w:pPr>
        <w:pStyle w:val="Normal"/>
        <w:rPr>
          <w:u w:val="single"/>
        </w:rPr>
      </w:pPr>
      <w:r>
        <w:rPr>
          <w:u w:val="single"/>
        </w:rPr>
      </w:r>
    </w:p>
    <w:p>
      <w:pPr>
        <w:pStyle w:val="Normal"/>
        <w:rPr/>
      </w:pPr>
      <w:r>
        <w:rPr/>
        <w:t>The WIO will initially form three standing committees based on the committee structures utilized in both WSCC and NERC.  The initial standing committees will be:</w:t>
      </w:r>
    </w:p>
    <w:p>
      <w:pPr>
        <w:pStyle w:val="Normal"/>
        <w:rPr/>
      </w:pPr>
      <w:r>
        <w:rPr/>
      </w:r>
    </w:p>
    <w:p>
      <w:pPr>
        <w:pStyle w:val="Normal"/>
        <w:ind w:start="720" w:end="0"/>
        <w:rPr/>
      </w:pPr>
      <w:r>
        <w:rPr/>
        <w:t>Planning Coordination</w:t>
      </w:r>
    </w:p>
    <w:p>
      <w:pPr>
        <w:pStyle w:val="Normal"/>
        <w:ind w:start="720" w:end="0"/>
        <w:rPr/>
      </w:pPr>
      <w:r>
        <w:rPr/>
        <w:t>Operating</w:t>
      </w:r>
    </w:p>
    <w:p>
      <w:pPr>
        <w:pStyle w:val="Normal"/>
        <w:ind w:start="720" w:end="0"/>
        <w:rPr/>
      </w:pPr>
      <w:r>
        <w:rPr/>
        <w:t>Market Interface</w:t>
      </w:r>
    </w:p>
    <w:p>
      <w:pPr>
        <w:pStyle w:val="Normal"/>
        <w:rPr/>
      </w:pPr>
      <w:r>
        <w:rPr/>
      </w:r>
    </w:p>
    <w:p>
      <w:pPr>
        <w:pStyle w:val="Normal"/>
        <w:rPr/>
      </w:pPr>
      <w:r>
        <w:rPr/>
        <w:t>The WIO Board could create other committees from time to time.  These might include: Environmental and Communications Committees.  Some of the additional existing WSCC committees, sub-committees, work groups and task forces could be continued in the WIO if useful to do so.</w:t>
      </w:r>
    </w:p>
    <w:p>
      <w:pPr>
        <w:pStyle w:val="Normal"/>
        <w:rPr/>
      </w:pPr>
      <w:r>
        <w:rPr/>
      </w:r>
    </w:p>
    <w:p>
      <w:pPr>
        <w:pStyle w:val="Normal"/>
        <w:rPr/>
      </w:pPr>
      <w:r>
        <w:rPr>
          <w:b/>
        </w:rPr>
        <w:t>Committee Representation/Membership</w:t>
      </w:r>
      <w:r>
        <w:rPr/>
        <w:t>:  WIO committees will initially have an "open" structure, i.e., any member of WIO could designate one representative to any committee.  Each committee member will have one vote at any committee meeting through that designated representative.  There will be no limit on the number of persons that could attend and participate in a committee meeting; although only designated representatives could vote.</w:t>
      </w:r>
    </w:p>
    <w:p>
      <w:pPr>
        <w:pStyle w:val="Normal"/>
        <w:rPr/>
      </w:pPr>
      <w:r>
        <w:rPr/>
      </w:r>
    </w:p>
    <w:p>
      <w:pPr>
        <w:pStyle w:val="Normal"/>
        <w:rPr/>
      </w:pPr>
      <w:r>
        <w:rPr/>
        <w:t>Committees will be composed of three voting classes: transmission providers, transmission customers, and state and provincial representatives.  Measures brought to a vote in a committee must receive a simple majority vote in the transmission provider and transmission customer classes to succeed.  A measure approved by a Committee will pass to the Board for final action.  A report will be provided to the Board, showing the number of votes for and against a measure in each voting class and reporting the basis for decision.  Minority or dissenting reports could be filed with the Board.  With certain limitations requiring member approval, the Board may delegate (and can retract) responsibilities and authorities to the committees.</w:t>
      </w:r>
    </w:p>
    <w:p>
      <w:pPr>
        <w:pStyle w:val="Heading4"/>
        <w:numPr>
          <w:ilvl w:val="0"/>
          <w:numId w:val="0"/>
        </w:numPr>
        <w:ind w:hanging="0" w:start="0"/>
        <w:rPr/>
      </w:pPr>
      <w:r>
        <w:rPr>
          <w:rFonts w:cs="Times New Roman" w:ascii="Times New Roman" w:hAnsi="Times New Roman"/>
        </w:rPr>
        <w:t>Due Process:</w:t>
      </w:r>
      <w:r>
        <w:rPr>
          <w:rFonts w:cs="Times New Roman" w:ascii="Times New Roman" w:hAnsi="Times New Roman"/>
          <w:b w:val="false"/>
        </w:rPr>
        <w:t xml:space="preserve">  WIO will maintain procedures so that the consideration of issues and measures in committees will follow an orderly and fair process in which all WIO members and interested parties will have sufficient notice and the opportunity to be heard.  Upon reaching a final recommendation, a committee will post the final recommendation electronically and forward those results to the WIO Board for final action. </w:t>
      </w:r>
    </w:p>
    <w:p>
      <w:pPr>
        <w:pStyle w:val="BodyText"/>
        <w:rPr>
          <w:rFonts w:ascii="Times New Roman" w:hAnsi="Times New Roman" w:cs="Times New Roman"/>
          <w:b/>
          <w:i w:val="false"/>
          <w:i w:val="false"/>
        </w:rPr>
      </w:pPr>
      <w:r>
        <w:rPr>
          <w:rFonts w:cs="Times New Roman"/>
          <w:b/>
          <w:i w:val="false"/>
        </w:rPr>
      </w:r>
    </w:p>
    <w:p>
      <w:pPr>
        <w:pStyle w:val="BodyText"/>
        <w:rPr>
          <w:i w:val="false"/>
          <w:i w:val="false"/>
        </w:rPr>
      </w:pPr>
      <w:r>
        <w:rPr>
          <w:i w:val="false"/>
        </w:rPr>
        <w:t>The Board will have the flexibility to accept a committee’s recommendation and act as requested, act in a different manner, or return an issue or measure to a committee for further reflection.  The Board will state the reasons for its actions and give specific guidance to the committees on areas needing further work.</w:t>
      </w:r>
    </w:p>
    <w:p>
      <w:pPr>
        <w:pStyle w:val="BodyText"/>
        <w:rPr>
          <w:i w:val="false"/>
          <w:i w:val="false"/>
        </w:rPr>
      </w:pPr>
      <w:r>
        <w:rPr>
          <w:i w:val="false"/>
        </w:rPr>
      </w:r>
    </w:p>
    <w:p>
      <w:pPr>
        <w:pStyle w:val="Heading3"/>
        <w:tabs>
          <w:tab w:val="clear" w:pos="720"/>
          <w:tab w:val="left" w:pos="2880" w:leader="none"/>
        </w:tabs>
        <w:rPr/>
      </w:pPr>
      <w:r>
        <w:rPr>
          <w:b/>
          <w:u w:val="none"/>
        </w:rPr>
        <w:t>Flexibility/Ability to Change or Evolve:</w:t>
      </w:r>
      <w:r>
        <w:rPr>
          <w:u w:val="none"/>
        </w:rPr>
        <w:t xml:space="preserve">  The WIO Board will retain the authority and responsibility to modify the number, type and function of committees as needed and as consistent with the mission and purpose of WIO, and to adapt committee procedures as needed to maintain equity.  Changing standing committees requires a Bylaws amendment.</w:t>
      </w:r>
    </w:p>
    <w:p>
      <w:pPr>
        <w:pStyle w:val="Header"/>
        <w:tabs>
          <w:tab w:val="clear" w:pos="4320"/>
          <w:tab w:val="clear" w:pos="8640"/>
        </w:tabs>
        <w:rPr>
          <w:u w:val="none"/>
        </w:rPr>
      </w:pPr>
      <w:r>
        <w:rPr>
          <w:u w:val="none"/>
        </w:rPr>
      </w:r>
    </w:p>
    <w:p>
      <w:pPr>
        <w:pStyle w:val="Heading21"/>
        <w:rPr>
          <w:u w:val="single"/>
        </w:rPr>
      </w:pPr>
      <w:r>
        <w:rPr>
          <w:u w:val="single"/>
        </w:rPr>
      </w:r>
    </w:p>
    <w:p>
      <w:pPr>
        <w:pStyle w:val="Heading21"/>
        <w:keepNext w:val="true"/>
        <w:rPr>
          <w:u w:val="single"/>
        </w:rPr>
      </w:pPr>
      <w:r>
        <w:rPr>
          <w:u w:val="single"/>
        </w:rPr>
        <w:t>WIO Staff</w:t>
      </w:r>
    </w:p>
    <w:p>
      <w:pPr>
        <w:pStyle w:val="Normal"/>
        <w:rPr>
          <w:u w:val="single"/>
        </w:rPr>
      </w:pPr>
      <w:r>
        <w:rPr>
          <w:u w:val="single"/>
        </w:rPr>
      </w:r>
    </w:p>
    <w:p>
      <w:pPr>
        <w:pStyle w:val="Normal"/>
        <w:rPr/>
      </w:pPr>
      <w:r>
        <w:rPr/>
        <w:t>A specific staffing plan in the form of organizational chart and position descriptions has not yet been developed for WIO.  However, there are some general principles that will apply to the staff of WIO.  For example, it is anticipated that the WIO will develop and maintain a relatively small, efficient staff.  The majority of studies, analysis, and development work will continue to be performed at the regional, or operating entity level.</w:t>
      </w:r>
    </w:p>
    <w:p>
      <w:pPr>
        <w:pStyle w:val="Normal"/>
        <w:rPr/>
      </w:pPr>
      <w:r>
        <w:rPr/>
      </w:r>
    </w:p>
    <w:p>
      <w:pPr>
        <w:pStyle w:val="Heading21"/>
        <w:rPr>
          <w:u w:val="single"/>
        </w:rPr>
      </w:pPr>
      <w:r>
        <w:rPr>
          <w:u w:val="single"/>
        </w:rPr>
        <w:t>WIO Funding</w:t>
      </w:r>
    </w:p>
    <w:p>
      <w:pPr>
        <w:pStyle w:val="BodyText"/>
        <w:rPr>
          <w:i w:val="false"/>
          <w:i w:val="false"/>
          <w:u w:val="single"/>
        </w:rPr>
      </w:pPr>
      <w:r>
        <w:rPr>
          <w:i w:val="false"/>
          <w:u w:val="single"/>
        </w:rPr>
      </w:r>
    </w:p>
    <w:p>
      <w:pPr>
        <w:pStyle w:val="BodyText"/>
        <w:rPr>
          <w:i w:val="false"/>
          <w:i w:val="false"/>
        </w:rPr>
      </w:pPr>
      <w:r>
        <w:rPr>
          <w:i w:val="false"/>
        </w:rPr>
        <w:t>Until authority to collect WIO costs from customers is established in legislation, all members of WIO should pay a flat annual membership fee roughly equivalent to the direct costs of providing member services to the member.  The initial annual membership fee will be $5,000.00.  The fee may be raised or lowered only through an amendment to the WIO Bylaws.  The balance of funding required for WIO functions will be provided by assessing each RTO, or in the absence of an RTO in any area of the WI each control area, its prorated share of the assessment based on the RTO’s (or control area’s) annual net energy for load served within the RTO’s (or control area’s) boundaries.  Each WIO member must agree to provide its share of the WIO funding requirement to its host RTO or control area.</w:t>
      </w:r>
    </w:p>
    <w:p>
      <w:pPr>
        <w:pStyle w:val="BodyText"/>
        <w:rPr>
          <w:i w:val="false"/>
          <w:i w:val="false"/>
        </w:rPr>
      </w:pPr>
      <w:r>
        <w:rPr>
          <w:i w:val="false"/>
        </w:rPr>
      </w:r>
    </w:p>
    <w:p>
      <w:pPr>
        <w:pStyle w:val="BodyText"/>
        <w:rPr>
          <w:i w:val="false"/>
          <w:i w:val="false"/>
        </w:rPr>
      </w:pPr>
      <w:r>
        <w:rPr>
          <w:i w:val="false"/>
        </w:rPr>
        <w:t>NERC is currently seeking legislative authority to impose a charge on customers to fund its activities in the future.  This also will be an equitable method of funding WIO activities.  It is unlikely, however, that a discrete charge on customers’ bills or a generation fee can be implemented until legislation is enacted.</w:t>
      </w:r>
    </w:p>
    <w:p>
      <w:pPr>
        <w:pStyle w:val="BodyText"/>
        <w:rPr>
          <w:i w:val="false"/>
          <w:i w:val="false"/>
        </w:rPr>
      </w:pPr>
      <w:r>
        <w:rPr>
          <w:i w:val="false"/>
        </w:rPr>
      </w:r>
    </w:p>
    <w:p>
      <w:pPr>
        <w:pStyle w:val="BodyText"/>
        <w:rPr>
          <w:i w:val="false"/>
          <w:i w:val="false"/>
        </w:rPr>
      </w:pPr>
      <w:r>
        <w:rPr>
          <w:i w:val="false"/>
        </w:rPr>
        <w:t>State and provincial representatives are in all cases exempt from paying dues.  The Board of Directors may consider additional exemptions on a case-by-case basis.</w:t>
      </w:r>
    </w:p>
    <w:p>
      <w:pPr>
        <w:pStyle w:val="BodyText"/>
        <w:rPr>
          <w:i w:val="false"/>
          <w:i w:val="false"/>
        </w:rPr>
      </w:pPr>
      <w:r>
        <w:rPr>
          <w:i w:val="false"/>
        </w:rPr>
      </w:r>
    </w:p>
    <w:p>
      <w:pPr>
        <w:pStyle w:val="Heading1"/>
        <w:rPr/>
      </w:pPr>
      <w:r>
        <w:rPr/>
        <w:t>IV.  NEXT STEPS</w:t>
      </w:r>
    </w:p>
    <w:p>
      <w:pPr>
        <w:pStyle w:val="BodyText"/>
        <w:rPr>
          <w:i w:val="false"/>
          <w:i w:val="false"/>
        </w:rPr>
      </w:pPr>
      <w:r>
        <w:rPr>
          <w:i w:val="false"/>
        </w:rPr>
      </w:r>
    </w:p>
    <w:p>
      <w:pPr>
        <w:sectPr>
          <w:headerReference w:type="default" r:id="rId5"/>
          <w:footerReference w:type="default" r:id="rId6"/>
          <w:type w:val="nextPage"/>
          <w:pgSz w:w="12240" w:h="15840"/>
          <w:pgMar w:left="1440" w:right="1440" w:gutter="0" w:header="720" w:top="1080" w:footer="360" w:bottom="1440"/>
          <w:pgNumType w:fmt="decimal"/>
          <w:formProt w:val="false"/>
          <w:textDirection w:val="lrTb"/>
          <w:docGrid w:type="default" w:linePitch="360" w:charSpace="0"/>
        </w:sectPr>
        <w:pStyle w:val="BodyText"/>
        <w:rPr>
          <w:i w:val="false"/>
          <w:i w:val="false"/>
        </w:rPr>
      </w:pPr>
      <w:r>
        <w:rPr>
          <w:i w:val="false"/>
        </w:rPr>
        <w:t>A West-wide workshop will be held in September to present the details of moving forward with the WIO concept.  The existing grid management organizations will be requested to approve this Proposal and the WIO structure at their Board and member meetings starting in late fall, 2000.  Assuming the requisite level of support is present following those meetings, WIO would be formed in early 2001, file for FERC approvals and begin the assumption of functions from existing organizations.</w:t>
      </w:r>
    </w:p>
    <w:p>
      <w:pPr>
        <w:pStyle w:val="BodyText"/>
        <w:jc w:val="center"/>
        <w:rPr>
          <w:b/>
          <w:i w:val="false"/>
          <w:i w:val="false"/>
          <w:sz w:val="28"/>
        </w:rPr>
      </w:pPr>
      <w:r>
        <w:rPr>
          <w:b/>
          <w:i w:val="false"/>
          <w:sz w:val="28"/>
        </w:rPr>
        <w:t>DEFINITIONS</w:t>
      </w:r>
    </w:p>
    <w:p>
      <w:pPr>
        <w:pStyle w:val="BodyText"/>
        <w:rPr>
          <w:b/>
          <w:i w:val="false"/>
          <w:i w:val="false"/>
          <w:sz w:val="28"/>
        </w:rPr>
      </w:pPr>
      <w:r>
        <w:rPr>
          <w:b/>
          <w:i w:val="false"/>
          <w:sz w:val="28"/>
        </w:rPr>
      </w:r>
    </w:p>
    <w:p>
      <w:pPr>
        <w:pStyle w:val="Heading2"/>
        <w:spacing w:before="0" w:after="0"/>
        <w:rPr>
          <w:b w:val="false"/>
          <w:i w:val="false"/>
          <w:i w:val="false"/>
        </w:rPr>
      </w:pPr>
      <w:r>
        <w:rPr>
          <w:b w:val="false"/>
          <w:i w:val="false"/>
        </w:rPr>
        <w:t>Backstop Authority</w:t>
      </w:r>
    </w:p>
    <w:p>
      <w:pPr>
        <w:pStyle w:val="Normal"/>
        <w:rPr>
          <w:b/>
          <w:i/>
          <w:i/>
        </w:rPr>
      </w:pPr>
      <w:r>
        <w:rPr>
          <w:b/>
          <w:i/>
        </w:rPr>
      </w:r>
    </w:p>
    <w:p>
      <w:pPr>
        <w:pStyle w:val="Normal"/>
        <w:rPr/>
      </w:pPr>
      <w:r>
        <w:rPr/>
        <w:t>The ability, obligation, or responsibility of an entity to address an issue when an entity or entities holding Primary Authority have not resolved an issue, have created incompatible resolutions, or have not acted.  In each case where an entity is vested with Backstop Authority, the provisions that identify the entity or entities holding Backstop Authority will also describe the conditions necessary to trigger Backstop Authority and the actions that fall within the exercise of Backstop Authority.</w:t>
      </w:r>
    </w:p>
    <w:p>
      <w:pPr>
        <w:pStyle w:val="BodyText"/>
        <w:rPr>
          <w:i w:val="false"/>
          <w:i w:val="false"/>
        </w:rPr>
      </w:pPr>
      <w:r>
        <w:rPr>
          <w:i w:val="false"/>
        </w:rPr>
      </w:r>
    </w:p>
    <w:p>
      <w:pPr>
        <w:pStyle w:val="Heading2"/>
        <w:spacing w:before="0" w:after="0"/>
        <w:rPr>
          <w:b w:val="false"/>
          <w:i w:val="false"/>
          <w:i w:val="false"/>
        </w:rPr>
      </w:pPr>
      <w:r>
        <w:rPr>
          <w:b w:val="false"/>
          <w:i w:val="false"/>
        </w:rPr>
        <w:t>Material External Impacts (MEI)</w:t>
      </w:r>
    </w:p>
    <w:p>
      <w:pPr>
        <w:pStyle w:val="Normal"/>
        <w:rPr>
          <w:b/>
          <w:i/>
          <w:i/>
        </w:rPr>
      </w:pPr>
      <w:r>
        <w:rPr>
          <w:b/>
          <w:i/>
        </w:rPr>
      </w:r>
    </w:p>
    <w:p>
      <w:pPr>
        <w:pStyle w:val="Normal"/>
        <w:rPr/>
      </w:pPr>
      <w:r>
        <w:rPr/>
        <w:t>Significant effects on another RE or market in the interconnection outside of the RE or market adopting a policy, standard, practice or procedure, or implementing the an action.  The existence of a Material External Impact may trigger the exercise of backstop authority.</w:t>
      </w:r>
    </w:p>
    <w:p>
      <w:pPr>
        <w:pStyle w:val="BodyText"/>
        <w:rPr>
          <w:i w:val="false"/>
          <w:i w:val="false"/>
        </w:rPr>
      </w:pPr>
      <w:r>
        <w:rPr>
          <w:i w:val="false"/>
        </w:rPr>
      </w:r>
    </w:p>
    <w:p>
      <w:pPr>
        <w:pStyle w:val="Heading2"/>
        <w:spacing w:before="0" w:after="0"/>
        <w:rPr>
          <w:b w:val="false"/>
          <w:i w:val="false"/>
          <w:i w:val="false"/>
        </w:rPr>
      </w:pPr>
      <w:r>
        <w:rPr>
          <w:b w:val="false"/>
          <w:i w:val="false"/>
        </w:rPr>
        <w:t>Primary Authority</w:t>
      </w:r>
    </w:p>
    <w:p>
      <w:pPr>
        <w:pStyle w:val="Normal"/>
        <w:rPr>
          <w:b/>
          <w:i/>
          <w:i/>
        </w:rPr>
      </w:pPr>
      <w:r>
        <w:rPr>
          <w:b/>
          <w:i/>
        </w:rPr>
      </w:r>
    </w:p>
    <w:p>
      <w:pPr>
        <w:pStyle w:val="Normal"/>
        <w:rPr/>
      </w:pPr>
      <w:r>
        <w:rPr/>
        <w:t xml:space="preserve">The ability, obligation, or responsibility of an entity to address an issue in the first instance.  Has leadership role. </w:t>
      </w:r>
    </w:p>
    <w:p>
      <w:pPr>
        <w:pStyle w:val="Heading2"/>
        <w:spacing w:before="0" w:after="0"/>
        <w:rPr>
          <w:b w:val="false"/>
          <w:i w:val="false"/>
          <w:i w:val="false"/>
        </w:rPr>
      </w:pPr>
      <w:r>
        <w:rPr>
          <w:b w:val="false"/>
          <w:i w:val="false"/>
        </w:rPr>
      </w:r>
    </w:p>
    <w:p>
      <w:pPr>
        <w:pStyle w:val="Heading2"/>
        <w:spacing w:before="0" w:after="0"/>
        <w:rPr>
          <w:b w:val="false"/>
          <w:i w:val="false"/>
          <w:i w:val="false"/>
        </w:rPr>
      </w:pPr>
      <w:r>
        <w:rPr>
          <w:b w:val="false"/>
          <w:i w:val="false"/>
        </w:rPr>
        <w:t>Regional Entity (RE)</w:t>
      </w:r>
    </w:p>
    <w:p>
      <w:pPr>
        <w:pStyle w:val="Normal"/>
        <w:rPr>
          <w:b/>
          <w:i/>
          <w:i/>
        </w:rPr>
      </w:pPr>
      <w:r>
        <w:rPr>
          <w:b/>
          <w:i/>
        </w:rPr>
      </w:r>
    </w:p>
    <w:p>
      <w:pPr>
        <w:pStyle w:val="Normal"/>
        <w:rPr/>
      </w:pPr>
      <w:r>
        <w:rPr/>
        <w:t>A regional entity may be an RTO, some other formally or informally constituted regional organization or group within the Western Interconnection, control area or control areas acting in concert.  At the time of the formation of the WIO, regions will define their boundaries and establish formal or informal coordination as necessary.  These boundaries can be reevaluated or modified over time.</w:t>
      </w:r>
    </w:p>
    <w:p>
      <w:pPr>
        <w:pStyle w:val="BodyText"/>
        <w:rPr>
          <w:i w:val="false"/>
          <w:i w:val="false"/>
        </w:rPr>
      </w:pPr>
      <w:r>
        <w:rPr>
          <w:i w:val="false"/>
        </w:rPr>
      </w:r>
    </w:p>
    <w:sectPr>
      <w:headerReference w:type="default" r:id="rId7"/>
      <w:headerReference w:type="first" r:id="rId8"/>
      <w:footerReference w:type="default" r:id="rId9"/>
      <w:footerReference w:type="first" r:id="rId10"/>
      <w:type w:val="nextPage"/>
      <w:pgSz w:w="12240" w:h="15840"/>
      <w:pgMar w:left="1440" w:right="1440" w:gutter="0" w:header="720" w:top="108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mmonBullets">
    <w:charset w:val="02"/>
    <w:family w:val="swiss"/>
    <w:pitch w:val="variable"/>
  </w:font>
  <w:font w:name="Monotype Sort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ORGANIZATIONAL PROPOSAL</w:t>
    </w:r>
  </w:p>
  <w:p>
    <w:pPr>
      <w:pStyle w:val="Footer"/>
      <w:rPr/>
    </w:pPr>
    <w:r>
      <w:rPr/>
      <w:t>10/21/00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tabs>
        <w:tab w:val="clear" w:pos="4320"/>
        <w:tab w:val="clear" w:pos="8640"/>
        <w:tab w:val="left" w:pos="0" w:leader="none"/>
        <w:tab w:val="center" w:pos="7200" w:leader="none"/>
        <w:tab w:val="right" w:pos="1440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WIO ORGANIZATIONAL PROPOSAL</w:t>
    </w:r>
  </w:p>
  <w:p>
    <w:pPr>
      <w:pStyle w:val="Footer"/>
      <w:rPr/>
    </w:pPr>
    <w:r>
      <w:rPr/>
      <w:fldChar w:fldCharType="begin"/>
    </w:r>
    <w:r>
      <w:rPr/>
      <w:instrText xml:space="preserve"> DATE \@"MM\/dd\/yy" </w:instrText>
    </w:r>
    <w:r>
      <w:rPr/>
      <w:fldChar w:fldCharType="separate"/>
    </w:r>
    <w:r>
      <w:rPr/>
      <w:t>09/28/25</w:t>
    </w:r>
    <w:r>
      <w:rPr/>
      <w:fldChar w:fldCharType="end"/>
    </w:r>
    <w:r>
      <w:rPr/>
      <w:t xml:space="preserve"> </w:t>
    </w:r>
    <w:r>
      <w:rPr/>
      <w:t>Redline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tabs>
        <w:tab w:val="clear" w:pos="4320"/>
        <w:tab w:val="clear" w:pos="8640"/>
        <w:tab w:val="left" w:pos="0" w:leader="none"/>
        <w:tab w:val="center" w:pos="7200" w:leader="none"/>
        <w:tab w:val="right" w:pos="1440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ab/>
      <w:tab/>
      <w:t>AGENDA ITEM V-3</w:t>
    </w:r>
  </w:p>
  <w:p>
    <w:pPr>
      <w:pStyle w:val="Header"/>
      <w:tabs>
        <w:tab w:val="clear" w:pos="8640"/>
        <w:tab w:val="center" w:pos="4320" w:leader="none"/>
        <w:tab w:val="right" w:pos="927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Class %1."/>
      <w:lvlJc w:val="start"/>
      <w:pPr>
        <w:tabs>
          <w:tab w:val="num" w:pos="1080"/>
        </w:tabs>
        <w:ind w:start="1080" w:hanging="1080"/>
      </w:pPr>
      <w:rPr>
        <w:i w:val="false"/>
        <w:b w:val="false"/>
      </w:rPr>
    </w:lvl>
  </w:abstractNum>
  <w:abstractNum w:abstractNumId="5">
    <w:lvl w:ilvl="0">
      <w:start w:val="1"/>
      <w:numFmt w:val="decimal"/>
      <w:lvlText w:val="%1."/>
      <w:lvlJc w:val="start"/>
      <w:pPr>
        <w:tabs>
          <w:tab w:val="num" w:pos="360"/>
        </w:tabs>
        <w:ind w:start="0" w:hanging="0"/>
      </w:pPr>
    </w:lvl>
  </w:abstractNum>
  <w:abstractNum w:abstractNumId="6">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outlineLvl w:val="0"/>
    </w:pPr>
    <w:rPr>
      <w:b/>
      <w:i/>
    </w:rPr>
  </w:style>
  <w:style w:type="paragraph" w:styleId="Heading2">
    <w:name w:val="heading 2"/>
    <w:basedOn w:val="Normal"/>
    <w:next w:val="Normal"/>
    <w:qFormat/>
    <w:pPr>
      <w:keepNext w:val="true"/>
      <w:spacing w:before="240" w:after="60"/>
      <w:outlineLvl w:val="1"/>
    </w:pPr>
    <w:rPr>
      <w:rFonts w:ascii="Arial" w:hAnsi="Arial" w:cs="Arial"/>
      <w:b/>
      <w:i/>
    </w:rPr>
  </w:style>
  <w:style w:type="paragraph" w:styleId="Heading3">
    <w:name w:val="heading 3"/>
    <w:basedOn w:val="Normal"/>
    <w:next w:val="Normal"/>
    <w:qFormat/>
    <w:pPr>
      <w:keepNext w:val="true"/>
      <w:outlineLvl w:val="2"/>
    </w:pPr>
    <w:rPr>
      <w:u w:val="single"/>
    </w:rPr>
  </w:style>
  <w:style w:type="paragraph" w:styleId="Heading4">
    <w:name w:val="heading 4"/>
    <w:basedOn w:val="Normal"/>
    <w:next w:val="Normal"/>
    <w:qFormat/>
    <w:pPr>
      <w:keepNext w:val="true"/>
      <w:numPr>
        <w:ilvl w:val="3"/>
        <w:numId w:val="1"/>
      </w:numPr>
      <w:spacing w:before="240" w:after="0"/>
      <w:outlineLvl w:val="3"/>
    </w:pPr>
    <w:rPr>
      <w:rFonts w:ascii="Arial" w:hAnsi="Arial" w:cs="Arial"/>
      <w:b/>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7z0">
    <w:name w:val="WW8Num27z0"/>
    <w:qFormat/>
    <w:rPr/>
  </w:style>
  <w:style w:type="character" w:styleId="WW8Num27z1">
    <w:name w:val="WW8Num27z1"/>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b w:val="false"/>
      <w:i w:val="false"/>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2">
    <w:name w:val="WW8Num49z2"/>
    <w:qFormat/>
    <w:rPr>
      <w:b/>
      <w:i w:val="false"/>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b/>
      <w:i w:val="false"/>
      <w:sz w:val="24"/>
    </w:rPr>
  </w:style>
  <w:style w:type="character" w:styleId="WW8Num59z0">
    <w:name w:val="WW8Num59z0"/>
    <w:qFormat/>
    <w:rPr>
      <w:rFonts w:ascii="Arial" w:hAnsi="Arial" w:cs="Arial"/>
      <w:b w:val="false"/>
      <w:i w:val="false"/>
      <w:sz w:val="24"/>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u w:val="non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Times New Roman" w:hAnsi="Times New Roman" w:cs="Times New Roman"/>
      <w:b w:val="false"/>
      <w:i w:val="false"/>
      <w:sz w:val="24"/>
    </w:rPr>
  </w:style>
  <w:style w:type="character" w:styleId="WW8Num75z0">
    <w:name w:val="WW8Num75z0"/>
    <w:qFormat/>
    <w:rPr>
      <w:rFonts w:ascii="Times New Roman" w:hAnsi="Times New Roman" w:cs="Times New Roman"/>
      <w:b w:val="false"/>
      <w:i w:val="false"/>
      <w:sz w:val="24"/>
      <w:u w:val="none"/>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Arial" w:hAnsi="Arial" w:cs="Arial"/>
      <w:b/>
      <w:i w:val="false"/>
      <w:sz w:val="24"/>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style>
  <w:style w:type="character" w:styleId="WW8Num109z0">
    <w:name w:val="WW8Num109z0"/>
    <w:qFormat/>
    <w:rPr>
      <w:b w:val="false"/>
      <w:i w:val="false"/>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3z0">
    <w:name w:val="WW8Num113z0"/>
    <w:qFormat/>
    <w:rPr>
      <w:rFonts w:ascii="Times New Roman" w:hAnsi="Times New Roman" w:cs="Times New Roman"/>
      <w:b w:val="false"/>
      <w:i w:val="false"/>
      <w:sz w:val="24"/>
      <w:u w:val="none"/>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rPr>
  </w:style>
  <w:style w:type="character" w:styleId="WW8Num116z0">
    <w:name w:val="WW8Num116z0"/>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Wingdings" w:hAnsi="Wingdings" w:cs="Wingdings"/>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Arial" w:hAnsi="Arial" w:cs="Arial"/>
      <w:b/>
      <w:i w:val="false"/>
      <w:sz w:val="28"/>
      <w:u w:val="none"/>
    </w:rPr>
  </w:style>
  <w:style w:type="character" w:styleId="WW8Num124z0">
    <w:name w:val="WW8Num124z0"/>
    <w:qFormat/>
    <w:rPr>
      <w:rFonts w:ascii="Symbol" w:hAnsi="Symbol" w:cs="Symbol"/>
    </w:rPr>
  </w:style>
  <w:style w:type="character" w:styleId="WW8Num126z0">
    <w:name w:val="WW8Num126z0"/>
    <w:qFormat/>
    <w:rPr/>
  </w:style>
  <w:style w:type="character" w:styleId="WW8Num127z0">
    <w:name w:val="WW8Num127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Wingdings" w:hAnsi="Wingdings" w:cs="Wingdings"/>
    </w:rPr>
  </w:style>
  <w:style w:type="character" w:styleId="WW8Num131z0">
    <w:name w:val="WW8Num131z0"/>
    <w:qFormat/>
    <w:rPr>
      <w:b/>
    </w:rPr>
  </w:style>
  <w:style w:type="character" w:styleId="WW8Num132z0">
    <w:name w:val="WW8Num132z0"/>
    <w:qFormat/>
    <w:rPr>
      <w:rFonts w:ascii="Symbol" w:hAnsi="Symbol" w:cs="Symbol"/>
    </w:rPr>
  </w:style>
  <w:style w:type="character" w:styleId="WW8Num133z0">
    <w:name w:val="WW8Num133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style>
  <w:style w:type="character" w:styleId="WW8Num144z0">
    <w:name w:val="WW8Num144z0"/>
    <w:qFormat/>
    <w:rPr>
      <w:rFonts w:ascii="Times New Roman" w:hAnsi="Times New Roman" w:eastAsia="Times New Roman" w:cs="Times New Roman"/>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3z0">
    <w:name w:val="WW8Num153z0"/>
    <w:qFormat/>
    <w:rPr>
      <w:rFonts w:ascii="Symbol" w:hAnsi="Symbol" w:cs="Symbol"/>
    </w:rPr>
  </w:style>
  <w:style w:type="character" w:styleId="WW8Num155z0">
    <w:name w:val="WW8Num155z0"/>
    <w:qFormat/>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sz w:val="24"/>
    </w:rPr>
  </w:style>
  <w:style w:type="character" w:styleId="WW8Num170z0">
    <w:name w:val="WW8Num170z0"/>
    <w:qFormat/>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color w:val="auto"/>
    </w:rPr>
  </w:style>
  <w:style w:type="character" w:styleId="WW8Num179z0">
    <w:name w:val="WW8Num179z0"/>
    <w:qFormat/>
    <w:rPr>
      <w:rFonts w:ascii="Symbol" w:hAnsi="Symbol" w:cs="Symbol"/>
    </w:rPr>
  </w:style>
  <w:style w:type="character" w:styleId="WW8Num180z0">
    <w:name w:val="WW8Num180z0"/>
    <w:qFormat/>
    <w:rPr/>
  </w:style>
  <w:style w:type="character" w:styleId="WW8Num182z0">
    <w:name w:val="WW8Num182z0"/>
    <w:qFormat/>
    <w:rPr>
      <w:rFonts w:ascii="Symbol" w:hAnsi="Symbol" w:cs="Symbol"/>
    </w:rPr>
  </w:style>
  <w:style w:type="character" w:styleId="WW8Num184z0">
    <w:name w:val="WW8Num184z0"/>
    <w:qFormat/>
    <w:rPr>
      <w:rFonts w:ascii="Wingdings" w:hAnsi="Wingdings" w:cs="Wingdings"/>
    </w:rPr>
  </w:style>
  <w:style w:type="character" w:styleId="WW8Num185z0">
    <w:name w:val="WW8Num185z0"/>
    <w:qFormat/>
    <w:rPr>
      <w:rFonts w:ascii="Arial" w:hAnsi="Arial" w:cs="Arial"/>
      <w:b w:val="false"/>
      <w:i w:val="false"/>
      <w:sz w:val="28"/>
    </w:rPr>
  </w:style>
  <w:style w:type="character" w:styleId="WW8Num186z0">
    <w:name w:val="WW8Num186z0"/>
    <w:qFormat/>
    <w:rPr>
      <w:rFonts w:ascii="Symbol" w:hAnsi="Symbol" w:cs="Symbol"/>
      <w:sz w:val="24"/>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Arial" w:hAnsi="Arial" w:cs="Arial"/>
      <w:b/>
      <w:i w:val="false"/>
      <w:sz w:val="24"/>
    </w:rPr>
  </w:style>
  <w:style w:type="character" w:styleId="WW8Num192z0">
    <w:name w:val="WW8Num192z0"/>
    <w:qFormat/>
    <w:rPr/>
  </w:style>
  <w:style w:type="character" w:styleId="WW8Num193z0">
    <w:name w:val="WW8Num193z0"/>
    <w:qFormat/>
    <w:rPr>
      <w:rFonts w:ascii="Times New Roman" w:hAnsi="Times New Roman" w:cs="Times New Roman"/>
      <w:b w:val="false"/>
      <w:i w:val="false"/>
      <w:sz w:val="24"/>
      <w:u w:val="none"/>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b w:val="false"/>
      <w:i w:val="false"/>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Wingdings" w:hAnsi="Wingdings" w:cs="Wingdings"/>
    </w:rPr>
  </w:style>
  <w:style w:type="character" w:styleId="WW8Num204z0">
    <w:name w:val="WW8Num204z0"/>
    <w:qFormat/>
    <w:rPr>
      <w:rFonts w:ascii="Symbol" w:hAnsi="Symbol" w:cs="Symbol"/>
    </w:rPr>
  </w:style>
  <w:style w:type="character" w:styleId="WW8Num205z0">
    <w:name w:val="WW8Num205z0"/>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rFonts w:ascii="CommonBullets" w:hAnsi="CommonBullets" w:cs="CommonBullets"/>
    </w:rPr>
  </w:style>
  <w:style w:type="character" w:styleId="WW8Num211z0">
    <w:name w:val="WW8Num211z0"/>
    <w:qFormat/>
    <w:rPr>
      <w:rFonts w:ascii="Times New Roman" w:hAnsi="Times New Roman" w:cs="Times New Roman"/>
      <w:b/>
      <w:i w:val="false"/>
      <w:sz w:val="24"/>
      <w:u w:val="none"/>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Monotype Sorts" w:hAnsi="Monotype Sorts" w:cs="Monotype Sorts"/>
    </w:rPr>
  </w:style>
  <w:style w:type="character" w:styleId="WW8Num216z0">
    <w:name w:val="WW8Num216z0"/>
    <w:qFormat/>
    <w:rPr/>
  </w:style>
  <w:style w:type="character" w:styleId="WW8Num217z0">
    <w:name w:val="WW8Num217z0"/>
    <w:qFormat/>
    <w:rPr>
      <w:rFonts w:ascii="Symbol" w:hAnsi="Symbol" w:cs="Symbol"/>
      <w:sz w:val="24"/>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b w:val="false"/>
      <w:i w:val="false"/>
    </w:rPr>
  </w:style>
  <w:style w:type="character" w:styleId="WW8Num239z0">
    <w:name w:val="WW8Num239z0"/>
    <w:qFormat/>
    <w:rPr>
      <w:rFonts w:ascii="Symbol" w:hAnsi="Symbol" w:cs="Symbol"/>
    </w:rPr>
  </w:style>
  <w:style w:type="character" w:styleId="WW8Num240z0">
    <w:name w:val="WW8Num240z0"/>
    <w:qFormat/>
    <w:rPr>
      <w:rFonts w:ascii="Wingdings" w:hAnsi="Wingdings" w:cs="Wingdings"/>
    </w:rPr>
  </w:style>
  <w:style w:type="character" w:styleId="WW8Num241z0">
    <w:name w:val="WW8Num241z0"/>
    <w:qFormat/>
    <w:rPr>
      <w:rFonts w:ascii="Arial" w:hAnsi="Arial" w:cs="Arial"/>
      <w:b/>
      <w:i/>
      <w:sz w:val="24"/>
    </w:rPr>
  </w:style>
  <w:style w:type="character" w:styleId="WW8Num242z0">
    <w:name w:val="WW8Num242z0"/>
    <w:qFormat/>
    <w:rPr>
      <w:rFonts w:ascii="Symbol" w:hAnsi="Symbol" w:cs="Symbol"/>
    </w:rPr>
  </w:style>
  <w:style w:type="character" w:styleId="WW8Num243z0">
    <w:name w:val="WW8Num243z0"/>
    <w:qFormat/>
    <w:rPr>
      <w:rFonts w:ascii="Wingdings" w:hAnsi="Wingdings" w:cs="Wingdings"/>
    </w:rPr>
  </w:style>
  <w:style w:type="character" w:styleId="WW8Num244z0">
    <w:name w:val="WW8Num244z0"/>
    <w:qFormat/>
    <w:rPr/>
  </w:style>
  <w:style w:type="character" w:styleId="WW8Num245z0">
    <w:name w:val="WW8Num245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50z0">
    <w:name w:val="WW8Num250z0"/>
    <w:qFormat/>
    <w:rPr>
      <w:rFonts w:ascii="Arial" w:hAnsi="Arial" w:cs="Arial"/>
      <w:b/>
      <w:i w:val="false"/>
      <w:sz w:val="24"/>
      <w:u w:val="none"/>
    </w:rPr>
  </w:style>
  <w:style w:type="character" w:styleId="WW8Num251z0">
    <w:name w:val="WW8Num251z0"/>
    <w:qFormat/>
    <w:rPr/>
  </w:style>
  <w:style w:type="character" w:styleId="WW8Num252z0">
    <w:name w:val="WW8Num252z0"/>
    <w:qFormat/>
    <w:rPr>
      <w:rFonts w:ascii="Symbol" w:hAnsi="Symbol" w:cs="Symbol"/>
    </w:rPr>
  </w:style>
  <w:style w:type="character" w:styleId="WW8Num254z0">
    <w:name w:val="WW8Num254z0"/>
    <w:qFormat/>
    <w:rPr/>
  </w:style>
  <w:style w:type="character" w:styleId="WW8Num254z1">
    <w:name w:val="WW8Num254z1"/>
    <w:qFormat/>
    <w:rPr>
      <w:rFonts w:ascii="Symbol" w:hAnsi="Symbol" w:cs="Symbol"/>
    </w:rPr>
  </w:style>
  <w:style w:type="character" w:styleId="WW8Num255z0">
    <w:name w:val="WW8Num255z0"/>
    <w:qFormat/>
    <w:rPr>
      <w:b/>
    </w:rPr>
  </w:style>
  <w:style w:type="character" w:styleId="WW8Num256z0">
    <w:name w:val="WW8Num256z0"/>
    <w:qFormat/>
    <w:rPr>
      <w:rFonts w:ascii="Symbol" w:hAnsi="Symbol" w:cs="Symbol"/>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5z0">
    <w:name w:val="WW8Num265z0"/>
    <w:qFormat/>
    <w:rPr>
      <w:rFonts w:ascii="Wingdings" w:hAnsi="Wingdings" w:cs="Wingdings"/>
    </w:rPr>
  </w:style>
  <w:style w:type="character" w:styleId="WW8Num266z0">
    <w:name w:val="WW8Num266z0"/>
    <w:qFormat/>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7z0">
    <w:name w:val="WW8Num277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3z0">
    <w:name w:val="WW8Num283z0"/>
    <w:qFormat/>
    <w:rPr>
      <w:rFonts w:ascii="Symbol" w:hAnsi="Symbol" w:cs="Symbol"/>
      <w:sz w:val="24"/>
    </w:rPr>
  </w:style>
  <w:style w:type="character" w:styleId="WW8Num284z0">
    <w:name w:val="WW8Num284z0"/>
    <w:qFormat/>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Wingdings" w:hAnsi="Wingdings" w:cs="Wingdings"/>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Wingdings" w:hAnsi="Wingdings" w:cs="Wingdings"/>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sz w:val="24"/>
      <w:u w:val="none"/>
    </w:rPr>
  </w:style>
  <w:style w:type="character" w:styleId="WW8Num302z0">
    <w:name w:val="WW8Num302z0"/>
    <w:qFormat/>
    <w:rPr>
      <w:rFonts w:ascii="Wingdings" w:hAnsi="Wingdings" w:cs="Wingdings"/>
    </w:rPr>
  </w:style>
  <w:style w:type="character" w:styleId="WW8Num303z0">
    <w:name w:val="WW8Num303z0"/>
    <w:qFormat/>
    <w:rPr/>
  </w:style>
  <w:style w:type="character" w:styleId="WW8Num304z0">
    <w:name w:val="WW8Num304z0"/>
    <w:qFormat/>
    <w:rPr>
      <w:rFonts w:ascii="Wingdings" w:hAnsi="Wingdings" w:cs="Wingdings"/>
    </w:rPr>
  </w:style>
  <w:style w:type="character" w:styleId="WW8Num305z0">
    <w:name w:val="WW8Num305z0"/>
    <w:qFormat/>
    <w:rPr/>
  </w:style>
  <w:style w:type="character" w:styleId="WW8Num306z0">
    <w:name w:val="WW8Num306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sz w:val="24"/>
    </w:rPr>
  </w:style>
  <w:style w:type="character" w:styleId="WW8Num310z0">
    <w:name w:val="WW8Num310z0"/>
    <w:qFormat/>
    <w:rPr>
      <w:rFonts w:ascii="Symbol" w:hAnsi="Symbol" w:cs="Symbol"/>
    </w:rPr>
  </w:style>
  <w:style w:type="character" w:styleId="WW8Num311z0">
    <w:name w:val="WW8Num311z0"/>
    <w:qFormat/>
    <w:rPr>
      <w:rFonts w:ascii="Times New Roman" w:hAnsi="Times New Roman" w:cs="Times New Roman"/>
      <w:b w:val="false"/>
      <w:i w:val="false"/>
      <w:sz w:val="24"/>
    </w:rPr>
  </w:style>
  <w:style w:type="character" w:styleId="WW8Num312z0">
    <w:name w:val="WW8Num312z0"/>
    <w:qFormat/>
    <w:rPr/>
  </w:style>
  <w:style w:type="character" w:styleId="WW8Num314z0">
    <w:name w:val="WW8Num314z0"/>
    <w:qFormat/>
    <w:rPr/>
  </w:style>
  <w:style w:type="character" w:styleId="WW8Num315z0">
    <w:name w:val="WW8Num315z0"/>
    <w:qFormat/>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5z3">
    <w:name w:val="WW8Num315z3"/>
    <w:qFormat/>
    <w:rPr>
      <w:rFonts w:ascii="Symbol" w:hAnsi="Symbol" w:cs="Symbol"/>
    </w:rPr>
  </w:style>
  <w:style w:type="character" w:styleId="WW8Num316z0">
    <w:name w:val="WW8Num316z0"/>
    <w:qFormat/>
    <w:rPr/>
  </w:style>
  <w:style w:type="character" w:styleId="WW8Num317z0">
    <w:name w:val="WW8Num317z0"/>
    <w:qFormat/>
    <w:rPr/>
  </w:style>
  <w:style w:type="character" w:styleId="WW8Num318z0">
    <w:name w:val="WW8Num318z0"/>
    <w:qFormat/>
    <w:rPr>
      <w:rFonts w:ascii="CommonBullets" w:hAnsi="CommonBullets" w:cs="CommonBullets"/>
    </w:rPr>
  </w:style>
  <w:style w:type="character" w:styleId="WW8Num319z0">
    <w:name w:val="WW8Num319z0"/>
    <w:qFormat/>
    <w:rPr>
      <w:rFonts w:ascii="Symbol" w:hAnsi="Symbol" w:cs="Symbol"/>
    </w:rPr>
  </w:style>
  <w:style w:type="character" w:styleId="WW8Num321z0">
    <w:name w:val="WW8Num321z0"/>
    <w:qFormat/>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rFonts w:ascii="Wingdings" w:hAnsi="Wingdings" w:cs="Wingdings"/>
    </w:rPr>
  </w:style>
  <w:style w:type="character" w:styleId="WW8Num326z0">
    <w:name w:val="WW8Num326z0"/>
    <w:qFormat/>
    <w:rPr>
      <w:rFonts w:ascii="Symbol" w:hAnsi="Symbol" w:cs="Symbol"/>
    </w:rPr>
  </w:style>
  <w:style w:type="character" w:styleId="WW8Num327z0">
    <w:name w:val="WW8Num327z0"/>
    <w:qFormat/>
    <w:rPr/>
  </w:style>
  <w:style w:type="character" w:styleId="WW8Num328z0">
    <w:name w:val="WW8Num328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style>
  <w:style w:type="character" w:styleId="WW8Num337z0">
    <w:name w:val="WW8Num337z0"/>
    <w:qFormat/>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sz w:val="24"/>
    </w:rPr>
  </w:style>
  <w:style w:type="character" w:styleId="WW8Num341z0">
    <w:name w:val="WW8Num341z0"/>
    <w:qFormat/>
    <w:rPr>
      <w:rFonts w:ascii="Symbol" w:hAnsi="Symbol" w:cs="Symbol"/>
    </w:rPr>
  </w:style>
  <w:style w:type="character" w:styleId="WW8Num343z0">
    <w:name w:val="WW8Num343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style>
  <w:style w:type="character" w:styleId="WW8Num351z0">
    <w:name w:val="WW8Num351z0"/>
    <w:qFormat/>
    <w:rPr>
      <w:rFonts w:ascii="Wingdings" w:hAnsi="Wingdings" w:cs="Wingdings"/>
    </w:rPr>
  </w:style>
  <w:style w:type="character" w:styleId="WW8Num352z0">
    <w:name w:val="WW8Num352z0"/>
    <w:qFormat/>
    <w:rPr>
      <w:rFonts w:ascii="Wingdings" w:hAnsi="Wingdings" w:cs="Wingdings"/>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Wingdings" w:hAnsi="Wingdings" w:cs="Wingdings"/>
    </w:rPr>
  </w:style>
  <w:style w:type="character" w:styleId="WW8Num356z0">
    <w:name w:val="WW8Num356z0"/>
    <w:qFormat/>
    <w:rPr>
      <w:rFonts w:ascii="Times New Roman" w:hAnsi="Times New Roman" w:cs="Times New Roman"/>
      <w:b w:val="false"/>
      <w:i w:val="false"/>
      <w:sz w:val="24"/>
      <w:u w:val="none"/>
    </w:rPr>
  </w:style>
  <w:style w:type="character" w:styleId="WW8Num357z0">
    <w:name w:val="WW8Num357z0"/>
    <w:qFormat/>
    <w:rPr>
      <w:rFonts w:ascii="Symbol" w:hAnsi="Symbol" w:cs="Symbol"/>
    </w:rPr>
  </w:style>
  <w:style w:type="character" w:styleId="WW8Num359z0">
    <w:name w:val="WW8Num359z0"/>
    <w:qFormat/>
    <w:rPr>
      <w:b w:val="false"/>
      <w:i w:val="false"/>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auto"/>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8z0">
    <w:name w:val="WW8Num368z0"/>
    <w:qFormat/>
    <w:rPr>
      <w:rFonts w:ascii="Symbol" w:hAnsi="Symbol" w:cs="Symbol"/>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9z0">
    <w:name w:val="WW8Num369z0"/>
    <w:qFormat/>
    <w:rPr>
      <w:rFonts w:ascii="Symbol" w:hAnsi="Symbol" w:cs="Symbol"/>
    </w:rPr>
  </w:style>
  <w:style w:type="character" w:styleId="WW8Num370z0">
    <w:name w:val="WW8Num370z0"/>
    <w:qFormat/>
    <w:rPr>
      <w:rFonts w:ascii="Symbol" w:hAnsi="Symbol" w:cs="Symbol"/>
      <w:sz w:val="24"/>
    </w:rPr>
  </w:style>
  <w:style w:type="character" w:styleId="WW8Num371z0">
    <w:name w:val="WW8Num371z0"/>
    <w:qFormat/>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CommonBullets" w:hAnsi="CommonBullets" w:cs="CommonBullets"/>
    </w:rPr>
  </w:style>
  <w:style w:type="character" w:styleId="WW8Num376z0">
    <w:name w:val="WW8Num376z0"/>
    <w:qFormat/>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8z0">
    <w:name w:val="WW8Num388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Times New Roman" w:hAnsi="Times New Roman" w:cs="Times New Roman"/>
      <w:b w:val="false"/>
      <w:i w:val="false"/>
      <w:sz w:val="24"/>
      <w:u w:val="none"/>
    </w:rPr>
  </w:style>
  <w:style w:type="character" w:styleId="WW8Num392z0">
    <w:name w:val="WW8Num392z0"/>
    <w:qFormat/>
    <w:rPr>
      <w:rFonts w:ascii="Symbol" w:hAnsi="Symbol" w:cs="Symbol"/>
    </w:rPr>
  </w:style>
  <w:style w:type="character" w:styleId="WW8Num393z0">
    <w:name w:val="WW8Num393z0"/>
    <w:qFormat/>
    <w:rPr>
      <w:rFonts w:ascii="Wingdings" w:hAnsi="Wingdings" w:cs="Wingdings"/>
    </w:rPr>
  </w:style>
  <w:style w:type="character" w:styleId="WW8Num394z0">
    <w:name w:val="WW8Num394z0"/>
    <w:qFormat/>
    <w:rPr>
      <w:rFonts w:ascii="Symbol" w:hAnsi="Symbol" w:cs="Symbol"/>
    </w:rPr>
  </w:style>
  <w:style w:type="character" w:styleId="WW8Num395z0">
    <w:name w:val="WW8Num395z0"/>
    <w:qFormat/>
    <w:rPr/>
  </w:style>
  <w:style w:type="character" w:styleId="WW8Num396z0">
    <w:name w:val="WW8Num396z0"/>
    <w:qFormat/>
    <w:rPr>
      <w:rFonts w:ascii="Symbol" w:hAnsi="Symbol" w:cs="Symbol"/>
    </w:rPr>
  </w:style>
  <w:style w:type="character" w:styleId="WW8Num397z0">
    <w:name w:val="WW8Num397z0"/>
    <w:qFormat/>
    <w:rPr/>
  </w:style>
  <w:style w:type="character" w:styleId="WW8Num398z0">
    <w:name w:val="WW8Num398z0"/>
    <w:qFormat/>
    <w:rPr/>
  </w:style>
  <w:style w:type="character" w:styleId="WW8Num399z0">
    <w:name w:val="WW8Num399z0"/>
    <w:qFormat/>
    <w:rPr>
      <w:rFonts w:ascii="Wingdings" w:hAnsi="Wingdings" w:cs="Wingdings"/>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style>
  <w:style w:type="character" w:styleId="WW8Num404z0">
    <w:name w:val="WW8Num404z0"/>
    <w:qFormat/>
    <w:rPr>
      <w:rFonts w:ascii="Symbol" w:hAnsi="Symbol" w:cs="Symbol"/>
    </w:rPr>
  </w:style>
  <w:style w:type="character" w:styleId="WW8Num405z0">
    <w:name w:val="WW8Num405z0"/>
    <w:qFormat/>
    <w:rPr/>
  </w:style>
  <w:style w:type="character" w:styleId="WW8Num406z0">
    <w:name w:val="WW8Num406z0"/>
    <w:qFormat/>
    <w:rPr/>
  </w:style>
  <w:style w:type="character" w:styleId="WW8Num407z0">
    <w:name w:val="WW8Num407z0"/>
    <w:qFormat/>
    <w:rPr/>
  </w:style>
  <w:style w:type="character" w:styleId="WW8Num409z0">
    <w:name w:val="WW8Num409z0"/>
    <w:qFormat/>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Wingdings" w:hAnsi="Wingdings" w:cs="Wingdings"/>
    </w:rPr>
  </w:style>
  <w:style w:type="character" w:styleId="WW8Num415z0">
    <w:name w:val="WW8Num415z0"/>
    <w:qFormat/>
    <w:rPr/>
  </w:style>
  <w:style w:type="character" w:styleId="WW8Num416z0">
    <w:name w:val="WW8Num416z0"/>
    <w:qFormat/>
    <w:rPr>
      <w:rFonts w:ascii="Symbol" w:hAnsi="Symbol" w:cs="Symbol"/>
    </w:rPr>
  </w:style>
  <w:style w:type="character" w:styleId="WW8Num417z0">
    <w:name w:val="WW8Num417z0"/>
    <w:qFormat/>
    <w:rPr/>
  </w:style>
  <w:style w:type="character" w:styleId="WW8Num418z0">
    <w:name w:val="WW8Num418z0"/>
    <w:qFormat/>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Wingdings" w:hAnsi="Wingdings" w:cs="Wingdings"/>
    </w:rPr>
  </w:style>
  <w:style w:type="character" w:styleId="WW8Num425z0">
    <w:name w:val="WW8Num425z0"/>
    <w:qFormat/>
    <w:rPr/>
  </w:style>
  <w:style w:type="character" w:styleId="WW8Num426z0">
    <w:name w:val="WW8Num426z0"/>
    <w:qFormat/>
    <w:rPr/>
  </w:style>
  <w:style w:type="character" w:styleId="WW8Num427z0">
    <w:name w:val="WW8Num427z0"/>
    <w:qFormat/>
    <w:rPr>
      <w:u w:val="none"/>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30z0">
    <w:name w:val="WW8Num430z0"/>
    <w:qFormat/>
    <w:rPr>
      <w:rFonts w:ascii="Times New Roman" w:hAnsi="Times New Roman" w:cs="Times New Roman"/>
    </w:rPr>
  </w:style>
  <w:style w:type="character" w:styleId="WW8Num431z0">
    <w:name w:val="WW8Num431z0"/>
    <w:qFormat/>
    <w:rPr>
      <w:rFonts w:ascii="Wingdings" w:hAnsi="Wingdings" w:cs="Wingdings"/>
    </w:rPr>
  </w:style>
  <w:style w:type="character" w:styleId="WW8Num432z0">
    <w:name w:val="WW8Num432z0"/>
    <w:qFormat/>
    <w:rPr/>
  </w:style>
  <w:style w:type="character" w:styleId="WW8Num433z0">
    <w:name w:val="WW8Num433z0"/>
    <w:qFormat/>
    <w:rPr/>
  </w:style>
  <w:style w:type="character" w:styleId="WW8Num434z0">
    <w:name w:val="WW8Num434z0"/>
    <w:qFormat/>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sz w:val="24"/>
    </w:rPr>
  </w:style>
  <w:style w:type="character" w:styleId="WW8Num438z0">
    <w:name w:val="WW8Num438z0"/>
    <w:qFormat/>
    <w:rPr>
      <w:rFonts w:ascii="Wingdings" w:hAnsi="Wingdings" w:cs="Wingdings"/>
    </w:rPr>
  </w:style>
  <w:style w:type="character" w:styleId="WW8NumSt76z0">
    <w:name w:val="WW8NumSt76z0"/>
    <w:qFormat/>
    <w:rPr>
      <w:rFonts w:ascii="Symbol" w:hAnsi="Symbol" w:cs="Symbol"/>
    </w:rPr>
  </w:style>
  <w:style w:type="character" w:styleId="WW8NumSt81z0">
    <w:name w:val="WW8NumSt81z0"/>
    <w:qFormat/>
    <w:rPr>
      <w:rFonts w:ascii="Symbol" w:hAnsi="Symbol" w:cs="Symbol"/>
    </w:rPr>
  </w:style>
  <w:style w:type="character" w:styleId="WW8NumSt82z0">
    <w:name w:val="WW8NumSt82z0"/>
    <w:qFormat/>
    <w:rPr>
      <w:rFonts w:ascii="Symbol" w:hAnsi="Symbol" w:cs="Symbol"/>
    </w:rPr>
  </w:style>
  <w:style w:type="character" w:styleId="WW8NumSt84z0">
    <w:name w:val="WW8NumSt84z0"/>
    <w:qFormat/>
    <w:rPr>
      <w:rFonts w:ascii="Symbol" w:hAnsi="Symbol" w:cs="Symbol"/>
    </w:rPr>
  </w:style>
  <w:style w:type="character" w:styleId="WW8NumSt86z0">
    <w:name w:val="WW8NumSt86z0"/>
    <w:qFormat/>
    <w:rPr>
      <w:rFonts w:ascii="Symbol" w:hAnsi="Symbol" w:cs="Symbol"/>
    </w:rPr>
  </w:style>
  <w:style w:type="character" w:styleId="WW8NumSt90z0">
    <w:name w:val="WW8NumSt90z0"/>
    <w:qFormat/>
    <w:rPr>
      <w:rFonts w:ascii="Symbol" w:hAnsi="Symbol" w:cs="Symbol"/>
    </w:rPr>
  </w:style>
  <w:style w:type="character" w:styleId="WW8NumSt93z0">
    <w:name w:val="WW8NumSt93z0"/>
    <w:qFormat/>
    <w:rPr>
      <w:rFonts w:ascii="Symbol" w:hAnsi="Symbol" w:cs="Symbol"/>
    </w:rPr>
  </w:style>
  <w:style w:type="character" w:styleId="WW8NumSt180z0">
    <w:name w:val="WW8NumSt180z0"/>
    <w:qFormat/>
    <w:rPr>
      <w:rFonts w:ascii="Symbol" w:hAnsi="Symbol" w:cs="Symbol"/>
    </w:rPr>
  </w:style>
  <w:style w:type="character" w:styleId="WW8NumSt374z0">
    <w:name w:val="WW8NumSt37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32"/>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240" w:after="0"/>
      <w:ind w:hanging="0" w:start="720" w:end="0"/>
    </w:pPr>
    <w:rPr/>
  </w:style>
  <w:style w:type="paragraph" w:styleId="BodyTextIndent3">
    <w:name w:val="Body Text Indent 3"/>
    <w:basedOn w:val="Normal"/>
    <w:qFormat/>
    <w:pPr>
      <w:keepLines/>
      <w:tabs>
        <w:tab w:val="left" w:pos="-1440" w:leader="none"/>
        <w:tab w:val="left" w:pos="-720" w:leader="none"/>
        <w:tab w:val="left" w:pos="0" w:leader="none"/>
        <w:tab w:val="left" w:pos="720" w:leader="none"/>
        <w:tab w:val="left" w:pos="1440" w:leader="none"/>
        <w:tab w:val="left" w:pos="2160" w:leader="none"/>
      </w:tabs>
      <w:suppressAutoHyphens w:val="true"/>
      <w:ind w:hanging="2880" w:start="2880" w:end="0"/>
    </w:pPr>
    <w:rPr/>
  </w:style>
  <w:style w:type="paragraph" w:styleId="Subtitle">
    <w:name w:val="Subtitle"/>
    <w:basedOn w:val="Normal"/>
    <w:next w:val="BodyText"/>
    <w:qFormat/>
    <w:pPr/>
    <w:rPr>
      <w:b/>
      <w:u w:val="single"/>
    </w:rPr>
  </w:style>
  <w:style w:type="paragraph" w:styleId="Heading21">
    <w:name w:val="Heading2"/>
    <w:basedOn w:val="Normal"/>
    <w:qFormat/>
    <w:pPr/>
    <w:rPr>
      <w:b/>
    </w:rPr>
  </w:style>
  <w:style w:type="paragraph" w:styleId="PlainText">
    <w:name w:val="Plain Text"/>
    <w:basedOn w:val="Normal"/>
    <w:qFormat/>
    <w:pPr/>
    <w:rPr>
      <w:rFonts w:ascii="Courier New" w:hAnsi="Courier New" w:cs="Courier New"/>
      <w:sz w:val="20"/>
    </w:rPr>
  </w:style>
  <w:style w:type="paragraph" w:styleId="TableCells">
    <w:name w:val="Table Cells"/>
    <w:basedOn w:val="Normal"/>
    <w:qFormat/>
    <w:pPr>
      <w:keepLines/>
      <w:numPr>
        <w:ilvl w:val="0"/>
        <w:numId w:val="3"/>
      </w:numPr>
    </w:pPr>
    <w:rPr>
      <w:sz w:val="22"/>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lockText">
    <w:name w:val="Block Text"/>
    <w:basedOn w:val="Normal"/>
    <w:qFormat/>
    <w:pPr>
      <w:tabs>
        <w:tab w:val="clear" w:pos="720"/>
        <w:tab w:val="left" w:pos="360" w:leader="none"/>
      </w:tabs>
      <w:ind w:hanging="0" w:start="360" w:end="720"/>
    </w:pPr>
    <w:rPr/>
  </w:style>
  <w:style w:type="paragraph" w:styleId="BodyText2">
    <w:name w:val="Body Text 2"/>
    <w:basedOn w:val="Normal"/>
    <w:qFormat/>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wmf"/><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2000-11-02T16:44:00Z</dcterms:created>
  <dc:creator>Charles Reinhold</dc:creator>
  <dc:description/>
  <dc:language>en-CA</dc:language>
  <cp:lastModifiedBy>ringers</cp:lastModifiedBy>
  <cp:lastPrinted>2000-10-23T15:06:00Z</cp:lastPrinted>
  <dcterms:modified xsi:type="dcterms:W3CDTF">2000-11-02T16:44:00Z</dcterms:modified>
  <cp:revision>2</cp:revision>
  <dc:subject/>
  <dc:title>WIO SINGLE OPTION CONCEPT PAPER</dc:title>
</cp:coreProperties>
</file>