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Resolution Supporting the Formation of the WIO</w:t>
      </w:r>
    </w:p>
    <w:p>
      <w:pPr>
        <w:pStyle w:val="Normal"/>
        <w:tabs>
          <w:tab w:val="clear" w:pos="720"/>
          <w:tab w:val="left" w:pos="-720" w:leader="none"/>
        </w:tabs>
        <w:rPr>
          <w:b/>
          <w:sz w:val="28"/>
        </w:rPr>
      </w:pPr>
      <w:r>
        <w:rPr>
          <w:b/>
          <w:sz w:val="28"/>
        </w:rPr>
      </w:r>
    </w:p>
    <w:p>
      <w:pPr>
        <w:pStyle w:val="BodyText"/>
        <w:rPr/>
      </w:pPr>
      <w:r>
        <w:rPr/>
        <w:t>Whereas, the Western Interconnection Coordination Forum (WICF) has, for over two years, been developing a proposal to create the Western Interconnection Organization (WIO) as a consolidation of existing organizations, and has provided a WIO Proposal and Draft Bylaws for the Organization; and,</w:t>
      </w:r>
    </w:p>
    <w:p>
      <w:pPr>
        <w:pStyle w:val="Normal"/>
        <w:tabs>
          <w:tab w:val="clear" w:pos="720"/>
          <w:tab w:val="left" w:pos="-720" w:leader="none"/>
        </w:tabs>
        <w:rPr/>
      </w:pPr>
      <w:r>
        <w:rPr/>
      </w:r>
    </w:p>
    <w:p>
      <w:pPr>
        <w:pStyle w:val="Normal"/>
        <w:tabs>
          <w:tab w:val="clear" w:pos="720"/>
          <w:tab w:val="left" w:pos="-720" w:leader="none"/>
        </w:tabs>
        <w:rPr/>
      </w:pPr>
      <w:r>
        <w:rPr/>
        <w:t>Whereas, the proposed WIO will meet the following goals of the WICF effort:</w:t>
      </w:r>
    </w:p>
    <w:p>
      <w:pPr>
        <w:pStyle w:val="Normal"/>
        <w:numPr>
          <w:ilvl w:val="0"/>
          <w:numId w:val="3"/>
        </w:numPr>
        <w:tabs>
          <w:tab w:val="clear" w:pos="720"/>
          <w:tab w:val="left" w:pos="2160" w:leader="none"/>
        </w:tabs>
        <w:spacing w:before="120" w:after="80"/>
        <w:ind w:hanging="0" w:start="270" w:end="0"/>
        <w:rPr/>
      </w:pPr>
      <w:r>
        <w:rPr/>
        <w:t>To promote efficient electric markets in the Western Interconnection.</w:t>
      </w:r>
    </w:p>
    <w:p>
      <w:pPr>
        <w:pStyle w:val="Normal"/>
        <w:numPr>
          <w:ilvl w:val="0"/>
          <w:numId w:val="3"/>
        </w:numPr>
        <w:spacing w:before="0" w:after="80"/>
        <w:ind w:hanging="0" w:start="270" w:end="0"/>
        <w:rPr/>
      </w:pPr>
      <w:r>
        <w:rPr/>
        <w:t>To ensure the reliability of the Western Interconnection.</w:t>
      </w:r>
    </w:p>
    <w:p>
      <w:pPr>
        <w:pStyle w:val="Normal"/>
        <w:numPr>
          <w:ilvl w:val="0"/>
          <w:numId w:val="3"/>
        </w:numPr>
        <w:spacing w:before="0" w:after="120"/>
        <w:ind w:hanging="0" w:start="270" w:end="0"/>
        <w:rPr/>
      </w:pPr>
      <w:r>
        <w:rPr/>
        <w:t>To increase the effectiveness of the institutional support structure.</w:t>
      </w:r>
    </w:p>
    <w:p>
      <w:pPr>
        <w:pStyle w:val="Normal"/>
        <w:numPr>
          <w:ilvl w:val="0"/>
          <w:numId w:val="3"/>
        </w:numPr>
        <w:spacing w:before="0" w:after="80"/>
        <w:ind w:hanging="0" w:start="270" w:end="0"/>
        <w:rPr/>
      </w:pPr>
      <w:r>
        <w:rPr/>
        <w:t>To eliminate overlap or duplication of effort between WICF organizations.</w:t>
      </w:r>
    </w:p>
    <w:p>
      <w:pPr>
        <w:pStyle w:val="Normal"/>
        <w:numPr>
          <w:ilvl w:val="0"/>
          <w:numId w:val="3"/>
        </w:numPr>
        <w:ind w:hanging="0" w:start="270" w:end="0"/>
        <w:rPr/>
      </w:pPr>
      <w:r>
        <w:rPr/>
        <w:t>To provide for a clear determination of authority and responsibility; and,</w:t>
      </w:r>
    </w:p>
    <w:p>
      <w:pPr>
        <w:pStyle w:val="Normal"/>
        <w:ind w:start="274" w:end="0"/>
        <w:rPr/>
      </w:pPr>
      <w:r>
        <w:rPr/>
      </w:r>
    </w:p>
    <w:p>
      <w:pPr>
        <w:pStyle w:val="BodyTextIndent3"/>
        <w:spacing w:before="0" w:after="0"/>
        <w:ind w:hanging="0" w:start="0" w:end="0"/>
        <w:rPr>
          <w:b w:val="false"/>
        </w:rPr>
      </w:pPr>
      <w:r>
        <w:rPr>
          <w:b w:val="false"/>
        </w:rPr>
        <w:t>Whereas, the WSCC has consistently supported the WICF efforts to create the Western Interconnection Organization;</w:t>
      </w:r>
    </w:p>
    <w:p>
      <w:pPr>
        <w:pStyle w:val="caption1"/>
        <w:rPr>
          <w:rFonts w:ascii="Times New Roman" w:hAnsi="Times New Roman" w:cs="Times New Roman"/>
          <w:b/>
        </w:rPr>
      </w:pPr>
      <w:r>
        <w:rPr>
          <w:rFonts w:cs="Times New Roman" w:ascii="Times New Roman" w:hAnsi="Times New Roman"/>
          <w:b/>
        </w:rPr>
      </w:r>
    </w:p>
    <w:p>
      <w:pPr>
        <w:pStyle w:val="Normal"/>
        <w:rPr/>
      </w:pPr>
      <w:r>
        <w:rPr/>
        <w:t>Whereas, WSCC has coordinated and cooperated with the Western Regional Transmission Association (WRTA), the Northwest Regional Transmission Association (NRTA), and the Southwest Regional Transmission Association (SWRTA) to develop and jointly support the Western Market Interface Committee (WMIC) in preparation for consolidation of grid-management organizations in the Western Interconnection; and,</w:t>
      </w:r>
    </w:p>
    <w:p>
      <w:pPr>
        <w:pStyle w:val="caption1"/>
        <w:rPr>
          <w:rFonts w:ascii="Times New Roman" w:hAnsi="Times New Roman" w:cs="Times New Roman"/>
        </w:rPr>
      </w:pPr>
      <w:r>
        <w:rPr>
          <w:rFonts w:cs="Times New Roman" w:ascii="Times New Roman" w:hAnsi="Times New Roman"/>
        </w:rPr>
      </w:r>
    </w:p>
    <w:p>
      <w:pPr>
        <w:pStyle w:val="Normal"/>
        <w:rPr/>
      </w:pPr>
      <w:r>
        <w:rPr/>
        <w:t>Now Therefore, be it resolved that the WSCC Board of Trustees:</w:t>
      </w:r>
    </w:p>
    <w:p>
      <w:pPr>
        <w:pStyle w:val="caption1"/>
        <w:rPr>
          <w:rFonts w:ascii="Times New Roman" w:hAnsi="Times New Roman" w:cs="Times New Roman"/>
        </w:rPr>
      </w:pPr>
      <w:r>
        <w:rPr>
          <w:rFonts w:cs="Times New Roman" w:ascii="Times New Roman" w:hAnsi="Times New Roman"/>
        </w:rPr>
      </w:r>
    </w:p>
    <w:p>
      <w:pPr>
        <w:pStyle w:val="BodyTextIndent3"/>
        <w:spacing w:before="0" w:after="0"/>
        <w:ind w:hanging="0" w:start="0" w:end="0"/>
        <w:rPr>
          <w:b w:val="false"/>
        </w:rPr>
      </w:pPr>
      <w:r>
        <w:rPr>
          <w:b w:val="false"/>
        </w:rPr>
        <w:t xml:space="preserve">Endorses the formation of the WIO based on the WIO Proposal and Draft Bylaws dated October 2, 2000; </w:t>
      </w:r>
    </w:p>
    <w:p>
      <w:pPr>
        <w:pStyle w:val="caption1"/>
        <w:rPr>
          <w:rFonts w:ascii="Times New Roman" w:hAnsi="Times New Roman" w:cs="Times New Roman"/>
          <w:b/>
        </w:rPr>
      </w:pPr>
      <w:r>
        <w:rPr>
          <w:rFonts w:cs="Times New Roman" w:ascii="Times New Roman" w:hAnsi="Times New Roman"/>
          <w:b/>
        </w:rPr>
      </w:r>
    </w:p>
    <w:p>
      <w:pPr>
        <w:pStyle w:val="BodyTextIndent"/>
        <w:ind w:start="0" w:end="0"/>
        <w:rPr/>
      </w:pPr>
      <w:r>
        <w:rPr/>
        <w:t xml:space="preserve">Supports an orderly transition of WSCC, by Merger Agreement, into the new organization; </w:t>
      </w:r>
    </w:p>
    <w:p>
      <w:pPr>
        <w:pStyle w:val="BodyTextIndent"/>
        <w:ind w:start="0" w:end="0"/>
        <w:rPr/>
      </w:pPr>
      <w:r>
        <w:rPr/>
      </w:r>
    </w:p>
    <w:p>
      <w:pPr>
        <w:pStyle w:val="BodyTextIndent"/>
        <w:ind w:start="0" w:end="0"/>
        <w:rPr/>
      </w:pPr>
      <w:r>
        <w:rPr/>
        <w:t xml:space="preserve">Supports the development and filing with the Federal Energy Regulatory Commission and the Department of Justice the documents necessary to approve the creation of the WIO; </w:t>
      </w:r>
    </w:p>
    <w:p>
      <w:pPr>
        <w:pStyle w:val="caption1"/>
        <w:rPr>
          <w:rFonts w:ascii="Times New Roman" w:hAnsi="Times New Roman" w:cs="Times New Roman"/>
        </w:rPr>
      </w:pPr>
      <w:r>
        <w:rPr>
          <w:rFonts w:cs="Times New Roman" w:ascii="Times New Roman" w:hAnsi="Times New Roman"/>
        </w:rPr>
      </w:r>
    </w:p>
    <w:p>
      <w:pPr>
        <w:pStyle w:val="BodyTextIndent"/>
        <w:ind w:start="0" w:end="0"/>
        <w:rPr/>
      </w:pPr>
      <w:r>
        <w:rPr/>
        <w:t>Empowers the WSCC Executive Committee to develop a Merger Agreement to merge WSCC into the WIO for presentation to the Membership for approval.  The merger conditions shall include but not be limited to the following:</w:t>
      </w:r>
    </w:p>
    <w:p>
      <w:pPr>
        <w:pStyle w:val="BodyTextIndent"/>
        <w:ind w:start="0" w:end="0"/>
        <w:rPr/>
      </w:pPr>
      <w:r>
        <w:rPr/>
      </w:r>
    </w:p>
    <w:p>
      <w:pPr>
        <w:pStyle w:val="BodyTextIndent"/>
        <w:numPr>
          <w:ilvl w:val="0"/>
          <w:numId w:val="2"/>
        </w:numPr>
        <w:ind w:hanging="0" w:start="360" w:end="0"/>
        <w:rPr/>
      </w:pPr>
      <w:r>
        <w:rPr/>
        <w:t>Specified Changes to the Proposed Bylaws</w:t>
      </w:r>
    </w:p>
    <w:p>
      <w:pPr>
        <w:pStyle w:val="BodyTextIndent"/>
        <w:numPr>
          <w:ilvl w:val="0"/>
          <w:numId w:val="2"/>
        </w:numPr>
        <w:tabs>
          <w:tab w:val="left" w:pos="720" w:leader="none"/>
        </w:tabs>
        <w:ind w:hanging="0" w:start="360" w:end="0"/>
        <w:rPr/>
      </w:pPr>
      <w:r>
        <w:rPr/>
        <w:t>Location of WIO Headquarters</w:t>
      </w:r>
    </w:p>
    <w:p>
      <w:pPr>
        <w:pStyle w:val="BodyTextIndent"/>
        <w:numPr>
          <w:ilvl w:val="0"/>
          <w:numId w:val="2"/>
        </w:numPr>
        <w:tabs>
          <w:tab w:val="left" w:pos="720" w:leader="none"/>
          <w:tab w:val="left" w:pos="1080" w:leader="none"/>
        </w:tabs>
        <w:ind w:hanging="0" w:start="360" w:end="0"/>
        <w:rPr/>
      </w:pPr>
      <w:r>
        <w:rPr/>
        <w:t>Employment of WSCC Personnel</w:t>
      </w:r>
    </w:p>
    <w:p>
      <w:pPr>
        <w:pStyle w:val="BodyTextIndent"/>
        <w:numPr>
          <w:ilvl w:val="0"/>
          <w:numId w:val="2"/>
        </w:numPr>
        <w:tabs>
          <w:tab w:val="left" w:pos="720" w:leader="none"/>
          <w:tab w:val="left" w:pos="1440" w:leader="none"/>
        </w:tabs>
        <w:ind w:hanging="0" w:start="360" w:end="0"/>
        <w:rPr/>
      </w:pPr>
      <w:r>
        <w:rPr/>
        <w:t>Acceptable Transition Plan</w:t>
      </w:r>
    </w:p>
    <w:p>
      <w:pPr>
        <w:pStyle w:val="BodyTextIndent"/>
        <w:numPr>
          <w:ilvl w:val="0"/>
          <w:numId w:val="2"/>
        </w:numPr>
        <w:tabs>
          <w:tab w:val="left" w:pos="720" w:leader="none"/>
          <w:tab w:val="left" w:pos="1800" w:leader="none"/>
        </w:tabs>
        <w:ind w:hanging="0" w:start="360" w:end="0"/>
        <w:rPr/>
      </w:pPr>
      <w:r>
        <w:rPr/>
        <w:t xml:space="preserve">    </w:t>
      </w:r>
    </w:p>
    <w:p>
      <w:pPr>
        <w:pStyle w:val="BodyTextIndent"/>
        <w:numPr>
          <w:ilvl w:val="0"/>
          <w:numId w:val="2"/>
        </w:numPr>
        <w:tabs>
          <w:tab w:val="left" w:pos="720" w:leader="none"/>
          <w:tab w:val="left" w:pos="2160" w:leader="none"/>
        </w:tabs>
        <w:ind w:hanging="0" w:start="360" w:end="0"/>
        <w:rPr/>
      </w:pPr>
      <w:r>
        <w:rPr/>
        <w:t>- - - - - - -; and</w:t>
      </w:r>
    </w:p>
    <w:p>
      <w:pPr>
        <w:pStyle w:val="BodyTextIndent"/>
        <w:tabs>
          <w:tab w:val="left" w:pos="720" w:leader="none"/>
        </w:tabs>
        <w:ind w:start="0" w:end="0"/>
        <w:rPr/>
      </w:pPr>
      <w:r>
        <w:rPr/>
      </w:r>
    </w:p>
    <w:p>
      <w:pPr>
        <w:pStyle w:val="BodyTextIndent"/>
        <w:tabs>
          <w:tab w:val="left" w:pos="720" w:leader="none"/>
        </w:tabs>
        <w:ind w:start="0" w:end="0"/>
        <w:rPr/>
      </w:pPr>
      <w:r>
        <w:rPr/>
        <w:t>Requests Membership approval to develop a Merger Agreement for the formation of WIO.</w:t>
      </w:r>
    </w:p>
    <w:sectPr>
      <w:headerReference w:type="default" r:id="rId2"/>
      <w:footerReference w:type="default" r:id="rId3"/>
      <w:type w:val="nextPage"/>
      <w:pgSz w:w="12240" w:h="15840"/>
      <w:pgMar w:left="1440" w:right="1440" w:gutter="0" w:header="720" w:top="129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rush Script MT">
    <w:charset w:val="00" w:characterSet="windows-1252"/>
    <w:family w:val="script"/>
    <w:pitch w:val="variable"/>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70" w:leader="none"/>
        <w:tab w:val="right" w:pos="9360" w:leader="none"/>
      </w:tabs>
      <w:rPr/>
    </w:pPr>
    <w:r>
      <w:rPr/>
      <w:tab/>
    </w:r>
    <w:r>
      <w:rPr>
        <w:rStyle w:val="PageNumber"/>
        <w:rFonts w:cs="Arial" w:ascii="Arial" w:hAnsi="Arial"/>
        <w:sz w:val="18"/>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b/>
      <w:tab/>
      <w:t>AGENDA ITEM V-1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360" w:hanging="360"/>
      </w:pPr>
      <w:rPr>
        <w:rFonts w:ascii="Symbol" w:hAnsi="Symbol" w:cs="Symbol" w:hint="default"/>
      </w:rPr>
    </w:lvl>
  </w:abstractNum>
  <w:abstractNum w:abstractNumId="3">
    <w:lvl w:ilvl="0">
      <w:start w:val="1"/>
      <w:numFmt w:val="bullet"/>
      <w:lvlText w:val=""/>
      <w:lvlJc w:val="start"/>
      <w:pPr>
        <w:tabs>
          <w:tab w:val="num" w:pos="936"/>
        </w:tabs>
        <w:ind w:start="864" w:hanging="288"/>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1260" w:leader="none"/>
        <w:tab w:val="left" w:pos="1800" w:leader="none"/>
      </w:tabs>
      <w:outlineLvl w:val="0"/>
    </w:pPr>
    <w:rPr>
      <w:b/>
    </w:rPr>
  </w:style>
  <w:style w:type="paragraph" w:styleId="Heading2">
    <w:name w:val="heading 2"/>
    <w:basedOn w:val="Normal"/>
    <w:next w:val="Normal"/>
    <w:qFormat/>
    <w:pPr>
      <w:keepNext w:val="true"/>
      <w:numPr>
        <w:ilvl w:val="1"/>
        <w:numId w:val="1"/>
      </w:numPr>
      <w:ind w:hanging="0" w:start="360" w:end="0"/>
      <w:outlineLvl w:val="1"/>
    </w:pPr>
    <w:rPr>
      <w:rFonts w:ascii="Brush Script MT" w:hAnsi="Brush Script MT" w:cs="Brush Script MT"/>
      <w:i/>
      <w:sz w:val="40"/>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spacing w:before="0" w:after="80"/>
      <w:ind w:hanging="0" w:start="360" w:end="0"/>
      <w:outlineLvl w:val="3"/>
    </w:pPr>
    <w:rPr>
      <w:b/>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rFonts w:ascii="Symbol" w:hAnsi="Symbol" w:cs="Symbol"/>
    </w:rPr>
  </w:style>
  <w:style w:type="character" w:styleId="WW8Num20z0">
    <w:name w:val="WW8Num20z0"/>
    <w:qFormat/>
    <w:rPr>
      <w:b/>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aption1">
    <w:name w:val="caption1"/>
    <w:basedOn w:val="Normal"/>
    <w:next w:val="Normal"/>
    <w:qFormat/>
    <w:pPr/>
    <w:rPr>
      <w:rFonts w:ascii="Courier" w:hAnsi="Courier" w:cs="Courier"/>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echnical4">
    <w:name w:val="Technical 4"/>
    <w:qFormat/>
    <w:pPr>
      <w:widowControl/>
      <w:tabs>
        <w:tab w:val="clear" w:pos="720"/>
        <w:tab w:val="left" w:pos="-720" w:leader="none"/>
      </w:tabs>
      <w:bidi w:val="0"/>
    </w:pPr>
    <w:rPr>
      <w:rFonts w:ascii="Courier" w:hAnsi="Courier" w:eastAsia="Times New Roman" w:cs="Courier"/>
      <w:b/>
      <w:color w:val="auto"/>
      <w:sz w:val="24"/>
      <w:szCs w:val="20"/>
      <w:lang w:val="en-US" w:bidi="ar-SA" w:eastAsia="zh-CN"/>
    </w:rPr>
  </w:style>
  <w:style w:type="paragraph" w:styleId="BodyTextIndent2">
    <w:name w:val="Body Text Indent 2"/>
    <w:basedOn w:val="Normal"/>
    <w:qFormat/>
    <w:pPr>
      <w:tabs>
        <w:tab w:val="clear" w:pos="720"/>
        <w:tab w:val="left" w:pos="-720" w:leader="none"/>
      </w:tabs>
      <w:ind w:firstLine="360" w:start="360" w:end="0"/>
    </w:pPr>
    <w:rPr>
      <w:b/>
    </w:rPr>
  </w:style>
  <w:style w:type="paragraph" w:styleId="BodyTextIndent3">
    <w:name w:val="Body Text Indent 3"/>
    <w:basedOn w:val="Normal"/>
    <w:qFormat/>
    <w:pPr>
      <w:spacing w:before="0" w:after="80"/>
      <w:ind w:hanging="360" w:start="360" w:end="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2000-11-02T16:42:00Z</dcterms:created>
  <dc:creator>Melissa Glasker</dc:creator>
  <dc:description/>
  <dc:language>en-CA</dc:language>
  <cp:lastModifiedBy>ringers</cp:lastModifiedBy>
  <cp:lastPrinted>2000-10-28T12:02:00Z</cp:lastPrinted>
  <dcterms:modified xsi:type="dcterms:W3CDTF">2000-11-02T16:42:00Z</dcterms:modified>
  <cp:revision>2</cp:revision>
  <dc:subject/>
  <dc:title>Annual Awards – Paula Green</dc:title>
</cp:coreProperties>
</file>