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lang w:val="en-CA" w:eastAsia="en-CA"/>
        </w:rPr>
      </w:pPr>
      <w:r>
        <w:rPr>
          <w:lang w:val="en-CA" w:eastAsia="en-CA"/>
        </w:rPr>
      </w:r>
      <w:r>
        <mc:AlternateContent>
          <mc:Choice Requires="wps">
            <w:drawing>
              <wp:anchor behindDoc="0" distT="0" distB="0" distL="114935" distR="114935" simplePos="0" locked="0" layoutInCell="1" allowOverlap="1" relativeHeight="4">
                <wp:simplePos x="0" y="0"/>
                <wp:positionH relativeFrom="column">
                  <wp:posOffset>-868680</wp:posOffset>
                </wp:positionH>
                <wp:positionV relativeFrom="paragraph">
                  <wp:posOffset>-464820</wp:posOffset>
                </wp:positionV>
                <wp:extent cx="7406640" cy="922020"/>
                <wp:effectExtent l="0" t="0" r="0" b="0"/>
                <wp:wrapNone/>
                <wp:docPr id="1" name="Frame1"/>
                <a:graphic xmlns:a="http://schemas.openxmlformats.org/drawingml/2006/main">
                  <a:graphicData uri="http://schemas.microsoft.com/office/word/2010/wordprocessingShape">
                    <wps:wsp>
                      <wps:cNvSpPr txBox="1"/>
                      <wps:spPr>
                        <a:xfrm>
                          <a:off x="0" y="0"/>
                          <a:ext cx="7406640" cy="922020"/>
                        </a:xfrm>
                        <a:prstGeom prst="rect"/>
                        <a:solidFill>
                          <a:srgbClr val="FFFFFF"/>
                        </a:solidFill>
                      </wps:spPr>
                      <wps:txbx>
                        <w:txbxContent>
                          <w:p>
                            <w:pPr>
                              <w:pStyle w:val="Normal"/>
                              <w:rPr/>
                            </w:pPr>
                            <w:r>
                              <w:rPr/>
                              <w:drawing>
                                <wp:inline distT="0" distB="0" distL="0" distR="0">
                                  <wp:extent cx="7221220" cy="760095"/>
                                  <wp:effectExtent l="0" t="0" r="0" b="0"/>
                                  <wp:docPr id="2" name="banner"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nner" descr="" title=""/>
                                          <pic:cNvPicPr>
                                            <a:picLocks noChangeAspect="1" noChangeArrowheads="1"/>
                                          </pic:cNvPicPr>
                                        </pic:nvPicPr>
                                        <pic:blipFill>
                                          <a:blip r:embed="rId2"/>
                                          <a:srcRect l="-5" t="-49" r="-5" b="-49"/>
                                          <a:stretch>
                                            <a:fillRect/>
                                          </a:stretch>
                                        </pic:blipFill>
                                        <pic:spPr bwMode="auto">
                                          <a:xfrm>
                                            <a:off x="0" y="0"/>
                                            <a:ext cx="7221220" cy="760095"/>
                                          </a:xfrm>
                                          <a:prstGeom prst="rect">
                                            <a:avLst/>
                                          </a:prstGeom>
                                          <a:noFill/>
                                        </pic:spPr>
                                      </pic:pic>
                                    </a:graphicData>
                                  </a:graphic>
                                </wp:inline>
                              </w:drawing>
                            </w:r>
                          </w:p>
                          <w:p>
                            <w:pPr>
                              <w:pStyle w:val="Normal"/>
                              <w:rPr/>
                            </w:pPr>
                            <w:r>
                              <w:rPr/>
                            </w:r>
                          </w:p>
                        </w:txbxContent>
                      </wps:txbx>
                      <wps:bodyPr anchor="t" lIns="92075" tIns="46355" rIns="92075" bIns="46355">
                        <a:noAutofit/>
                      </wps:bodyPr>
                    </wps:wsp>
                  </a:graphicData>
                </a:graphic>
              </wp:anchor>
            </w:drawing>
          </mc:Choice>
          <mc:Fallback>
            <w:pict>
              <v:rect fillcolor="#FFFFFF" style="position:absolute;rotation:-0;width:583.2pt;height:72.6pt;mso-wrap-distance-left:9.05pt;mso-wrap-distance-right:9.05pt;mso-wrap-distance-top:0pt;mso-wrap-distance-bottom:0pt;margin-top:-36.6pt;mso-position-vertical-relative:text;margin-left:-68.4pt;mso-position-horizontal-relative:text">
                <v:textbox inset="0.100694444444444in,0.0506944444444444in,0.100694444444444in,0.0506944444444444in">
                  <w:txbxContent>
                    <w:p>
                      <w:pPr>
                        <w:pStyle w:val="Normal"/>
                        <w:rPr/>
                      </w:pPr>
                      <w:r>
                        <w:rPr/>
                        <w:drawing>
                          <wp:inline distT="0" distB="0" distL="0" distR="0">
                            <wp:extent cx="7221220" cy="760095"/>
                            <wp:effectExtent l="0" t="0" r="0" b="0"/>
                            <wp:docPr id="3" name="banner"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 title=""/>
                                    <pic:cNvPicPr>
                                      <a:picLocks noChangeAspect="1" noChangeArrowheads="1"/>
                                    </pic:cNvPicPr>
                                  </pic:nvPicPr>
                                  <pic:blipFill>
                                    <a:blip r:embed="rId3"/>
                                    <a:srcRect l="-5" t="-49" r="-5" b="-49"/>
                                    <a:stretch>
                                      <a:fillRect/>
                                    </a:stretch>
                                  </pic:blipFill>
                                  <pic:spPr bwMode="auto">
                                    <a:xfrm>
                                      <a:off x="0" y="0"/>
                                      <a:ext cx="7221220" cy="760095"/>
                                    </a:xfrm>
                                    <a:prstGeom prst="rect">
                                      <a:avLst/>
                                    </a:prstGeom>
                                    <a:noFill/>
                                  </pic:spPr>
                                </pic:pic>
                              </a:graphicData>
                            </a:graphic>
                          </wp:inline>
                        </w:drawing>
                      </w:r>
                    </w:p>
                    <w:p>
                      <w:pPr>
                        <w:pStyle w:val="Normal"/>
                        <w:rPr/>
                      </w:pPr>
                      <w:r>
                        <w:rPr/>
                      </w:r>
                    </w:p>
                  </w:txbxContent>
                </v:textbox>
                <w10:wrap type="none"/>
              </v:rect>
            </w:pict>
          </mc:Fallback>
        </mc:AlternateContent>
      </w:r>
    </w:p>
    <w:p>
      <w:pPr>
        <w:pStyle w:val="Header"/>
        <w:tabs>
          <w:tab w:val="clear" w:pos="4320"/>
          <w:tab w:val="clear" w:pos="8640"/>
        </w:tabs>
        <w:rPr/>
      </w:pPr>
      <w:r>
        <w:rPr/>
      </w:r>
    </w:p>
    <w:p>
      <w:pPr>
        <w:pStyle w:val="Normal"/>
        <w:ind w:start="180" w:end="0"/>
        <w:rPr/>
      </w:pPr>
      <w:r>
        <w:rPr/>
      </w:r>
    </w:p>
    <w:p>
      <w:pPr>
        <w:pStyle w:val="Normal"/>
        <w:ind w:firstLine="180" w:end="0"/>
        <w:rPr/>
      </w:pPr>
      <w:r>
        <w:rPr/>
      </w:r>
    </w:p>
    <w:p>
      <w:pPr>
        <w:pStyle w:val="Normal"/>
        <w:jc w:val="end"/>
        <w:rPr>
          <w:sz w:val="28"/>
        </w:rPr>
      </w:pPr>
      <w:r>
        <w:rPr>
          <w:sz w:val="28"/>
        </w:rPr>
      </w:r>
    </w:p>
    <w:p>
      <w:pPr>
        <w:pStyle w:val="Normal"/>
        <w:jc w:val="end"/>
        <w:rPr>
          <w:sz w:val="28"/>
        </w:rPr>
      </w:pPr>
      <w:r>
        <w:rPr>
          <w:sz w:val="28"/>
        </w:rPr>
        <w:t>PR 04 02</w:t>
        <w:tab/>
        <w:tab/>
        <w:tab/>
        <w:tab/>
        <w:tab/>
        <w:tab/>
        <w:t>FOR IMMEDIATE RELEASE:</w:t>
      </w:r>
    </w:p>
    <w:p>
      <w:pPr>
        <w:pStyle w:val="Normal"/>
        <w:jc w:val="end"/>
        <w:rPr>
          <w:sz w:val="28"/>
        </w:rPr>
      </w:pPr>
      <w:r>
        <w:rPr>
          <w:sz w:val="28"/>
        </w:rPr>
        <w:t>MONDAY, Jan. 28, 2002</w:t>
      </w:r>
    </w:p>
    <w:p>
      <w:pPr>
        <w:pStyle w:val="Heading2"/>
        <w:ind w:hanging="0" w:start="0"/>
        <w:rPr/>
      </w:pPr>
      <w:r>
        <w:rPr/>
        <w:t>CONTACT:  Bill Murlin, BPA (503) 230-5141</w:t>
      </w:r>
    </w:p>
    <w:p>
      <w:pPr>
        <w:pStyle w:val="Normal"/>
        <w:ind w:firstLine="180" w:end="0"/>
        <w:rPr/>
      </w:pPr>
      <w:r>
        <w:rPr/>
      </w:r>
    </w:p>
    <w:p>
      <w:pPr>
        <w:pStyle w:val="Normal"/>
        <w:ind w:firstLine="720" w:end="0"/>
        <w:jc w:val="center"/>
        <w:rPr>
          <w:b/>
          <w:bCs/>
          <w:sz w:val="32"/>
        </w:rPr>
      </w:pPr>
      <w:r>
        <w:rPr>
          <w:b/>
          <w:bCs/>
          <w:sz w:val="32"/>
        </w:rPr>
        <w:t>Local whiz kids face off in nation's largest regional science bowl</w:t>
      </w:r>
    </w:p>
    <w:p>
      <w:pPr>
        <w:pStyle w:val="Normal"/>
        <w:ind w:firstLine="720" w:end="0"/>
        <w:jc w:val="center"/>
        <w:rPr>
          <w:b/>
          <w:bCs/>
          <w:sz w:val="32"/>
        </w:rPr>
      </w:pPr>
      <w:r>
        <w:rPr>
          <w:b/>
          <w:bCs/>
          <w:sz w:val="32"/>
        </w:rPr>
      </w:r>
    </w:p>
    <w:p>
      <w:pPr>
        <w:pStyle w:val="Normal"/>
        <w:ind w:firstLine="720" w:end="0"/>
        <w:rPr/>
      </w:pPr>
      <w:r>
        <w:rPr/>
      </w:r>
    </w:p>
    <w:p>
      <w:pPr>
        <w:pStyle w:val="Normal"/>
        <w:spacing w:lineRule="auto" w:line="480"/>
        <w:rPr/>
      </w:pPr>
      <w:r>
        <w:rPr>
          <w:b/>
          <w:bCs/>
        </w:rPr>
        <w:t xml:space="preserve">VANCOUVER, WA </w:t>
      </w:r>
      <w:r>
        <w:rPr/>
        <w:t>—</w:t>
      </w:r>
      <w:r>
        <w:rPr>
          <w:b/>
          <w:bCs/>
        </w:rPr>
        <w:t xml:space="preserve"> </w:t>
      </w:r>
      <w:r>
        <w:rPr/>
        <w:t xml:space="preserve">More than 150 middle school students from Washington and Oregon will meet Feb. 9 on the intellectual playing field to compete for the Regional Science Bowl title.  The top two teams from the regional event will travel to Washington, D.C. in March to vie with teams from throughout the nation in the first national middle school championship. </w:t>
      </w:r>
    </w:p>
    <w:p>
      <w:pPr>
        <w:pStyle w:val="Normal"/>
        <w:ind w:firstLine="720" w:end="0"/>
        <w:rPr/>
      </w:pPr>
      <w:r>
        <w:rPr/>
        <w:t xml:space="preserve">Like their athletic peers, Science Bowl participants have been in training, building their skills, sharpening their wits and perfecting their team strategies. The BPA Science Bowl is one of the few events in which students can meet their academic counterparts from other schools, flex their intellectual brawn and be acknowledged for their achievement. </w:t>
      </w:r>
    </w:p>
    <w:p>
      <w:pPr>
        <w:pStyle w:val="Normal"/>
        <w:ind w:firstLine="720" w:end="0"/>
        <w:rPr/>
      </w:pPr>
      <w:r>
        <w:rPr/>
      </w:r>
    </w:p>
    <w:p>
      <w:pPr>
        <w:pStyle w:val="Normal"/>
        <w:autoSpaceDE w:val="false"/>
        <w:ind w:firstLine="720" w:end="0"/>
        <w:rPr>
          <w:rFonts w:ascii="Arial" w:hAnsi="Arial" w:cs="Arial"/>
          <w:color w:val="000080"/>
          <w:sz w:val="20"/>
        </w:rPr>
      </w:pPr>
      <w:r>
        <w:rPr/>
        <w:t xml:space="preserve">News media wishing to do advance stories should contact schools directly. Digital photos of the winning teams will be available on the web by 8 p.m., Feb. 9 at </w:t>
      </w:r>
      <w:r>
        <w:rPr>
          <w:rFonts w:cs="Arial" w:ascii="Arial" w:hAnsi="Arial"/>
          <w:color w:val="0000FF"/>
          <w:sz w:val="20"/>
          <w:u w:val="single"/>
        </w:rPr>
        <w:t>&lt;http://www.bpa.gov/corporate/kc/sciencebowl&gt;</w:t>
      </w:r>
    </w:p>
    <w:p>
      <w:pPr>
        <w:pStyle w:val="Normal"/>
        <w:rPr>
          <w:rFonts w:ascii="Arial" w:hAnsi="Arial" w:cs="Arial"/>
          <w:color w:val="000080"/>
          <w:sz w:val="20"/>
        </w:rPr>
      </w:pPr>
      <w:r>
        <w:rPr>
          <w:rFonts w:cs="Arial" w:ascii="Arial" w:hAnsi="Arial"/>
          <w:color w:val="000080"/>
          <w:sz w:val="20"/>
        </w:rPr>
      </w:r>
    </w:p>
    <w:p>
      <w:pPr>
        <w:pStyle w:val="Normal"/>
        <w:rPr/>
      </w:pPr>
      <w:r>
        <w:rPr/>
        <w:tab/>
      </w:r>
      <w:r>
        <w:rPr>
          <w:b/>
          <w:bCs/>
        </w:rPr>
        <w:t>What:  BPA’s 2002 Regional Middle School Science Bowl competition</w:t>
      </w:r>
    </w:p>
    <w:p>
      <w:pPr>
        <w:pStyle w:val="Normal"/>
        <w:rPr>
          <w:b/>
          <w:bCs/>
        </w:rPr>
      </w:pPr>
      <w:r>
        <w:rPr>
          <w:b/>
          <w:bCs/>
        </w:rPr>
      </w:r>
    </w:p>
    <w:p>
      <w:pPr>
        <w:pStyle w:val="Normal"/>
        <w:ind w:start="720" w:end="0"/>
        <w:rPr/>
      </w:pPr>
      <w:r>
        <w:rPr>
          <w:b/>
          <w:bCs/>
        </w:rPr>
        <w:t>When:</w:t>
      </w:r>
      <w:r>
        <w:rPr/>
        <w:t xml:space="preserve"> Saturday, Feb. 9.  Opening ceremonies begin at 8 a.m.  Competition begins at 8:30 am, with final rounds beginning around 4 p.m.</w:t>
      </w:r>
    </w:p>
    <w:p>
      <w:pPr>
        <w:pStyle w:val="Normal"/>
        <w:rPr/>
      </w:pPr>
      <w:r>
        <w:rPr/>
      </w:r>
    </w:p>
    <w:p>
      <w:pPr>
        <w:pStyle w:val="Normal"/>
        <w:ind w:start="720" w:end="0"/>
        <w:rPr/>
      </w:pPr>
      <w:r>
        <w:rPr>
          <w:b/>
          <w:bCs/>
        </w:rPr>
        <w:t xml:space="preserve">Where:  </w:t>
      </w:r>
      <w:r>
        <w:rPr/>
        <w:t xml:space="preserve">Washington State University—Student Services Building, Room 110, Vancouver Campus, 14204 NE Salmon Creek Av, Vancouver, WA.  For directions to the campus, point your web browser to:  </w:t>
      </w:r>
      <w:hyperlink r:id="rId4">
        <w:r>
          <w:rPr>
            <w:rStyle w:val="Hyperlink"/>
            <w:sz w:val="20"/>
          </w:rPr>
          <w:t>http://www.vancouver.wsu.edu/directions.html</w:t>
        </w:r>
      </w:hyperlink>
      <w:r>
        <w:rPr/>
        <w:t>.</w:t>
      </w:r>
    </w:p>
    <w:p>
      <w:pPr>
        <w:pStyle w:val="Normal"/>
        <w:ind w:start="720" w:end="0"/>
        <w:rPr/>
      </w:pPr>
      <w:r>
        <w:rPr/>
      </w:r>
    </w:p>
    <w:p>
      <w:pPr>
        <w:pStyle w:val="Normal"/>
        <w:ind w:start="720" w:end="0"/>
        <w:jc w:val="center"/>
        <w:rPr/>
      </w:pPr>
      <w:r>
        <w:rPr/>
        <w:t>-more-</w:t>
      </w:r>
      <w:r>
        <w:br w:type="page"/>
      </w:r>
    </w:p>
    <w:p>
      <w:pPr>
        <w:pStyle w:val="Normal"/>
        <w:jc w:val="center"/>
        <w:rPr/>
      </w:pPr>
      <w:r>
        <w:rPr/>
        <w:t>2</w:t>
      </w:r>
    </w:p>
    <w:p>
      <w:pPr>
        <w:pStyle w:val="Normal"/>
        <w:rPr/>
      </w:pPr>
      <w:r>
        <w:rPr/>
      </w:r>
    </w:p>
    <w:p>
      <w:pPr>
        <w:pStyle w:val="Normal"/>
        <w:rPr/>
      </w:pPr>
      <w:r>
        <w:rPr>
          <w:b/>
          <w:bCs/>
          <w:i/>
          <w:iCs/>
        </w:rPr>
        <w:t xml:space="preserve">[[[Note:  </w:t>
      </w:r>
      <w:r>
        <w:rPr>
          <w:i/>
          <w:iCs/>
        </w:rPr>
        <w:t>Media should check in at Room 110 of the Student Services Building.  A BPA media representative will assist you with covering the event.]]]</w:t>
      </w:r>
    </w:p>
    <w:p>
      <w:pPr>
        <w:pStyle w:val="Normal"/>
        <w:rPr>
          <w:i/>
          <w:i/>
          <w:iCs/>
        </w:rPr>
      </w:pPr>
      <w:r>
        <w:rPr>
          <w:i/>
          <w:iCs/>
        </w:rPr>
      </w:r>
    </w:p>
    <w:p>
      <w:pPr>
        <w:pStyle w:val="Normal"/>
        <w:ind w:firstLine="720" w:end="0"/>
        <w:rPr/>
      </w:pPr>
      <w:r>
        <w:rPr/>
        <w:t xml:space="preserve">The BPA Science Bowl is the largest and oldest regional competition in the nation. Each participating school builds its own teams consisting of four student contestants and two alternates each.  The question-and-answer format competition is modeled after television game shows, using a lock-out buzzer system  </w:t>
      </w:r>
    </w:p>
    <w:p>
      <w:pPr>
        <w:pStyle w:val="Normal"/>
        <w:rPr/>
      </w:pPr>
      <w:r>
        <w:rPr/>
      </w:r>
    </w:p>
    <w:p>
      <w:pPr>
        <w:pStyle w:val="Normal"/>
        <w:ind w:firstLine="720" w:end="0"/>
        <w:rPr/>
      </w:pPr>
      <w:r>
        <w:rPr/>
        <w:t>The Bonneville Power Administration sponsors two science bowls each year to encourage participation in math and science studies, especially among minorities and women. A second bowl, for high school students, is scheduled for March 9 at the University of Portland. More information on that event will be forthcoming.</w:t>
      </w:r>
    </w:p>
    <w:p>
      <w:pPr>
        <w:pStyle w:val="Normal"/>
        <w:ind w:firstLine="720" w:end="0"/>
        <w:rPr/>
      </w:pPr>
      <w:r>
        <w:rPr/>
      </w:r>
    </w:p>
    <w:p>
      <w:pPr>
        <w:pStyle w:val="Normal"/>
        <w:ind w:firstLine="720" w:end="0"/>
        <w:rPr/>
      </w:pPr>
      <w:r>
        <w:rPr/>
        <w:t xml:space="preserve">Here are some sample questions: </w:t>
      </w:r>
    </w:p>
    <w:p>
      <w:pPr>
        <w:pStyle w:val="Normal"/>
        <w:ind w:firstLine="720" w:end="0"/>
        <w:rPr/>
      </w:pPr>
      <w:r>
        <w:rPr/>
      </w:r>
    </w:p>
    <w:p>
      <w:pPr>
        <w:pStyle w:val="Normal"/>
        <w:rPr/>
      </w:pPr>
      <w:r>
        <w:rPr/>
        <w:t xml:space="preserve">PHYSICS; Multiple Choice:  The random movement of dust particles in a room is an example of </w:t>
      </w:r>
    </w:p>
    <w:p>
      <w:pPr>
        <w:pStyle w:val="Normal"/>
        <w:tabs>
          <w:tab w:val="left" w:pos="720" w:leader="none"/>
          <w:tab w:val="left" w:pos="1260" w:leader="none"/>
        </w:tabs>
        <w:rPr/>
      </w:pPr>
      <w:r>
        <w:rPr/>
        <w:tab/>
        <w:t>(W)</w:t>
        <w:tab/>
        <w:t>Inelastic collisions.</w:t>
      </w:r>
    </w:p>
    <w:p>
      <w:pPr>
        <w:pStyle w:val="Normal"/>
        <w:tabs>
          <w:tab w:val="left" w:pos="720" w:leader="none"/>
          <w:tab w:val="left" w:pos="1260" w:leader="none"/>
        </w:tabs>
        <w:rPr/>
      </w:pPr>
      <w:r>
        <w:rPr/>
        <w:tab/>
        <w:t>(X)</w:t>
        <w:tab/>
        <w:t>Elastic collisions.</w:t>
      </w:r>
    </w:p>
    <w:p>
      <w:pPr>
        <w:pStyle w:val="Normal"/>
        <w:numPr>
          <w:ilvl w:val="0"/>
          <w:numId w:val="4"/>
        </w:numPr>
        <w:tabs>
          <w:tab w:val="left" w:pos="720" w:leader="none"/>
          <w:tab w:val="left" w:pos="1260" w:leader="none"/>
        </w:tabs>
        <w:rPr/>
      </w:pPr>
      <w:r>
        <w:rPr/>
        <w:t>Brownian motion.</w:t>
      </w:r>
    </w:p>
    <w:p>
      <w:pPr>
        <w:pStyle w:val="Normal"/>
        <w:numPr>
          <w:ilvl w:val="0"/>
          <w:numId w:val="4"/>
        </w:numPr>
        <w:tabs>
          <w:tab w:val="left" w:pos="720" w:leader="none"/>
          <w:tab w:val="left" w:pos="1260" w:leader="none"/>
        </w:tabs>
        <w:rPr/>
      </w:pPr>
      <w:r>
        <w:rPr/>
        <w:t>Vortexes.</w:t>
      </w:r>
    </w:p>
    <w:p>
      <w:pPr>
        <w:pStyle w:val="Normal"/>
        <w:ind w:start="720" w:end="0"/>
        <w:rPr/>
      </w:pPr>
      <w:r>
        <w:rPr/>
      </w:r>
    </w:p>
    <w:p>
      <w:pPr>
        <w:pStyle w:val="Normal"/>
        <w:ind w:start="720" w:end="0"/>
        <w:rPr/>
      </w:pPr>
      <w:r>
        <w:rPr/>
        <w:t>ANSWER: Y-BROWNIAN MOTION</w:t>
      </w:r>
    </w:p>
    <w:p>
      <w:pPr>
        <w:pStyle w:val="Normal"/>
        <w:rPr/>
      </w:pPr>
      <w:r>
        <w:rPr/>
      </w:r>
    </w:p>
    <w:p>
      <w:pPr>
        <w:pStyle w:val="Normal"/>
        <w:rPr/>
      </w:pPr>
      <w:r>
        <w:rPr/>
        <w:t>CHEMISTRY; Multiple Choice: Crystals of ice are</w:t>
      </w:r>
    </w:p>
    <w:p>
      <w:pPr>
        <w:pStyle w:val="Normal"/>
        <w:tabs>
          <w:tab w:val="left" w:pos="720" w:leader="none"/>
          <w:tab w:val="left" w:pos="1260" w:leader="none"/>
        </w:tabs>
        <w:rPr/>
      </w:pPr>
      <w:r>
        <w:rPr/>
        <w:tab/>
        <w:t>(W)</w:t>
        <w:tab/>
        <w:t>isometric.</w:t>
      </w:r>
    </w:p>
    <w:p>
      <w:pPr>
        <w:pStyle w:val="Normal"/>
        <w:tabs>
          <w:tab w:val="left" w:pos="720" w:leader="none"/>
          <w:tab w:val="left" w:pos="1260" w:leader="none"/>
        </w:tabs>
        <w:rPr/>
      </w:pPr>
      <w:r>
        <w:rPr/>
        <w:tab/>
        <w:t>(X)</w:t>
        <w:tab/>
        <w:t>tetragonal.</w:t>
      </w:r>
    </w:p>
    <w:p>
      <w:pPr>
        <w:pStyle w:val="Normal"/>
        <w:tabs>
          <w:tab w:val="left" w:pos="720" w:leader="none"/>
          <w:tab w:val="left" w:pos="1260" w:leader="none"/>
        </w:tabs>
        <w:rPr/>
      </w:pPr>
      <w:r>
        <w:rPr/>
        <w:tab/>
        <w:t>(Y)</w:t>
        <w:tab/>
        <w:t>hexagonal.</w:t>
      </w:r>
    </w:p>
    <w:p>
      <w:pPr>
        <w:pStyle w:val="Normal"/>
        <w:numPr>
          <w:ilvl w:val="0"/>
          <w:numId w:val="3"/>
        </w:numPr>
        <w:tabs>
          <w:tab w:val="left" w:pos="720" w:leader="none"/>
          <w:tab w:val="left" w:pos="1260" w:leader="none"/>
        </w:tabs>
        <w:rPr/>
      </w:pPr>
      <w:r>
        <w:rPr/>
        <w:t>orthorhombic (pron: or’-tho’rom’bic).</w:t>
      </w:r>
    </w:p>
    <w:p>
      <w:pPr>
        <w:pStyle w:val="Normal"/>
        <w:tabs>
          <w:tab w:val="left" w:pos="720" w:leader="none"/>
          <w:tab w:val="left" w:pos="1260" w:leader="none"/>
        </w:tabs>
        <w:rPr/>
      </w:pPr>
      <w:r>
        <w:rPr/>
      </w:r>
    </w:p>
    <w:p>
      <w:pPr>
        <w:pStyle w:val="Normal"/>
        <w:ind w:start="720" w:end="0"/>
        <w:rPr/>
      </w:pPr>
      <w:r>
        <w:rPr/>
        <w:t>ANSWER: Y—HEXAGONAL</w:t>
      </w:r>
    </w:p>
    <w:p>
      <w:pPr>
        <w:pStyle w:val="Normal"/>
        <w:ind w:start="720" w:end="0"/>
        <w:rPr/>
      </w:pPr>
      <w:r>
        <w:rPr/>
      </w:r>
    </w:p>
    <w:p>
      <w:pPr>
        <w:pStyle w:val="Normal"/>
        <w:rPr/>
      </w:pPr>
      <w:r>
        <w:rPr/>
        <w:t>EARTH SCIENCES; Multiple Choice:  Approximately how many known minerals are there on Earth?</w:t>
      </w:r>
    </w:p>
    <w:p>
      <w:pPr>
        <w:pStyle w:val="Normal"/>
        <w:rPr/>
      </w:pPr>
      <w:r>
        <w:rPr/>
      </w:r>
    </w:p>
    <w:p>
      <w:pPr>
        <w:pStyle w:val="Normal"/>
        <w:numPr>
          <w:ilvl w:val="0"/>
          <w:numId w:val="2"/>
        </w:numPr>
        <w:tabs>
          <w:tab w:val="clear" w:pos="720"/>
          <w:tab w:val="left" w:pos="1260" w:leader="none"/>
        </w:tabs>
        <w:rPr/>
      </w:pPr>
      <w:r>
        <w:rPr/>
        <w:t>400</w:t>
      </w:r>
    </w:p>
    <w:p>
      <w:pPr>
        <w:pStyle w:val="Normal"/>
        <w:numPr>
          <w:ilvl w:val="0"/>
          <w:numId w:val="2"/>
        </w:numPr>
        <w:tabs>
          <w:tab w:val="clear" w:pos="720"/>
          <w:tab w:val="left" w:pos="1260" w:leader="none"/>
        </w:tabs>
        <w:rPr/>
      </w:pPr>
      <w:r>
        <w:rPr/>
        <w:t>2000</w:t>
      </w:r>
    </w:p>
    <w:p>
      <w:pPr>
        <w:pStyle w:val="Normal"/>
        <w:numPr>
          <w:ilvl w:val="0"/>
          <w:numId w:val="2"/>
        </w:numPr>
        <w:tabs>
          <w:tab w:val="clear" w:pos="720"/>
          <w:tab w:val="left" w:pos="1260" w:leader="none"/>
        </w:tabs>
        <w:rPr/>
      </w:pPr>
      <w:r>
        <w:rPr/>
        <w:t>4000</w:t>
      </w:r>
    </w:p>
    <w:p>
      <w:pPr>
        <w:pStyle w:val="Normal"/>
        <w:numPr>
          <w:ilvl w:val="0"/>
          <w:numId w:val="2"/>
        </w:numPr>
        <w:tabs>
          <w:tab w:val="clear" w:pos="720"/>
          <w:tab w:val="left" w:pos="1260" w:leader="none"/>
        </w:tabs>
        <w:rPr/>
      </w:pPr>
      <w:r>
        <w:rPr/>
        <w:t>10,000</w:t>
      </w:r>
    </w:p>
    <w:p>
      <w:pPr>
        <w:pStyle w:val="Normal"/>
        <w:rPr/>
      </w:pPr>
      <w:r>
        <w:rPr/>
      </w:r>
    </w:p>
    <w:p>
      <w:pPr>
        <w:pStyle w:val="Normal"/>
        <w:ind w:firstLine="720" w:end="0"/>
        <w:rPr/>
      </w:pPr>
      <w:r>
        <w:rPr/>
        <w:t>ANSWER: Y--4000</w:t>
      </w:r>
    </w:p>
    <w:p>
      <w:pPr>
        <w:pStyle w:val="Normal"/>
        <w:jc w:val="center"/>
        <w:rPr/>
      </w:pPr>
      <w:r>
        <w:rPr/>
      </w:r>
    </w:p>
    <w:p>
      <w:pPr>
        <w:pStyle w:val="Normal"/>
        <w:ind w:start="720" w:end="0"/>
        <w:jc w:val="center"/>
        <w:rPr/>
      </w:pPr>
      <w:r>
        <w:rPr/>
        <w:t># # #</w:t>
      </w:r>
    </w:p>
    <w:sectPr>
      <w:footerReference w:type="default" r:id="rId5"/>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Frutiger 55 Roman">
    <w:altName w:val="Arial Narrow"/>
    <w:charset w:val="00" w:characterSet="windows-1252"/>
    <w:family w:val="swiss"/>
    <w:pitch w:val="variable"/>
  </w:font>
  <w:font w:name="Frutiger 45 Light">
    <w:altName w:val="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Frutiger 55 Roman;Arial Narrow" w:hAnsi="Frutiger 55 Roman;Arial Narrow" w:cs="Frutiger 55 Roman;Arial Narrow"/>
        <w:b/>
        <w:sz w:val="22"/>
        <w:lang w:val="en-CA" w:eastAsia="en-CA"/>
      </w:rPr>
    </w:pPr>
    <w:r>
      <w:rPr>
        <w:rFonts w:cs="Frutiger 55 Roman;Arial Narrow" w:ascii="Frutiger 55 Roman;Arial Narrow" w:hAnsi="Frutiger 55 Roman;Arial Narrow"/>
        <w:b/>
        <w:sz w:val="22"/>
        <w:lang w:val="en-CA" w:eastAsia="en-CA"/>
      </w:rPr>
      <mc:AlternateContent>
        <mc:Choice Requires="wps">
          <w:drawing>
            <wp:anchor behindDoc="1" distT="0" distB="0" distL="114935" distR="114935" simplePos="0" locked="0" layoutInCell="1" allowOverlap="1" relativeHeight="3">
              <wp:simplePos x="0" y="0"/>
              <wp:positionH relativeFrom="column">
                <wp:posOffset>-45720</wp:posOffset>
              </wp:positionH>
              <wp:positionV relativeFrom="paragraph">
                <wp:posOffset>29845</wp:posOffset>
              </wp:positionV>
              <wp:extent cx="6309360" cy="0"/>
              <wp:effectExtent l="0" t="5080" r="0" b="5080"/>
              <wp:wrapNone/>
              <wp:docPr id="4" name=""/>
              <a:graphic xmlns:a="http://schemas.openxmlformats.org/drawingml/2006/main">
                <a:graphicData uri="http://schemas.microsoft.com/office/word/2010/wordprocessingShape">
                  <wps:wsp>
                    <wps:cNvSpPr/>
                    <wps:spPr>
                      <a:xfrm>
                        <a:off x="0" y="0"/>
                        <a:ext cx="630936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6pt,2.35pt" to="493.15pt,2.35pt" stroked="t" o:allowincell="f" style="position:absolute">
              <v:stroke color="black" weight="9360" joinstyle="miter" endcap="flat"/>
              <v:fill o:detectmouseclick="t" on="false"/>
              <w10:wrap type="none"/>
            </v:line>
          </w:pict>
        </mc:Fallback>
      </mc:AlternateContent>
    </w:r>
  </w:p>
  <w:p>
    <w:pPr>
      <w:pStyle w:val="Normal"/>
      <w:rPr/>
    </w:pPr>
    <w:r>
      <w:rPr>
        <w:rFonts w:cs="Frutiger 55 Roman;Arial Narrow" w:ascii="Frutiger 55 Roman;Arial Narrow" w:hAnsi="Frutiger 55 Roman;Arial Narrow"/>
        <w:b/>
        <w:sz w:val="22"/>
      </w:rPr>
      <w:t>Bonneville Power Administration,</w:t>
    </w:r>
    <w:r>
      <w:rPr>
        <w:rFonts w:cs="Frutiger 45 Light;Arial Narrow" w:ascii="Frutiger 45 Light;Arial Narrow" w:hAnsi="Frutiger 45 Light;Arial Narrow"/>
        <w:sz w:val="22"/>
      </w:rPr>
      <w:t xml:space="preserve"> 905 N.E. 11</w:t>
    </w:r>
    <w:r>
      <w:rPr>
        <w:rFonts w:cs="Frutiger 45 Light;Arial Narrow" w:ascii="Frutiger 45 Light;Arial Narrow" w:hAnsi="Frutiger 45 Light;Arial Narrow"/>
        <w:sz w:val="22"/>
        <w:vertAlign w:val="superscript"/>
      </w:rPr>
      <w:t>th</w:t>
    </w:r>
    <w:r>
      <w:rPr>
        <w:rFonts w:cs="Frutiger 45 Light;Arial Narrow" w:ascii="Frutiger 45 Light;Arial Narrow" w:hAnsi="Frutiger 45 Light;Arial Narrow"/>
        <w:sz w:val="22"/>
      </w:rPr>
      <w:t xml:space="preserve"> Avenue, Portland, Oregon 97232</w:t>
    </w:r>
  </w:p>
  <w:p>
    <w:pPr>
      <w:pStyle w:val="Footer"/>
      <w:rPr/>
    </w:pPr>
    <w:r>
      <w:rPr>
        <w:rFonts w:cs="Frutiger 55 Roman;Arial Narrow" w:ascii="Frutiger 55 Roman;Arial Narrow" w:hAnsi="Frutiger 55 Roman;Arial Narrow"/>
        <w:b/>
        <w:sz w:val="22"/>
      </w:rPr>
      <w:t>Mailing Address:</w:t>
    </w:r>
    <w:r>
      <w:rPr>
        <w:rFonts w:cs="Frutiger 45 Light;Arial Narrow" w:ascii="Frutiger 45 Light;Arial Narrow" w:hAnsi="Frutiger 45 Light;Arial Narrow"/>
        <w:sz w:val="22"/>
      </w:rPr>
      <w:t xml:space="preserve"> Media Relations - KC7, P.O. Box 3621, Portland, OR 97208-3621</w:t>
    </w:r>
  </w:p>
  <w:p>
    <w:pPr>
      <w:pStyle w:val="Footer"/>
      <w:rPr/>
    </w:pPr>
    <w:r>
      <w:rPr>
        <w:rFonts w:cs="Frutiger 55 Roman;Arial Narrow" w:ascii="Frutiger 55 Roman;Arial Narrow" w:hAnsi="Frutiger 55 Roman;Arial Narrow"/>
        <w:b/>
        <w:sz w:val="22"/>
      </w:rPr>
      <w:t>Phone:</w:t>
    </w:r>
    <w:r>
      <w:rPr>
        <w:rFonts w:cs="Frutiger 45 Light;Arial Narrow" w:ascii="Frutiger 45 Light;Arial Narrow" w:hAnsi="Frutiger 45 Light;Arial Narrow"/>
        <w:sz w:val="22"/>
      </w:rPr>
      <w:t xml:space="preserve"> (503) 230-5131 </w:t>
    </w:r>
    <w:r>
      <w:rPr>
        <w:rFonts w:cs="Frutiger 55 Roman;Arial Narrow" w:ascii="Frutiger 55 Roman;Arial Narrow" w:hAnsi="Frutiger 55 Roman;Arial Narrow"/>
        <w:b/>
        <w:sz w:val="22"/>
      </w:rPr>
      <w:t>Fax:</w:t>
    </w:r>
    <w:r>
      <w:rPr>
        <w:rFonts w:cs="Frutiger 45 Light;Arial Narrow" w:ascii="Frutiger 45 Light;Arial Narrow" w:hAnsi="Frutiger 45 Light;Arial Narrow"/>
        <w:sz w:val="22"/>
      </w:rPr>
      <w:t xml:space="preserve"> (503) 230-5884    </w:t>
    </w:r>
    <w:r>
      <w:rPr>
        <w:rFonts w:cs="Frutiger 55 Roman;Arial Narrow" w:ascii="Frutiger 55 Roman;Arial Narrow" w:hAnsi="Frutiger 55 Roman;Arial Narrow"/>
        <w:b/>
        <w:sz w:val="22"/>
      </w:rPr>
      <w:t>Web site:</w:t>
    </w:r>
    <w:r>
      <w:rPr>
        <w:rFonts w:cs="Frutiger 45 Light;Arial Narrow" w:ascii="Frutiger 45 Light;Arial Narrow" w:hAnsi="Frutiger 45 Light;Arial Narrow"/>
        <w:sz w:val="22"/>
      </w:rPr>
      <w:t xml:space="preserve"> http://www.bpa.gov</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3"/>
      <w:numFmt w:val="upperLetter"/>
      <w:lvlText w:val="(%1)"/>
      <w:lvlJc w:val="start"/>
      <w:pPr>
        <w:tabs>
          <w:tab w:val="num" w:pos="1215"/>
        </w:tabs>
        <w:ind w:start="1215" w:hanging="495"/>
      </w:pPr>
      <w:rPr/>
    </w:lvl>
  </w:abstractNum>
  <w:abstractNum w:abstractNumId="3">
    <w:lvl w:ilvl="0">
      <w:start w:val="26"/>
      <w:numFmt w:val="upperLetter"/>
      <w:lvlText w:val="(%1)"/>
      <w:lvlJc w:val="start"/>
      <w:pPr>
        <w:tabs>
          <w:tab w:val="num" w:pos="1080"/>
        </w:tabs>
        <w:ind w:start="1080" w:hanging="360"/>
      </w:pPr>
      <w:rPr/>
    </w:lvl>
  </w:abstractNum>
  <w:abstractNum w:abstractNumId="4">
    <w:lvl w:ilvl="0">
      <w:start w:val="25"/>
      <w:numFmt w:val="upperLetter"/>
      <w:lvlText w:val="(%1)"/>
      <w:lvlJc w:val="start"/>
      <w:pPr>
        <w:tabs>
          <w:tab w:val="num" w:pos="1170"/>
        </w:tabs>
        <w:ind w:start="1170" w:hanging="45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2">
    <w:name w:val="heading 2"/>
    <w:basedOn w:val="Normal"/>
    <w:next w:val="Normal"/>
    <w:qFormat/>
    <w:pPr>
      <w:keepNext w:val="true"/>
      <w:numPr>
        <w:ilvl w:val="1"/>
        <w:numId w:val="1"/>
      </w:numPr>
      <w:jc w:val="end"/>
      <w:outlineLvl w:val="1"/>
    </w:pPr>
    <w:rPr>
      <w:i/>
      <w:iCs/>
      <w:sz w:val="20"/>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hyperlink" Target="http://www.vancouver.wsu.edu/directions.html" TargetMode="Externa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2002-01-28T17:03:00Z</dcterms:created>
  <dc:creator>Aretha Hyman</dc:creator>
  <dc:description/>
  <dc:language>en-CA</dc:language>
  <cp:lastModifiedBy>Aretha Hyman</cp:lastModifiedBy>
  <cp:lastPrinted>2001-04-04T08:11:00Z</cp:lastPrinted>
  <dcterms:modified xsi:type="dcterms:W3CDTF">2002-01-28T17:59:00Z</dcterms:modified>
  <cp:revision>4</cp:revision>
  <dc:subject/>
  <dc:title>ldkfoejti</dc:title>
</cp:coreProperties>
</file>