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_rels/header1.xml.rels" ContentType="application/vnd.openxmlformats-package.relationships+xml"/>
  <Override PartName="/word/_rels/document.xml.rels" ContentType="application/vnd.openxmlformats-package.relationships+xml"/>
  <Override PartName="/word/media/image1.wmf" ContentType="image/x-wmf"/>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ate"/>
        <w:rPr/>
      </w:pPr>
      <w:bookmarkStart w:id="0" w:name="Date"/>
      <w:r>
        <w:rPr/>
        <w:t>February 23, 2001</w:t>
      </w:r>
      <w:bookmarkEnd w:id="0"/>
    </w:p>
    <w:tbl>
      <w:tblPr>
        <w:tblW w:w="9288" w:type="dxa"/>
        <w:jc w:val="start"/>
        <w:tblInd w:w="0" w:type="dxa"/>
        <w:tblLayout w:type="fixed"/>
        <w:tblCellMar>
          <w:top w:w="0" w:type="dxa"/>
          <w:start w:w="0" w:type="dxa"/>
          <w:bottom w:w="0" w:type="dxa"/>
          <w:end w:w="0" w:type="dxa"/>
        </w:tblCellMar>
      </w:tblPr>
      <w:tblGrid>
        <w:gridCol w:w="4644"/>
        <w:gridCol w:w="4644"/>
      </w:tblGrid>
      <w:tr>
        <w:trPr/>
        <w:tc>
          <w:tcPr>
            <w:tcW w:w="4644" w:type="dxa"/>
            <w:tcBorders/>
          </w:tcPr>
          <w:p>
            <w:pPr>
              <w:pStyle w:val="Normal"/>
              <w:spacing w:before="0" w:after="240"/>
              <w:rPr>
                <w:b/>
              </w:rPr>
            </w:pPr>
            <w:bookmarkStart w:id="1" w:name="Via"/>
            <w:r>
              <w:rPr>
                <w:b/>
              </w:rPr>
              <w:t>Via Facsimile and U.S. Mail</w:t>
            </w:r>
            <w:bookmarkEnd w:id="1"/>
          </w:p>
          <w:p>
            <w:pPr>
              <w:pStyle w:val="Normal"/>
              <w:spacing w:before="0" w:after="240"/>
              <w:rPr>
                <w:b/>
              </w:rPr>
            </w:pPr>
            <w:r>
              <w:rPr>
                <w:b/>
              </w:rPr>
              <w:t>(310) 274-9910</w:t>
            </w:r>
          </w:p>
        </w:tc>
        <w:tc>
          <w:tcPr>
            <w:tcW w:w="4644" w:type="dxa"/>
            <w:tcBorders/>
          </w:tcPr>
          <w:p>
            <w:pPr>
              <w:pStyle w:val="Normal"/>
              <w:snapToGrid w:val="false"/>
              <w:spacing w:before="0" w:after="240"/>
              <w:jc w:val="end"/>
              <w:rPr>
                <w:b/>
              </w:rPr>
            </w:pPr>
            <w:r>
              <w:rPr>
                <w:b/>
              </w:rPr>
            </w:r>
          </w:p>
        </w:tc>
      </w:tr>
    </w:tbl>
    <w:p>
      <w:pPr>
        <w:pStyle w:val="Address"/>
        <w:rPr/>
      </w:pPr>
      <w:bookmarkStart w:id="2" w:name="InsideAddress"/>
      <w:r>
        <w:rPr/>
        <w:t>Ben D. Whitwell</w:t>
        <w:br/>
        <w:t>Whitwell &amp; Emhoff</w:t>
        <w:br/>
        <w:t>202 North Canon Drive</w:t>
        <w:br/>
        <w:t>Second Floor</w:t>
        <w:br/>
        <w:t>Beverly Hills, California  90210</w:t>
      </w:r>
      <w:bookmarkEnd w:id="2"/>
    </w:p>
    <w:p>
      <w:pPr>
        <w:pStyle w:val="Regarding"/>
        <w:tabs>
          <w:tab w:val="clear" w:pos="720"/>
          <w:tab w:val="left" w:pos="2160" w:leader="none"/>
        </w:tabs>
        <w:rPr/>
      </w:pPr>
      <w:r>
        <w:rPr/>
        <w:t>Re:</w:t>
        <w:tab/>
      </w:r>
      <w:bookmarkStart w:id="3" w:name="Subject"/>
      <w:r>
        <w:rPr>
          <w:u w:val="single"/>
        </w:rPr>
        <w:t>Accounting for Funds</w:t>
      </w:r>
      <w:bookmarkEnd w:id="3"/>
    </w:p>
    <w:p>
      <w:pPr>
        <w:pStyle w:val="Salutation"/>
        <w:rPr/>
      </w:pPr>
      <w:bookmarkStart w:id="4" w:name="Salutation"/>
      <w:r>
        <w:rPr/>
        <w:t>Dear Ben</w:t>
      </w:r>
      <w:bookmarkEnd w:id="4"/>
      <w:r>
        <w:rPr/>
        <w:t>:</w:t>
      </w:r>
    </w:p>
    <w:p>
      <w:pPr>
        <w:pStyle w:val="BodyText"/>
        <w:spacing w:lineRule="exact" w:line="240" w:before="0" w:after="0"/>
        <w:rPr/>
      </w:pPr>
      <w:bookmarkStart w:id="5" w:name="BodyStart"/>
      <w:bookmarkEnd w:id="5"/>
      <w:r>
        <w:rPr/>
        <w:t xml:space="preserve">Now that there is a stipulated injunction in place preserving the status quo, at least as between Enron and the California Power Exchange Corporation (“CalPX”), we need to understand the basic accounting that has led to the status quo.  Prior to our filing the action before Judge Moreno, a number of Enron personnel were in discussions with the staff of the CalPX to learn the details of various calculations that the CalPX had performed to arrive at specific billings and setoffs for Enron.  It is our understanding that the staff at the CalPX has been instructed not to discuss these calculations with Enron.  We are writing to you because it is essential that all parties fully understand the accounting calculations that the CalPX has been performing to arrive at the current status quo.  Set forth below are some specific questions that we believe will begin to enable Enron to understand its position </w:t>
      </w:r>
      <w:r>
        <w:rPr>
          <w:i/>
        </w:rPr>
        <w:t>vis a vis</w:t>
      </w:r>
      <w:r>
        <w:rPr/>
        <w:t xml:space="preserve"> the CalPX.</w:t>
      </w:r>
    </w:p>
    <w:p>
      <w:pPr>
        <w:pStyle w:val="BodyText"/>
        <w:spacing w:lineRule="exact" w:line="240" w:before="0" w:after="0"/>
        <w:rPr/>
      </w:pPr>
      <w:r>
        <w:rPr/>
      </w:r>
    </w:p>
    <w:p>
      <w:pPr>
        <w:pStyle w:val="BodyText"/>
        <w:spacing w:lineRule="exact" w:line="240" w:before="0" w:after="0"/>
        <w:ind w:hanging="720" w:start="1440" w:end="0"/>
        <w:rPr/>
      </w:pPr>
      <w:r>
        <w:rPr/>
        <w:t>1.</w:t>
        <w:tab/>
        <w:t xml:space="preserve">Enron has been assessed the following setoffs from payments due and owing to Enron for energy delivered: </w:t>
      </w:r>
    </w:p>
    <w:p>
      <w:pPr>
        <w:pStyle w:val="BodyText"/>
        <w:spacing w:lineRule="exact" w:line="240" w:before="0" w:after="0"/>
        <w:ind w:hanging="720" w:start="1440" w:end="0"/>
        <w:rPr/>
      </w:pPr>
      <w:r>
        <w:rPr/>
      </w:r>
    </w:p>
    <w:p>
      <w:pPr>
        <w:pStyle w:val="BodyText"/>
        <w:spacing w:lineRule="exact" w:line="240" w:before="0" w:after="0"/>
        <w:ind w:hanging="720" w:start="1440" w:end="0"/>
        <w:rPr/>
      </w:pPr>
      <w:r>
        <w:rPr/>
        <w:tab/>
        <w:t>January --___</w:t>
        <w:tab/>
        <w:tab/>
        <w:t>$  ----------</w:t>
      </w:r>
    </w:p>
    <w:p>
      <w:pPr>
        <w:pStyle w:val="BodyText"/>
        <w:spacing w:lineRule="exact" w:line="240" w:before="0" w:after="0"/>
        <w:ind w:hanging="720" w:start="1440" w:end="0"/>
        <w:rPr/>
      </w:pPr>
      <w:r>
        <w:rPr/>
        <w:tab/>
        <w:t>January --</w:t>
        <w:tab/>
        <w:tab/>
        <w:t>$  ----------</w:t>
      </w:r>
    </w:p>
    <w:p>
      <w:pPr>
        <w:pStyle w:val="BodyText"/>
        <w:spacing w:lineRule="exact" w:line="240" w:before="0" w:after="0"/>
        <w:ind w:hanging="720" w:start="1440" w:end="0"/>
        <w:rPr>
          <w:color w:val="000000"/>
          <w:lang w:eastAsia="en-US"/>
        </w:rPr>
      </w:pPr>
      <w:r>
        <w:rPr/>
        <w:tab/>
        <w:t>February --</w:t>
        <w:tab/>
        <w:tab/>
      </w:r>
      <w:r>
        <w:rPr>
          <w:color w:val="000000"/>
          <w:lang w:eastAsia="en-US"/>
        </w:rPr>
        <w:t>$17,846,030.82</w:t>
      </w:r>
      <w:r>
        <w:rPr>
          <w:rFonts w:cs="Arial" w:ascii="Arial" w:hAnsi="Arial"/>
          <w:color w:val="000000"/>
          <w:lang w:eastAsia="en-US"/>
        </w:rPr>
        <w:t xml:space="preserve"> </w:t>
      </w:r>
    </w:p>
    <w:p>
      <w:pPr>
        <w:pStyle w:val="BodyText"/>
        <w:spacing w:lineRule="exact" w:line="240" w:before="0" w:after="0"/>
        <w:ind w:hanging="720" w:start="1440" w:end="0"/>
        <w:rPr>
          <w:color w:val="000000"/>
          <w:lang w:eastAsia="en-US"/>
        </w:rPr>
      </w:pPr>
      <w:r>
        <w:rPr>
          <w:color w:val="000000"/>
          <w:lang w:eastAsia="en-US"/>
        </w:rPr>
      </w:r>
    </w:p>
    <w:p>
      <w:pPr>
        <w:pStyle w:val="BodyText"/>
        <w:spacing w:lineRule="exact" w:line="240" w:before="0" w:after="0"/>
        <w:ind w:hanging="720" w:start="1440" w:end="0"/>
        <w:rPr>
          <w:color w:val="000000"/>
          <w:lang w:eastAsia="en-US"/>
        </w:rPr>
      </w:pPr>
      <w:r>
        <w:rPr>
          <w:color w:val="000000"/>
          <w:lang w:eastAsia="en-US"/>
        </w:rPr>
        <w:tab/>
        <w:t>Will you please provide the specific detail of how these amounts were calculated?</w:t>
      </w:r>
    </w:p>
    <w:p>
      <w:pPr>
        <w:pStyle w:val="BodyText"/>
        <w:spacing w:lineRule="exact" w:line="240" w:before="0" w:after="0"/>
        <w:ind w:hanging="720" w:start="1440" w:end="0"/>
        <w:rPr>
          <w:color w:val="000000"/>
          <w:lang w:eastAsia="en-US"/>
        </w:rPr>
      </w:pPr>
      <w:r>
        <w:rPr>
          <w:color w:val="000000"/>
          <w:lang w:eastAsia="en-US"/>
        </w:rPr>
      </w:r>
    </w:p>
    <w:p>
      <w:pPr>
        <w:pStyle w:val="BodyText"/>
        <w:spacing w:lineRule="exact" w:line="240" w:before="0" w:after="0"/>
        <w:ind w:hanging="720" w:start="1440" w:end="0"/>
        <w:rPr>
          <w:color w:val="000000"/>
          <w:lang w:eastAsia="en-US"/>
        </w:rPr>
      </w:pPr>
      <w:r>
        <w:rPr>
          <w:color w:val="000000"/>
          <w:lang w:eastAsia="en-US"/>
        </w:rPr>
        <w:t>2.</w:t>
        <w:tab/>
        <w:t>To the extent that these setoff amounts were calculated due to the default of Southern California Edison and Pacific Gas &amp; Electric using a “chargeback” methodology, how did the CalPX take into account the following items:</w:t>
      </w:r>
    </w:p>
    <w:p>
      <w:pPr>
        <w:pStyle w:val="BodyText"/>
        <w:spacing w:lineRule="exact" w:line="240" w:before="0" w:after="0"/>
        <w:ind w:hanging="720" w:start="1440" w:end="0"/>
        <w:rPr>
          <w:color w:val="000000"/>
          <w:lang w:eastAsia="en-US"/>
        </w:rPr>
      </w:pPr>
      <w:r>
        <w:rPr>
          <w:color w:val="000000"/>
          <w:lang w:eastAsia="en-US"/>
        </w:rPr>
      </w:r>
    </w:p>
    <w:p>
      <w:pPr>
        <w:pStyle w:val="BodyText"/>
        <w:spacing w:lineRule="exact" w:line="240" w:before="0" w:after="0"/>
        <w:ind w:hanging="720" w:start="1440" w:end="0"/>
        <w:rPr>
          <w:color w:val="000000"/>
          <w:lang w:eastAsia="en-US"/>
        </w:rPr>
      </w:pPr>
      <w:r>
        <w:rPr>
          <w:color w:val="000000"/>
          <w:lang w:eastAsia="en-US"/>
        </w:rPr>
        <w:tab/>
        <w:t>a.</w:t>
        <w:tab/>
        <w:t>Has the Core Market performance bond of $20,000,000 been paid?  If so, has the $20,000,000 been credited in any of these chargeback setoffs?</w:t>
      </w:r>
    </w:p>
    <w:p>
      <w:pPr>
        <w:pStyle w:val="BodyText"/>
        <w:spacing w:lineRule="exact" w:line="240" w:before="0" w:after="0"/>
        <w:ind w:hanging="720" w:start="1440" w:end="0"/>
        <w:rPr>
          <w:color w:val="000000"/>
          <w:lang w:eastAsia="en-US"/>
        </w:rPr>
      </w:pPr>
      <w:r>
        <w:rPr>
          <w:color w:val="000000"/>
          <w:lang w:eastAsia="en-US"/>
        </w:rPr>
      </w:r>
    </w:p>
    <w:p>
      <w:pPr>
        <w:pStyle w:val="BodyText"/>
        <w:spacing w:lineRule="exact" w:line="240" w:before="0" w:after="0"/>
        <w:ind w:hanging="720" w:start="1440" w:end="0"/>
        <w:rPr>
          <w:color w:val="000000"/>
          <w:lang w:eastAsia="en-US"/>
        </w:rPr>
      </w:pPr>
      <w:r>
        <w:rPr>
          <w:color w:val="000000"/>
          <w:lang w:eastAsia="en-US"/>
        </w:rPr>
        <w:tab/>
        <w:t>b.</w:t>
        <w:tab/>
        <w:t>Has the CalPX credited the $80,000,000 in auction revenue for the Firm Transmission Rights from the auction held in January in any of these chargeback calculations?</w:t>
      </w:r>
    </w:p>
    <w:p>
      <w:pPr>
        <w:pStyle w:val="BodyText"/>
        <w:spacing w:lineRule="exact" w:line="240" w:before="0" w:after="0"/>
        <w:ind w:hanging="720" w:start="1440" w:end="0"/>
        <w:rPr>
          <w:color w:val="000000"/>
          <w:lang w:eastAsia="en-US"/>
        </w:rPr>
      </w:pPr>
      <w:r>
        <w:rPr>
          <w:color w:val="000000"/>
          <w:lang w:eastAsia="en-US"/>
        </w:rPr>
      </w:r>
    </w:p>
    <w:p>
      <w:pPr>
        <w:pStyle w:val="BodyText"/>
        <w:spacing w:lineRule="exact" w:line="240" w:before="0" w:after="0"/>
        <w:ind w:hanging="720" w:start="1440" w:end="0"/>
        <w:rPr>
          <w:color w:val="000000"/>
          <w:lang w:eastAsia="en-US"/>
        </w:rPr>
      </w:pPr>
      <w:r>
        <w:rPr>
          <w:color w:val="000000"/>
          <w:lang w:eastAsia="en-US"/>
        </w:rPr>
        <w:tab/>
        <w:t>c.</w:t>
        <w:tab/>
        <w:t>Has CalPX been paid by the State of California for the block forward positions that were commandeered by the state?  If so, have those amounts been credited in the chargeback calculations?</w:t>
      </w:r>
    </w:p>
    <w:p>
      <w:pPr>
        <w:pStyle w:val="BodyText"/>
        <w:spacing w:lineRule="exact" w:line="240" w:before="0" w:after="0"/>
        <w:ind w:hanging="720" w:start="1440" w:end="0"/>
        <w:rPr>
          <w:color w:val="000000"/>
          <w:lang w:eastAsia="en-US"/>
        </w:rPr>
      </w:pPr>
      <w:r>
        <w:rPr>
          <w:color w:val="000000"/>
          <w:lang w:eastAsia="en-US"/>
        </w:rPr>
      </w:r>
    </w:p>
    <w:p>
      <w:pPr>
        <w:pStyle w:val="BodyText"/>
        <w:spacing w:lineRule="exact" w:line="240" w:before="0" w:after="0"/>
        <w:ind w:hanging="720" w:start="1440" w:end="0"/>
        <w:rPr>
          <w:color w:val="000000"/>
          <w:lang w:eastAsia="en-US"/>
        </w:rPr>
      </w:pPr>
      <w:r>
        <w:rPr>
          <w:color w:val="000000"/>
          <w:lang w:eastAsia="en-US"/>
        </w:rPr>
        <w:tab/>
        <w:t>d.</w:t>
        <w:tab/>
        <w:t>Has the CalPX collected any other funds to minimize the chargebacks assessed to PX Participants?</w:t>
      </w:r>
    </w:p>
    <w:p>
      <w:pPr>
        <w:pStyle w:val="BodyText"/>
        <w:spacing w:lineRule="exact" w:line="240" w:before="0" w:after="0"/>
        <w:ind w:hanging="720" w:start="1440" w:end="0"/>
        <w:rPr>
          <w:color w:val="000000"/>
          <w:lang w:eastAsia="en-US"/>
        </w:rPr>
      </w:pPr>
      <w:r>
        <w:rPr>
          <w:color w:val="000000"/>
          <w:lang w:eastAsia="en-US"/>
        </w:rPr>
      </w:r>
    </w:p>
    <w:p>
      <w:pPr>
        <w:pStyle w:val="BodyText"/>
        <w:spacing w:lineRule="exact" w:line="240" w:before="0" w:after="0"/>
        <w:ind w:hanging="720" w:start="1440" w:end="0"/>
        <w:rPr>
          <w:color w:val="000000"/>
          <w:lang w:eastAsia="en-US"/>
        </w:rPr>
      </w:pPr>
      <w:r>
        <w:rPr>
          <w:color w:val="000000"/>
          <w:lang w:eastAsia="en-US"/>
        </w:rPr>
        <w:t>3.</w:t>
        <w:tab/>
        <w:t>Has the CalPX made a claim against the CTS $50,000,000 performance bond?  If so, has it been paid?  If not, given the fact that the State of California has seized the block forward market, what performance is the CTS performance bond assuring?</w:t>
      </w:r>
    </w:p>
    <w:p>
      <w:pPr>
        <w:pStyle w:val="BodyText"/>
        <w:spacing w:lineRule="exact" w:line="240" w:before="0" w:after="0"/>
        <w:ind w:hanging="720" w:start="1440" w:end="0"/>
        <w:rPr>
          <w:color w:val="000000"/>
          <w:lang w:eastAsia="en-US"/>
        </w:rPr>
      </w:pPr>
      <w:r>
        <w:rPr>
          <w:color w:val="000000"/>
          <w:lang w:eastAsia="en-US"/>
        </w:rPr>
      </w:r>
    </w:p>
    <w:p>
      <w:pPr>
        <w:pStyle w:val="BodyText"/>
        <w:spacing w:lineRule="exact" w:line="240" w:before="0" w:after="0"/>
        <w:rPr>
          <w:color w:val="000000"/>
          <w:lang w:eastAsia="en-US"/>
        </w:rPr>
      </w:pPr>
      <w:r>
        <w:rPr>
          <w:color w:val="000000"/>
          <w:lang w:eastAsia="en-US"/>
        </w:rPr>
        <w:t xml:space="preserve">We look forward to your continued candid cooperation as we all try to sort through the current environment.  As you know, Enron has approximately $150,000,000 (cash, letters of credit, money owed to Enron) tied up in these various calculations.  Enron has a right to know what it has been charged and why.  These specific responses will enable Enron to assess the CalPX’s positions before FERC and elsewhere with respect to chargebacks as well as the performance bond questions.  Please provide this critical information to us as soon as possible.  </w:t>
      </w:r>
    </w:p>
    <w:p>
      <w:pPr>
        <w:pStyle w:val="BodyText"/>
        <w:spacing w:lineRule="exact" w:line="240" w:before="0" w:after="0"/>
        <w:rPr>
          <w:color w:val="000000"/>
          <w:lang w:eastAsia="en-US"/>
        </w:rPr>
      </w:pPr>
      <w:r>
        <w:rPr>
          <w:color w:val="000000"/>
          <w:lang w:eastAsia="en-US"/>
        </w:rPr>
      </w:r>
    </w:p>
    <w:p>
      <w:pPr>
        <w:pStyle w:val="BodyText"/>
        <w:spacing w:lineRule="exact" w:line="240" w:before="0" w:after="0"/>
        <w:rPr>
          <w:color w:val="000000"/>
          <w:lang w:eastAsia="en-US"/>
        </w:rPr>
      </w:pPr>
      <w:r>
        <w:rPr>
          <w:color w:val="000000"/>
          <w:lang w:eastAsia="en-US"/>
        </w:rPr>
        <w:t>If you  have questions, please do not hesitate to contact me.</w:t>
      </w:r>
    </w:p>
    <w:p>
      <w:pPr>
        <w:pStyle w:val="BodyText"/>
        <w:spacing w:lineRule="exact" w:line="240" w:before="0" w:after="0"/>
        <w:rPr>
          <w:color w:val="000000"/>
          <w:lang w:eastAsia="en-US"/>
        </w:rPr>
      </w:pPr>
      <w:r>
        <w:rPr>
          <w:color w:val="000000"/>
          <w:lang w:eastAsia="en-US"/>
        </w:rPr>
      </w:r>
    </w:p>
    <w:p>
      <w:pPr>
        <w:pStyle w:val="BodyText"/>
        <w:spacing w:lineRule="exact" w:line="240" w:before="0" w:after="0"/>
        <w:ind w:hanging="720" w:start="1440" w:end="0"/>
        <w:rPr>
          <w:color w:val="000000"/>
          <w:lang w:eastAsia="en-US"/>
        </w:rPr>
      </w:pPr>
      <w:r>
        <w:rPr>
          <w:color w:val="000000"/>
          <w:lang w:eastAsia="en-US"/>
        </w:rPr>
      </w:r>
    </w:p>
    <w:p>
      <w:pPr>
        <w:pStyle w:val="Closing"/>
        <w:keepLines/>
        <w:rPr/>
      </w:pPr>
      <w:r>
        <w:rPr/>
        <w:t>Sincerely,</w:t>
      </w:r>
    </w:p>
    <w:p>
      <w:pPr>
        <w:pStyle w:val="Closing"/>
        <w:keepLines/>
        <w:rPr/>
      </w:pPr>
      <w:r>
        <w:rPr/>
        <w:t>BROBECK, PHLEGER &amp; HARRISON LLP</w:t>
      </w:r>
    </w:p>
    <w:p>
      <w:pPr>
        <w:pStyle w:val="ByLine"/>
        <w:keepLines/>
        <w:rPr/>
      </w:pPr>
      <w:r>
        <w:rPr/>
        <w:t>By:</w:t>
        <w:tab/>
        <w:tab/>
      </w:r>
    </w:p>
    <w:p>
      <w:pPr>
        <w:pStyle w:val="SignatureName"/>
        <w:keepLines/>
        <w:ind w:start="5126" w:end="0"/>
        <w:rPr/>
      </w:pPr>
      <w:r>
        <w:rPr/>
        <w:t>Gary S. Fergus</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648"/>
        <w:gridCol w:w="8928"/>
      </w:tblGrid>
      <w:tr>
        <w:trPr/>
        <w:tc>
          <w:tcPr>
            <w:tcW w:w="648" w:type="dxa"/>
            <w:tcBorders/>
          </w:tcPr>
          <w:p>
            <w:pPr>
              <w:pStyle w:val="Normal"/>
              <w:keepNext w:val="true"/>
              <w:rPr/>
            </w:pPr>
            <w:r>
              <w:rPr/>
              <w:t>cc:</w:t>
            </w:r>
          </w:p>
        </w:tc>
        <w:tc>
          <w:tcPr>
            <w:tcW w:w="8928" w:type="dxa"/>
            <w:tcBorders/>
          </w:tcPr>
          <w:p>
            <w:pPr>
              <w:pStyle w:val="Normal"/>
              <w:keepNext w:val="true"/>
              <w:rPr/>
            </w:pPr>
            <w:bookmarkStart w:id="6" w:name="cc"/>
            <w:r>
              <w:rPr/>
              <w:t>Richard B. Sanders</w:t>
            </w:r>
          </w:p>
          <w:p>
            <w:pPr>
              <w:pStyle w:val="Normal"/>
              <w:keepNext w:val="true"/>
              <w:rPr/>
            </w:pPr>
            <w:r>
              <w:rPr/>
              <w:t>Tim Belden</w:t>
            </w:r>
          </w:p>
          <w:p>
            <w:pPr>
              <w:pStyle w:val="Normal"/>
              <w:keepNext w:val="true"/>
              <w:rPr/>
            </w:pPr>
            <w:r>
              <w:rPr/>
              <w:t>Christian Yoder</w:t>
            </w:r>
          </w:p>
          <w:p>
            <w:pPr>
              <w:pStyle w:val="Normal"/>
              <w:keepNext w:val="true"/>
              <w:rPr/>
            </w:pPr>
            <w:bookmarkStart w:id="7" w:name="cc"/>
            <w:r>
              <w:rPr/>
              <w:t>Harry Olivar</w:t>
            </w:r>
            <w:bookmarkEnd w:id="7"/>
          </w:p>
        </w:tc>
      </w:tr>
    </w:tbl>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1440" w:top="2880" w:footer="432"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ID"/>
      <w:rPr/>
    </w:pPr>
    <w:r>
      <w:rPr/>
      <w:fldChar w:fldCharType="begin"/>
    </w:r>
    <w:r>
      <w:rPr/>
      <w:instrText xml:space="preserve"> DOCPROPERTY "Doc No."</w:instrText>
    </w:r>
    <w:r>
      <w:rPr/>
      <w:fldChar w:fldCharType="separate"/>
    </w:r>
    <w:r>
      <w:rPr/>
      <w:t xml:space="preserve">   </w:t>
    </w:r>
    <w:r>
      <w:rPr/>
      <w:fldChar w:fldCharType="end"/>
    </w:r>
  </w:p>
  <w:p>
    <w:pPr>
      <w:pStyle w:val="FooterID"/>
      <w:rPr/>
    </w:pPr>
    <w:r>
      <w:rPr/>
      <w:fldChar w:fldCharType="begin"/>
    </w:r>
    <w:r>
      <w:rPr/>
      <w:instrText xml:space="preserve"> DOCPROPERTY "date"</w:instrText>
    </w:r>
    <w:r>
      <w:rPr/>
      <w:fldChar w:fldCharType="separate"/>
    </w:r>
    <w:r>
      <w:rPr/>
      <w:t xml:space="preserve"> </w:t>
    </w:r>
    <w:r>
      <w:rPr/>
      <w:fldChar w:fldCharType="end"/>
    </w:r>
  </w:p>
  <w:p>
    <w:pPr>
      <w:pStyle w:val="FooterID"/>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 w:after="60"/>
      <w:jc w:val="center"/>
      <w:rPr>
        <w:smallCaps/>
        <w:spacing w:val="10"/>
      </w:rPr>
    </w:pPr>
    <w:r>
      <w:rPr>
        <w:smallCaps/>
        <w:spacing w:val="10"/>
      </w:rPr>
      <w:t>Austin   Dallas   Denver   Irvine   London   Los Angeles   New York   Palo Alto   San Diego   San Francisco   Washington, D.C.</w:t>
    </w:r>
  </w:p>
  <w:p>
    <w:pPr>
      <w:pStyle w:val="FooterIDLetter"/>
      <w:rPr/>
    </w:pPr>
    <w:r>
      <w:rPr/>
      <w:fldChar w:fldCharType="begin"/>
    </w:r>
    <w:r>
      <w:rPr/>
      <w:instrText xml:space="preserve"> DOCPROPERTY "Doc No."</w:instrText>
    </w:r>
    <w:r>
      <w:rPr/>
      <w:fldChar w:fldCharType="separate"/>
    </w:r>
    <w:r>
      <w:rPr/>
      <w:t xml:space="preserve">   </w:t>
    </w:r>
    <w:r>
      <w:rPr/>
      <w:fldChar w:fldCharType="end"/>
    </w:r>
  </w:p>
  <w:p>
    <w:pPr>
      <w:pStyle w:val="FooterIDLetter"/>
      <w:rPr/>
    </w:pPr>
    <w:r>
      <w:rPr/>
      <w:fldChar w:fldCharType="begin"/>
    </w:r>
    <w:r>
      <w:rPr/>
      <w:instrText xml:space="preserve"> DOCPROPERTY "date"</w:instrText>
    </w:r>
    <w:r>
      <w:rPr/>
      <w:fldChar w:fldCharType="separate"/>
    </w:r>
    <w:r>
      <w:rPr/>
      <w:t xml:space="preserve"> </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Ben D. Whitwell</w:t>
      <w:tab/>
      <w:tab/>
    </w:r>
    <w:bookmarkStart w:id="8" w:name="HeaderDate"/>
    <w:r>
      <w:rPr/>
      <w:t>February 23, 2001</w:t>
    </w:r>
    <w:bookmarkEnd w:id="8"/>
  </w:p>
  <w:p>
    <w:pPr>
      <w:pStyle w:val="Header"/>
      <w:rPr/>
    </w:pPr>
    <w:r>
      <w:rPr/>
      <w:tab/>
      <w:tab/>
      <w:t xml:space="preserve">Page </w:t>
    </w:r>
    <w:r>
      <w:rPr>
        <w:rStyle w:val="PageNumber"/>
      </w:rPr>
      <w:drawing>
        <wp:anchor behindDoc="1" distT="0" distB="0" distL="114935" distR="114935" simplePos="0" locked="0" layoutInCell="0" allowOverlap="1" relativeHeight="2">
          <wp:simplePos x="0" y="0"/>
          <wp:positionH relativeFrom="page">
            <wp:posOffset>3474720</wp:posOffset>
          </wp:positionH>
          <wp:positionV relativeFrom="page">
            <wp:posOffset>457200</wp:posOffset>
          </wp:positionV>
          <wp:extent cx="731520" cy="731520"/>
          <wp:effectExtent l="0" t="0" r="0" b="0"/>
          <wp:wrapNone/>
          <wp:docPr id="1" name="bph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phlogo" descr="" title=""/>
                  <pic:cNvPicPr>
                    <a:picLocks noChangeAspect="1" noChangeArrowheads="1"/>
                  </pic:cNvPicPr>
                </pic:nvPicPr>
                <pic:blipFill>
                  <a:blip r:embed="rId1"/>
                  <a:srcRect l="-2" t="-2" r="-2" b="-2"/>
                  <a:stretch>
                    <a:fillRect/>
                  </a:stretch>
                </pic:blipFill>
                <pic:spPr bwMode="auto">
                  <a:xfrm>
                    <a:off x="0" y="0"/>
                    <a:ext cx="731520" cy="731520"/>
                  </a:xfrm>
                  <a:prstGeom prst="rect">
                    <a:avLst/>
                  </a:prstGeom>
                  <a:noFill/>
                </pic:spPr>
              </pic:pic>
            </a:graphicData>
          </a:graphic>
        </wp:anchor>
      </w:drawing>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800" w:type="dxa"/>
      <w:jc w:val="start"/>
      <w:tblInd w:w="-576" w:type="dxa"/>
      <w:tblLayout w:type="fixed"/>
      <w:tblCellMar>
        <w:top w:w="0" w:type="dxa"/>
        <w:start w:w="108" w:type="dxa"/>
        <w:bottom w:w="0" w:type="dxa"/>
        <w:end w:w="108" w:type="dxa"/>
      </w:tblCellMar>
    </w:tblPr>
    <w:tblGrid>
      <w:gridCol w:w="5472"/>
      <w:gridCol w:w="5328"/>
    </w:tblGrid>
    <w:tr>
      <w:trPr>
        <w:trHeight w:val="1152" w:hRule="exact"/>
      </w:trPr>
      <w:tc>
        <w:tcPr>
          <w:tcW w:w="5472" w:type="dxa"/>
          <w:tcBorders/>
          <w:vAlign w:val="bottom"/>
        </w:tcPr>
        <w:p>
          <w:pPr>
            <w:pStyle w:val="Header"/>
            <w:rPr>
              <w:rStyle w:val="Letterhead"/>
            </w:rPr>
          </w:pPr>
          <w:r>
            <w:rPr>
              <w:rStyle w:val="Letterhead"/>
            </w:rPr>
            <w:t>Telephone:  (415) 442-0900</w:t>
            <w:br/>
            <w:t>Facsimile:   (415) 979-2616</w:t>
            <w:br/>
            <w:t>Writer's Direct Dial:   (415) 442-1284</w:t>
            <w:br/>
            <w:t xml:space="preserve">Email:  </w:t>
          </w:r>
          <w:r>
            <w:rPr>
              <w:rStyle w:val="Letterhead"/>
              <w:caps w:val="false"/>
              <w:smallCaps w:val="false"/>
            </w:rPr>
            <w:t>gfergus@brobeck.com</w:t>
          </w:r>
        </w:p>
      </w:tc>
      <w:tc>
        <w:tcPr>
          <w:tcW w:w="5328" w:type="dxa"/>
          <w:tcBorders/>
          <w:vAlign w:val="bottom"/>
        </w:tcPr>
        <w:p>
          <w:pPr>
            <w:pStyle w:val="Header"/>
            <w:jc w:val="end"/>
            <w:rPr/>
          </w:pPr>
          <w:r>
            <w:rPr>
              <w:rStyle w:val="Letterhead"/>
            </w:rPr>
            <w:t>Spear Street Tower</w:t>
            <w:br/>
            <w:t>One Market</w:t>
            <w:br/>
            <w:t>San Francisco</w:t>
            <w:br/>
            <w:t>California  94105</w:t>
            <w:br/>
          </w:r>
        </w:p>
      </w:tc>
    </w:tr>
  </w:tbl>
  <w:p>
    <w:pPr>
      <w:pStyle w:val="Header"/>
      <w:rPr>
        <w:rStyle w:val="Letterhea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360" w:hanging="360"/>
      </w:pPr>
      <w:rPr>
        <w:color w:val="000000"/>
      </w:rPr>
    </w:lvl>
    <w:lvl w:ilvl="1">
      <w:start w:val="1"/>
      <w:pStyle w:val="Heading2"/>
      <w:numFmt w:val="upperLetter"/>
      <w:lvlText w:val="%2."/>
      <w:lvlJc w:val="start"/>
      <w:pPr>
        <w:tabs>
          <w:tab w:val="num" w:pos="1080"/>
        </w:tabs>
        <w:ind w:start="720" w:hanging="0"/>
      </w:pPr>
      <w:rPr>
        <w:color w:val="000000"/>
      </w:rPr>
    </w:lvl>
    <w:lvl w:ilvl="2">
      <w:start w:val="1"/>
      <w:pStyle w:val="Heading3"/>
      <w:numFmt w:val="decimal"/>
      <w:lvlText w:val="%3."/>
      <w:lvlJc w:val="start"/>
      <w:pPr>
        <w:tabs>
          <w:tab w:val="num" w:pos="1800"/>
        </w:tabs>
        <w:ind w:start="0" w:firstLine="1440"/>
      </w:pPr>
      <w:rPr>
        <w:color w:val="000000"/>
      </w:rPr>
    </w:lvl>
    <w:lvl w:ilvl="3">
      <w:start w:val="1"/>
      <w:pStyle w:val="Heading4"/>
      <w:numFmt w:val="lowerLetter"/>
      <w:lvlText w:val="%4."/>
      <w:lvlJc w:val="start"/>
      <w:pPr>
        <w:tabs>
          <w:tab w:val="num" w:pos="2880"/>
        </w:tabs>
        <w:ind w:start="2880" w:hanging="720"/>
      </w:pPr>
      <w:rPr>
        <w:color w:val="000000"/>
      </w:rPr>
    </w:lvl>
    <w:lvl w:ilvl="4">
      <w:start w:val="1"/>
      <w:pStyle w:val="Heading5"/>
      <w:numFmt w:val="lowerRoman"/>
      <w:lvlText w:val="(%5)"/>
      <w:lvlJc w:val="end"/>
      <w:pPr>
        <w:tabs>
          <w:tab w:val="num" w:pos="3528"/>
        </w:tabs>
        <w:ind w:start="3528" w:hanging="648"/>
      </w:pPr>
      <w:rPr>
        <w:color w:val="000000"/>
      </w:rPr>
    </w:lvl>
    <w:lvl w:ilvl="5">
      <w:start w:val="1"/>
      <w:pStyle w:val="Heading6"/>
      <w:numFmt w:val="lowerLetter"/>
      <w:lvlText w:val="(%6)"/>
      <w:lvlJc w:val="start"/>
      <w:pPr>
        <w:tabs>
          <w:tab w:val="num" w:pos="4320"/>
        </w:tabs>
        <w:ind w:start="4320" w:hanging="720"/>
      </w:pPr>
      <w:rPr>
        <w:color w:val="000000"/>
      </w:rPr>
    </w:lvl>
    <w:lvl w:ilvl="6">
      <w:start w:val="1"/>
      <w:pStyle w:val="Heading7"/>
      <w:numFmt w:val="decimal"/>
      <w:lvlText w:val="(%7)"/>
      <w:lvlJc w:val="start"/>
      <w:pPr>
        <w:tabs>
          <w:tab w:val="num" w:pos="5040"/>
        </w:tabs>
        <w:ind w:start="5040" w:hanging="720"/>
      </w:pPr>
      <w:rPr>
        <w:color w:val="000000"/>
      </w:rPr>
    </w:lvl>
    <w:lvl w:ilvl="7">
      <w:start w:val="1"/>
      <w:pStyle w:val="Heading8"/>
      <w:numFmt w:val="lowerLetter"/>
      <w:lvlText w:val="%8)"/>
      <w:lvlJc w:val="start"/>
      <w:pPr>
        <w:tabs>
          <w:tab w:val="num" w:pos="5760"/>
        </w:tabs>
        <w:ind w:start="5760" w:hanging="720"/>
      </w:pPr>
      <w:rPr>
        <w:color w:val="000000"/>
      </w:rPr>
    </w:lvl>
    <w:lvl w:ilvl="8">
      <w:start w:val="1"/>
      <w:pStyle w:val="Heading9"/>
      <w:numFmt w:val="lowerRoman"/>
      <w:lvlText w:val="%9)"/>
      <w:lvlJc w:val="start"/>
      <w:pPr>
        <w:tabs>
          <w:tab w:val="num" w:pos="6480"/>
        </w:tabs>
        <w:ind w:start="6480" w:hanging="720"/>
      </w:pPr>
      <w:rPr>
        <w:color w:val="000000"/>
      </w:r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keepLines/>
      <w:numPr>
        <w:ilvl w:val="0"/>
        <w:numId w:val="1"/>
      </w:numPr>
      <w:spacing w:before="0" w:after="240"/>
      <w:ind w:hanging="720" w:start="720" w:end="0"/>
      <w:outlineLvl w:val="0"/>
    </w:pPr>
    <w:rPr>
      <w:b/>
      <w:caps/>
      <w:color w:val="000000"/>
    </w:rPr>
  </w:style>
  <w:style w:type="paragraph" w:styleId="Heading2">
    <w:name w:val="heading 2"/>
    <w:basedOn w:val="Normal"/>
    <w:next w:val="BodyText"/>
    <w:qFormat/>
    <w:pPr>
      <w:keepNext w:val="true"/>
      <w:keepLines/>
      <w:numPr>
        <w:ilvl w:val="1"/>
        <w:numId w:val="1"/>
      </w:numPr>
      <w:tabs>
        <w:tab w:val="clear" w:pos="720"/>
        <w:tab w:val="left" w:pos="1440" w:leader="none"/>
      </w:tabs>
      <w:spacing w:before="0" w:after="240"/>
      <w:ind w:hanging="720" w:start="1440" w:end="0"/>
      <w:outlineLvl w:val="1"/>
    </w:pPr>
    <w:rPr>
      <w:color w:val="000000"/>
    </w:rPr>
  </w:style>
  <w:style w:type="paragraph" w:styleId="Heading3">
    <w:name w:val="heading 3"/>
    <w:basedOn w:val="Heading2"/>
    <w:next w:val="BodyText"/>
    <w:qFormat/>
    <w:pPr>
      <w:numPr>
        <w:ilvl w:val="2"/>
        <w:numId w:val="1"/>
      </w:numPr>
      <w:tabs>
        <w:tab w:val="left" w:pos="1440" w:leader="none"/>
        <w:tab w:val="left" w:pos="2160" w:leader="none"/>
      </w:tabs>
      <w:ind w:hanging="720" w:start="2160" w:end="0"/>
      <w:outlineLvl w:val="2"/>
    </w:pPr>
    <w:rPr/>
  </w:style>
  <w:style w:type="paragraph" w:styleId="Heading4">
    <w:name w:val="heading 4"/>
    <w:basedOn w:val="Normal"/>
    <w:next w:val="BodyText"/>
    <w:qFormat/>
    <w:pPr>
      <w:keepNext w:val="true"/>
      <w:numPr>
        <w:ilvl w:val="3"/>
        <w:numId w:val="1"/>
      </w:numPr>
      <w:tabs>
        <w:tab w:val="clear" w:pos="720"/>
        <w:tab w:val="left" w:pos="2880" w:leader="none"/>
      </w:tabs>
      <w:spacing w:before="0" w:after="240"/>
      <w:outlineLvl w:val="3"/>
    </w:pPr>
    <w:rPr/>
  </w:style>
  <w:style w:type="paragraph" w:styleId="Heading5">
    <w:name w:val="heading 5"/>
    <w:basedOn w:val="Normal"/>
    <w:next w:val="BodyText"/>
    <w:qFormat/>
    <w:pPr>
      <w:numPr>
        <w:ilvl w:val="4"/>
        <w:numId w:val="1"/>
      </w:numPr>
      <w:tabs>
        <w:tab w:val="clear" w:pos="720"/>
        <w:tab w:val="left" w:pos="3600" w:leader="none"/>
      </w:tabs>
      <w:spacing w:before="0" w:after="240"/>
      <w:ind w:hanging="720" w:start="3600" w:end="0"/>
      <w:outlineLvl w:val="4"/>
    </w:pPr>
    <w:rPr/>
  </w:style>
  <w:style w:type="paragraph" w:styleId="Heading6">
    <w:name w:val="heading 6"/>
    <w:basedOn w:val="Normal"/>
    <w:next w:val="BodyText"/>
    <w:qFormat/>
    <w:pPr>
      <w:numPr>
        <w:ilvl w:val="5"/>
        <w:numId w:val="1"/>
      </w:numPr>
      <w:tabs>
        <w:tab w:val="clear" w:pos="720"/>
        <w:tab w:val="left" w:pos="4320" w:leader="none"/>
      </w:tabs>
      <w:spacing w:before="0" w:after="240"/>
      <w:outlineLvl w:val="5"/>
    </w:pPr>
    <w:rPr/>
  </w:style>
  <w:style w:type="paragraph" w:styleId="Heading7">
    <w:name w:val="heading 7"/>
    <w:basedOn w:val="Normal"/>
    <w:next w:val="BodyText"/>
    <w:qFormat/>
    <w:pPr>
      <w:numPr>
        <w:ilvl w:val="6"/>
        <w:numId w:val="1"/>
      </w:numPr>
      <w:spacing w:before="0" w:after="240"/>
      <w:outlineLvl w:val="6"/>
    </w:pPr>
    <w:rPr>
      <w:color w:val="000000"/>
    </w:rPr>
  </w:style>
  <w:style w:type="paragraph" w:styleId="Heading8">
    <w:name w:val="heading 8"/>
    <w:basedOn w:val="Normal"/>
    <w:next w:val="BodyText"/>
    <w:qFormat/>
    <w:pPr>
      <w:numPr>
        <w:ilvl w:val="7"/>
        <w:numId w:val="1"/>
      </w:numPr>
      <w:spacing w:before="0" w:after="240"/>
      <w:outlineLvl w:val="7"/>
    </w:pPr>
    <w:rPr>
      <w:color w:val="000000"/>
    </w:rPr>
  </w:style>
  <w:style w:type="paragraph" w:styleId="Heading9">
    <w:name w:val="heading 9"/>
    <w:basedOn w:val="Normal"/>
    <w:next w:val="BodyText"/>
    <w:qFormat/>
    <w:pPr>
      <w:numPr>
        <w:ilvl w:val="8"/>
        <w:numId w:val="1"/>
      </w:numPr>
      <w:spacing w:before="0" w:after="240"/>
      <w:outlineLvl w:val="8"/>
    </w:pPr>
    <w:rPr>
      <w:color w:val="00000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color w:val="000000"/>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Letterhead">
    <w:name w:val="Letterhead"/>
    <w:basedOn w:val="DefaultParagraphFont"/>
    <w:qFormat/>
    <w:rPr>
      <w:rFonts w:ascii="Garamond" w:hAnsi="Garamond" w:cs="Garamond"/>
      <w:smallCaps/>
      <w:spacing w:val="10"/>
      <w:sz w:val="16"/>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TOC8">
    <w:name w:val="toc 8"/>
    <w:basedOn w:val="Normal"/>
    <w:next w:val="Normal"/>
    <w:pPr>
      <w:ind w:hanging="0" w:start="5040" w:end="720"/>
    </w:pPr>
    <w:rPr/>
  </w:style>
  <w:style w:type="paragraph" w:styleId="TOC7">
    <w:name w:val="toc 7"/>
    <w:basedOn w:val="Normal"/>
    <w:next w:val="Normal"/>
    <w:pPr>
      <w:tabs>
        <w:tab w:val="clear" w:pos="720"/>
        <w:tab w:val="left" w:pos="5040" w:leader="none"/>
        <w:tab w:val="right" w:pos="9350" w:leader="dot"/>
      </w:tabs>
      <w:ind w:hanging="0" w:start="4320" w:end="720"/>
    </w:pPr>
    <w:rPr>
      <w:lang w:val="en-CA"/>
    </w:rPr>
  </w:style>
  <w:style w:type="paragraph" w:styleId="TOC6">
    <w:name w:val="toc 6"/>
    <w:basedOn w:val="Normal"/>
    <w:next w:val="Normal"/>
    <w:pPr>
      <w:tabs>
        <w:tab w:val="clear" w:pos="720"/>
        <w:tab w:val="left" w:pos="4320" w:leader="none"/>
        <w:tab w:val="right" w:pos="9350" w:leader="dot"/>
      </w:tabs>
      <w:spacing w:before="0" w:after="240"/>
      <w:ind w:hanging="0" w:start="3600" w:end="720"/>
    </w:pPr>
    <w:rPr>
      <w:color w:val="000000"/>
      <w:lang w:val="en-CA"/>
    </w:rPr>
  </w:style>
  <w:style w:type="paragraph" w:styleId="TOC5">
    <w:name w:val="toc 5"/>
    <w:basedOn w:val="Normal"/>
    <w:next w:val="Normal"/>
    <w:pPr>
      <w:tabs>
        <w:tab w:val="clear" w:pos="720"/>
        <w:tab w:val="left" w:pos="3600" w:leader="none"/>
        <w:tab w:val="right" w:pos="9350" w:leader="dot"/>
      </w:tabs>
      <w:spacing w:before="0" w:after="240"/>
      <w:ind w:hanging="0" w:start="2880" w:end="720"/>
    </w:pPr>
    <w:rPr>
      <w:color w:val="000000"/>
      <w:lang w:val="en-CA"/>
    </w:rPr>
  </w:style>
  <w:style w:type="paragraph" w:styleId="TOC4">
    <w:name w:val="toc 4"/>
    <w:basedOn w:val="Normal"/>
    <w:next w:val="Normal"/>
    <w:pPr>
      <w:tabs>
        <w:tab w:val="clear" w:pos="720"/>
        <w:tab w:val="left" w:pos="2880" w:leader="none"/>
        <w:tab w:val="right" w:pos="9350" w:leader="dot"/>
      </w:tabs>
      <w:spacing w:before="0" w:after="240"/>
      <w:ind w:hanging="0" w:start="2160" w:end="720"/>
    </w:pPr>
    <w:rPr>
      <w:color w:val="000000"/>
      <w:lang w:val="en-CA"/>
    </w:rPr>
  </w:style>
  <w:style w:type="paragraph" w:styleId="TOC3">
    <w:name w:val="toc 3"/>
    <w:basedOn w:val="Normal"/>
    <w:next w:val="Normal"/>
    <w:pPr>
      <w:tabs>
        <w:tab w:val="clear" w:pos="720"/>
        <w:tab w:val="left" w:pos="2160" w:leader="none"/>
        <w:tab w:val="right" w:pos="9350" w:leader="dot"/>
      </w:tabs>
      <w:spacing w:before="0" w:after="240"/>
      <w:ind w:hanging="0" w:start="1440" w:end="720"/>
    </w:pPr>
    <w:rPr>
      <w:lang w:val="en-CA"/>
    </w:rPr>
  </w:style>
  <w:style w:type="paragraph" w:styleId="TOC2">
    <w:name w:val="toc 2"/>
    <w:basedOn w:val="Normal"/>
    <w:next w:val="Normal"/>
    <w:pPr>
      <w:tabs>
        <w:tab w:val="left" w:pos="720" w:leader="none"/>
        <w:tab w:val="left" w:pos="1440" w:leader="none"/>
        <w:tab w:val="right" w:pos="9350" w:leader="dot"/>
      </w:tabs>
      <w:spacing w:before="0" w:after="240"/>
      <w:ind w:hanging="0" w:start="720" w:end="720"/>
    </w:pPr>
    <w:rPr>
      <w:lang w:val="en-CA"/>
    </w:rPr>
  </w:style>
  <w:style w:type="paragraph" w:styleId="TOC1">
    <w:name w:val="toc 1"/>
    <w:basedOn w:val="Normal"/>
    <w:next w:val="Normal"/>
    <w:pPr>
      <w:spacing w:before="0" w:after="240"/>
      <w:ind w:hanging="0" w:start="0" w:end="72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spacing w:before="0" w:after="60"/>
    </w:pPr>
    <w:rPr>
      <w:rFonts w:ascii="Garamond" w:hAnsi="Garamond" w:cs="Garamond"/>
      <w:sz w:val="14"/>
    </w:rPr>
  </w:style>
  <w:style w:type="paragraph" w:styleId="Header">
    <w:name w:val="header"/>
    <w:basedOn w:val="Normal"/>
    <w:pPr>
      <w:tabs>
        <w:tab w:val="clear" w:pos="720"/>
        <w:tab w:val="center" w:pos="4680" w:leader="none"/>
        <w:tab w:val="right" w:pos="9360" w:leader="none"/>
      </w:tabs>
    </w:pPr>
    <w:rPr/>
  </w:style>
  <w:style w:type="paragraph" w:styleId="FootnoteText">
    <w:name w:val="footnote text"/>
    <w:basedOn w:val="Normal"/>
    <w:pPr>
      <w:tabs>
        <w:tab w:val="clear" w:pos="720"/>
        <w:tab w:val="left" w:pos="1080" w:leader="none"/>
      </w:tabs>
      <w:ind w:firstLine="720" w:start="0" w:end="0"/>
    </w:pPr>
    <w:rPr/>
  </w:style>
  <w:style w:type="paragraph" w:styleId="Closing">
    <w:name w:val="Closing"/>
    <w:basedOn w:val="Normal"/>
    <w:qFormat/>
    <w:pPr>
      <w:keepNext w:val="true"/>
      <w:spacing w:before="0" w:after="240"/>
      <w:ind w:hanging="0" w:start="4680" w:end="0"/>
    </w:pPr>
    <w:rPr/>
  </w:style>
  <w:style w:type="paragraph" w:styleId="Signature">
    <w:name w:val="Signature"/>
    <w:basedOn w:val="Closing"/>
    <w:next w:val="Normal"/>
    <w:pPr>
      <w:spacing w:before="480" w:after="480"/>
    </w:pPr>
    <w:rPr/>
  </w:style>
  <w:style w:type="paragraph" w:styleId="SignatureName">
    <w:name w:val="Signature Name"/>
    <w:basedOn w:val="Closing"/>
    <w:next w:val="Normal"/>
    <w:qFormat/>
    <w:pPr>
      <w:spacing w:before="0" w:after="480"/>
      <w:ind w:hanging="0" w:start="5040" w:end="0"/>
    </w:pPr>
    <w:rPr/>
  </w:style>
  <w:style w:type="paragraph" w:styleId="EnvelopeReturn">
    <w:name w:val="envelope return"/>
    <w:basedOn w:val="Normal"/>
    <w:pPr/>
    <w:rPr/>
  </w:style>
  <w:style w:type="paragraph" w:styleId="Regarding">
    <w:name w:val="Regarding"/>
    <w:qFormat/>
    <w:pPr>
      <w:widowControl/>
      <w:bidi w:val="0"/>
      <w:spacing w:before="0" w:after="240"/>
      <w:ind w:hanging="720" w:start="2160" w:end="720"/>
    </w:pPr>
    <w:rPr>
      <w:rFonts w:ascii="Times New Roman" w:hAnsi="Times New Roman" w:eastAsia="Times New Roman" w:cs="Times New Roman"/>
      <w:color w:val="auto"/>
      <w:sz w:val="24"/>
      <w:szCs w:val="20"/>
      <w:lang w:val="en-US" w:eastAsia="zh-CN" w:bidi="hi-IN"/>
    </w:rPr>
  </w:style>
  <w:style w:type="paragraph" w:styleId="Date">
    <w:name w:val="Date"/>
    <w:basedOn w:val="Normal"/>
    <w:next w:val="Normal"/>
    <w:qFormat/>
    <w:pPr>
      <w:spacing w:before="0" w:after="480"/>
      <w:jc w:val="center"/>
    </w:pPr>
    <w:rPr/>
  </w:style>
  <w:style w:type="paragraph" w:styleId="Salutation">
    <w:name w:val="Salutation"/>
    <w:basedOn w:val="Normal"/>
    <w:next w:val="Normal"/>
    <w:qFormat/>
    <w:pPr>
      <w:spacing w:before="0" w:after="240"/>
    </w:pPr>
    <w:rPr/>
  </w:style>
  <w:style w:type="paragraph" w:styleId="QuoteSingleSpaced">
    <w:name w:val="Quote Single Spaced"/>
    <w:basedOn w:val="Normal"/>
    <w:next w:val="BodyText"/>
    <w:qFormat/>
    <w:pPr>
      <w:spacing w:before="0" w:after="240"/>
      <w:ind w:hanging="0" w:start="1440" w:end="1440"/>
    </w:pPr>
    <w:rPr/>
  </w:style>
  <w:style w:type="paragraph" w:styleId="QuoteDoubleSpaced">
    <w:name w:val="Quote Double Spaced"/>
    <w:basedOn w:val="QuoteSingleSpaced"/>
    <w:qFormat/>
    <w:pPr>
      <w:spacing w:lineRule="auto" w:line="480" w:before="0" w:after="0"/>
    </w:pPr>
    <w:rPr/>
  </w:style>
  <w:style w:type="paragraph" w:styleId="bcc">
    <w:name w:val="bcc"/>
    <w:basedOn w:val="Normal"/>
    <w:qFormat/>
    <w:pPr>
      <w:pageBreakBefore/>
    </w:pPr>
    <w:rPr/>
  </w:style>
  <w:style w:type="paragraph" w:styleId="PlainText">
    <w:name w:val="Plain Text"/>
    <w:basedOn w:val="Normal"/>
    <w:qFormat/>
    <w:pPr/>
    <w:rPr>
      <w:rFonts w:ascii="Courier New" w:hAnsi="Courier New" w:cs="Courier New"/>
      <w:sz w:val="20"/>
    </w:rPr>
  </w:style>
  <w:style w:type="paragraph" w:styleId="Address">
    <w:name w:val="Address"/>
    <w:basedOn w:val="Salutation"/>
    <w:qFormat/>
    <w:pPr/>
    <w:rPr/>
  </w:style>
  <w:style w:type="paragraph" w:styleId="CenteredHeading">
    <w:name w:val="Centered Heading"/>
    <w:basedOn w:val="Normal"/>
    <w:next w:val="BodyText"/>
    <w:qFormat/>
    <w:pPr>
      <w:widowControl w:val="false"/>
      <w:spacing w:before="0" w:after="240"/>
      <w:jc w:val="center"/>
    </w:pPr>
    <w:rPr/>
  </w:style>
  <w:style w:type="paragraph" w:styleId="ClosingFirmName">
    <w:name w:val="ClosingFirmName"/>
    <w:basedOn w:val="Signature"/>
    <w:qFormat/>
    <w:pPr>
      <w:keepNext w:val="true"/>
      <w:spacing w:before="480" w:after="960"/>
    </w:pPr>
    <w:rPr/>
  </w:style>
  <w:style w:type="paragraph" w:styleId="Discovery">
    <w:name w:val="Discovery"/>
    <w:basedOn w:val="Normal"/>
    <w:next w:val="BodyText"/>
    <w:qFormat/>
    <w:pPr>
      <w:widowControl w:val="false"/>
      <w:spacing w:lineRule="exact" w:line="480"/>
    </w:pPr>
    <w:rPr>
      <w:b/>
      <w:caps/>
    </w:rPr>
  </w:style>
  <w:style w:type="paragraph" w:styleId="LeftHeading">
    <w:name w:val="Left Heading"/>
    <w:basedOn w:val="BodyText"/>
    <w:next w:val="BodyText"/>
    <w:qFormat/>
    <w:pPr>
      <w:widowControl w:val="false"/>
      <w:ind w:hanging="0" w:start="0" w:end="0"/>
    </w:pPr>
    <w:rPr/>
  </w:style>
  <w:style w:type="paragraph" w:styleId="FooterID">
    <w:name w:val="Footer ID"/>
    <w:basedOn w:val="Footer"/>
    <w:qFormat/>
    <w:pPr>
      <w:spacing w:before="0" w:after="0"/>
    </w:pPr>
    <w:rPr>
      <w:rFonts w:ascii="Times New Roman" w:hAnsi="Times New Roman" w:cs="Times New Roman"/>
      <w:caps/>
      <w:sz w:val="12"/>
    </w:rPr>
  </w:style>
  <w:style w:type="paragraph" w:styleId="ltr">
    <w:name w:val="ltr"/>
    <w:basedOn w:val="Normal"/>
    <w:qFormat/>
    <w:pPr/>
    <w:rPr>
      <w:rFonts w:ascii="Garamond" w:hAnsi="Garamond" w:cs="Garamond"/>
      <w:smallCaps/>
      <w:spacing w:val="10"/>
      <w:sz w:val="16"/>
    </w:rPr>
  </w:style>
  <w:style w:type="paragraph" w:styleId="ByLine">
    <w:name w:val="By Line"/>
    <w:basedOn w:val="Closing"/>
    <w:next w:val="SignatureName"/>
    <w:qFormat/>
    <w:pPr>
      <w:tabs>
        <w:tab w:val="clear" w:pos="720"/>
        <w:tab w:val="left" w:pos="5040" w:leader="none"/>
        <w:tab w:val="right" w:pos="9360" w:leader="underscore"/>
      </w:tabs>
      <w:spacing w:before="480" w:after="0"/>
    </w:pPr>
    <w:rPr/>
  </w:style>
  <w:style w:type="paragraph" w:styleId="FooterIDLetter">
    <w:name w:val="Footer ID (Letter)"/>
    <w:basedOn w:val="FooterID"/>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Letter.dot</Template>
  <TotalTime>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2001-02-23T12:24:00Z</dcterms:created>
  <dc:creator>Gary Fergus</dc:creator>
  <dc:description>Create a new letter on Brobeck letterhead.</dc:description>
  <dc:language>en-CA</dc:language>
  <cp:lastModifiedBy>Systems Engineer</cp:lastModifiedBy>
  <cp:lastPrinted>1998-01-08T22:58:00Z</cp:lastPrinted>
  <dcterms:modified xsi:type="dcterms:W3CDTF">2001-02-23T15:31:00Z</dcterms:modified>
  <cp:revision>7</cp:revision>
  <dc:subject>Accounting for Funds</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ressee(s)">
    <vt:lpwstr>   </vt:lpwstr>
  </property>
  <property fmtid="{D5CDD505-2E9C-101B-9397-08002B2CF9AE}" pid="3" name="Caption Bank Document">
    <vt:lpwstr>   </vt:lpwstr>
  </property>
  <property fmtid="{D5CDD505-2E9C-101B-9397-08002B2CF9AE}" pid="4" name="Cause No.">
    <vt:lpwstr> </vt:lpwstr>
  </property>
  <property fmtid="{D5CDD505-2E9C-101B-9397-08002B2CF9AE}" pid="5" name="Client Name">
    <vt:lpwstr/>
  </property>
  <property fmtid="{D5CDD505-2E9C-101B-9397-08002B2CF9AE}" pid="6" name="Client No.">
    <vt:lpwstr/>
  </property>
  <property fmtid="{D5CDD505-2E9C-101B-9397-08002B2CF9AE}" pid="7" name="Date">
    <vt:lpwstr> </vt:lpwstr>
  </property>
  <property fmtid="{D5CDD505-2E9C-101B-9397-08002B2CF9AE}" pid="8" name="Doc Name">
    <vt:lpwstr> </vt:lpwstr>
  </property>
  <property fmtid="{D5CDD505-2E9C-101B-9397-08002B2CF9AE}" pid="9" name="Doc No.">
    <vt:lpwstr>   </vt:lpwstr>
  </property>
  <property fmtid="{D5CDD505-2E9C-101B-9397-08002B2CF9AE}" pid="10" name="Doc Path">
    <vt:lpwstr>D:\Enron\CalPX</vt:lpwstr>
  </property>
  <property fmtid="{D5CDD505-2E9C-101B-9397-08002B2CF9AE}" pid="11" name="DocumentType">
    <vt:lpwstr>LTR   </vt:lpwstr>
  </property>
  <property fmtid="{D5CDD505-2E9C-101B-9397-08002B2CF9AE}" pid="12" name="FooterStore">
    <vt:lpwstr> </vt:lpwstr>
  </property>
  <property fmtid="{D5CDD505-2E9C-101B-9397-08002B2CF9AE}" pid="13" name="Local Office">
    <vt:lpwstr>San Francisco</vt:lpwstr>
  </property>
  <property fmtid="{D5CDD505-2E9C-101B-9397-08002B2CF9AE}" pid="14" name="Matter Name">
    <vt:lpwstr/>
  </property>
  <property fmtid="{D5CDD505-2E9C-101B-9397-08002B2CF9AE}" pid="15" name="Matter No.">
    <vt:lpwstr/>
  </property>
  <property fmtid="{D5CDD505-2E9C-101B-9397-08002B2CF9AE}" pid="16" name="Orig Doc Path">
    <vt:lpwstr>D:\Enron\CalPX</vt:lpwstr>
  </property>
  <property fmtid="{D5CDD505-2E9C-101B-9397-08002B2CF9AE}" pid="17" name="Parties">
    <vt:lpwstr> </vt:lpwstr>
  </property>
  <property fmtid="{D5CDD505-2E9C-101B-9397-08002B2CF9AE}" pid="18" name="Signer(s)">
    <vt:lpwstr>Gary S. Fergus</vt:lpwstr>
  </property>
</Properties>
</file>