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szCs w:val="20"/>
        </w:rPr>
      </w:pPr>
      <w:r>
        <w:rPr>
          <w:szCs w:val="20"/>
        </w:rPr>
        <w:t>To:</w:t>
        <w:tab/>
        <w:t>Mike Terraso</w:t>
      </w:r>
    </w:p>
    <w:p>
      <w:pPr>
        <w:pStyle w:val="Normal"/>
        <w:autoSpaceDE w:val="false"/>
        <w:rPr>
          <w:szCs w:val="20"/>
        </w:rPr>
      </w:pPr>
      <w:r>
        <w:rPr>
          <w:szCs w:val="20"/>
        </w:rPr>
        <w:tab/>
      </w:r>
    </w:p>
    <w:p>
      <w:pPr>
        <w:pStyle w:val="Normal"/>
        <w:autoSpaceDE w:val="false"/>
        <w:rPr>
          <w:szCs w:val="20"/>
        </w:rPr>
      </w:pPr>
      <w:r>
        <w:rPr>
          <w:szCs w:val="20"/>
        </w:rPr>
        <w:t>cc:</w:t>
        <w:tab/>
        <w:t>Jeff Keeler</w:t>
      </w:r>
    </w:p>
    <w:p>
      <w:pPr>
        <w:pStyle w:val="Normal"/>
        <w:autoSpaceDE w:val="false"/>
        <w:rPr>
          <w:szCs w:val="20"/>
        </w:rPr>
      </w:pPr>
      <w:r>
        <w:rPr>
          <w:szCs w:val="20"/>
        </w:rPr>
        <w:tab/>
        <w:t>Steve Kean</w:t>
      </w:r>
    </w:p>
    <w:p>
      <w:pPr>
        <w:pStyle w:val="Normal"/>
        <w:autoSpaceDE w:val="false"/>
        <w:ind w:firstLine="720" w:end="0"/>
        <w:rPr>
          <w:szCs w:val="20"/>
        </w:rPr>
      </w:pPr>
      <w:r>
        <w:rPr>
          <w:szCs w:val="20"/>
        </w:rPr>
        <w:t>Linda Robertson</w:t>
      </w:r>
    </w:p>
    <w:p>
      <w:pPr>
        <w:pStyle w:val="Normal"/>
        <w:autoSpaceDE w:val="false"/>
        <w:rPr>
          <w:szCs w:val="20"/>
        </w:rPr>
      </w:pPr>
      <w:r>
        <w:rPr>
          <w:szCs w:val="20"/>
        </w:rPr>
        <w:tab/>
        <w:t>Catherine McKalip-Thompson</w:t>
      </w:r>
    </w:p>
    <w:p>
      <w:pPr>
        <w:pStyle w:val="Normal"/>
        <w:autoSpaceDE w:val="false"/>
        <w:rPr>
          <w:szCs w:val="20"/>
        </w:rPr>
      </w:pPr>
      <w:r>
        <w:rPr>
          <w:szCs w:val="20"/>
        </w:rPr>
      </w:r>
    </w:p>
    <w:p>
      <w:pPr>
        <w:pStyle w:val="Normal"/>
        <w:autoSpaceDE w:val="false"/>
        <w:rPr>
          <w:szCs w:val="20"/>
        </w:rPr>
      </w:pPr>
      <w:r>
        <w:rPr>
          <w:szCs w:val="20"/>
        </w:rPr>
        <w:t xml:space="preserve">From:  </w:t>
        <w:tab/>
        <w:t>Lisa Jacobson</w:t>
      </w:r>
    </w:p>
    <w:p>
      <w:pPr>
        <w:pStyle w:val="Normal"/>
        <w:autoSpaceDE w:val="false"/>
        <w:rPr>
          <w:szCs w:val="20"/>
        </w:rPr>
      </w:pPr>
      <w:r>
        <w:rPr>
          <w:szCs w:val="20"/>
        </w:rPr>
      </w:r>
    </w:p>
    <w:p>
      <w:pPr>
        <w:pStyle w:val="Normal"/>
        <w:autoSpaceDE w:val="false"/>
        <w:rPr>
          <w:szCs w:val="20"/>
        </w:rPr>
      </w:pPr>
      <w:r>
        <w:rPr>
          <w:szCs w:val="20"/>
        </w:rPr>
        <w:t>Re:</w:t>
        <w:tab/>
        <w:t>White House Climate Change Task Force</w:t>
      </w:r>
    </w:p>
    <w:p>
      <w:pPr>
        <w:pStyle w:val="Normal"/>
        <w:autoSpaceDE w:val="false"/>
        <w:rPr>
          <w:szCs w:val="20"/>
        </w:rPr>
      </w:pPr>
      <w:r>
        <w:rPr>
          <w:szCs w:val="20"/>
        </w:rPr>
      </w:r>
    </w:p>
    <w:p>
      <w:pPr>
        <w:pStyle w:val="Normal"/>
        <w:autoSpaceDE w:val="false"/>
        <w:rPr>
          <w:szCs w:val="20"/>
        </w:rPr>
      </w:pPr>
      <w:r>
        <w:rPr>
          <w:szCs w:val="20"/>
        </w:rPr>
        <w:t xml:space="preserve">Date:  </w:t>
        <w:tab/>
        <w:t>April 16, 2001</w:t>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pPr>
      <w:r>
        <w:rPr>
          <w:szCs w:val="20"/>
        </w:rPr>
        <w:t xml:space="preserve">Per your request, here is some preliminary information on the Administration's climate change task force.  First, there </w:t>
      </w:r>
      <w:r>
        <w:rPr>
          <w:szCs w:val="20"/>
          <w:u w:val="single"/>
        </w:rPr>
        <w:t>is</w:t>
      </w:r>
      <w:r>
        <w:rPr>
          <w:szCs w:val="20"/>
        </w:rPr>
        <w:t xml:space="preserve"> a White House climate change task force and it has met at least twice already.  It is coordinated by the Domestic Policy Council and the National Economic Council.  Emphasis during the first meetings has been on procedure, education and review of the key issues.</w:t>
      </w:r>
    </w:p>
    <w:p>
      <w:pPr>
        <w:pStyle w:val="Normal"/>
        <w:autoSpaceDE w:val="false"/>
        <w:rPr>
          <w:szCs w:val="20"/>
        </w:rPr>
      </w:pPr>
      <w:r>
        <w:rPr>
          <w:szCs w:val="20"/>
        </w:rPr>
      </w:r>
    </w:p>
    <w:p>
      <w:pPr>
        <w:pStyle w:val="Normal"/>
        <w:autoSpaceDE w:val="false"/>
        <w:rPr>
          <w:szCs w:val="20"/>
        </w:rPr>
      </w:pPr>
      <w:r>
        <w:rPr>
          <w:szCs w:val="20"/>
        </w:rPr>
        <w:t xml:space="preserve">The task force facilitates the Administration’s ongoing "cabinet level review" on climate change policy.  They are aiming for as high a level of participation as possible, but acting and deputy assistant secretaries have also been attending.  White House staff is being very tight-lipped about the task force discussions due to political sensitivities and fears of media leaks.  </w:t>
      </w:r>
    </w:p>
    <w:p>
      <w:pPr>
        <w:pStyle w:val="Normal"/>
        <w:autoSpaceDE w:val="false"/>
        <w:rPr>
          <w:szCs w:val="20"/>
        </w:rPr>
      </w:pPr>
      <w:r>
        <w:rPr>
          <w:szCs w:val="20"/>
        </w:rPr>
        <w:t xml:space="preserve"> </w:t>
      </w:r>
    </w:p>
    <w:p>
      <w:pPr>
        <w:pStyle w:val="Normal"/>
        <w:autoSpaceDE w:val="false"/>
        <w:rPr>
          <w:szCs w:val="20"/>
        </w:rPr>
      </w:pPr>
      <w:r>
        <w:rPr/>
        <w:t xml:space="preserve">The task force will solicit input from outside stakeholders (scientists, industry and environmental groups), but as I understand it, participation on the task force is limited to government officials.  </w:t>
      </w:r>
    </w:p>
    <w:p>
      <w:pPr>
        <w:pStyle w:val="BodyText"/>
        <w:rPr>
          <w:sz w:val="24"/>
          <w:szCs w:val="20"/>
        </w:rPr>
      </w:pPr>
      <w:r>
        <w:rPr>
          <w:sz w:val="24"/>
          <w:szCs w:val="20"/>
        </w:rPr>
      </w:r>
    </w:p>
    <w:p>
      <w:pPr>
        <w:pStyle w:val="Normal"/>
        <w:autoSpaceDE w:val="false"/>
        <w:rPr>
          <w:szCs w:val="20"/>
        </w:rPr>
      </w:pPr>
      <w:r>
        <w:rPr>
          <w:szCs w:val="20"/>
        </w:rPr>
        <w:t xml:space="preserve">The task force is set to meet frequently - possibly weekly - over the next six weeks.  I have heard different descriptions of its objectives.  Some have said its goal is to develop broad principles, procedures and a strategy in preparation for the resumed international negotiations in Bonn, Germany this July (COP-6 II).  Others suggest that the White House intends to release a specific proposal on climate change, with domestic and international components, as early as next month.  </w:t>
      </w:r>
    </w:p>
    <w:p>
      <w:pPr>
        <w:pStyle w:val="Normal"/>
        <w:autoSpaceDE w:val="false"/>
        <w:rPr>
          <w:szCs w:val="20"/>
        </w:rPr>
      </w:pPr>
      <w:r>
        <w:rPr>
          <w:szCs w:val="20"/>
        </w:rPr>
      </w:r>
    </w:p>
    <w:p>
      <w:pPr>
        <w:pStyle w:val="BodyText2"/>
        <w:rPr>
          <w:sz w:val="24"/>
        </w:rPr>
      </w:pPr>
      <w:r>
        <w:rPr>
          <w:sz w:val="24"/>
        </w:rPr>
        <w:t>On the domestic front, Enron has been providing input to the Administration on our creative ideas for a multi-pollutant air emissions strategy for the power generation sector.  We have been invited to provide input on international proposals, with a preferred timeline of this week.</w:t>
      </w:r>
    </w:p>
    <w:p>
      <w:pPr>
        <w:pStyle w:val="Normal"/>
        <w:autoSpaceDE w:val="false"/>
        <w:rPr>
          <w:sz w:val="24"/>
          <w:szCs w:val="20"/>
        </w:rPr>
      </w:pPr>
      <w:r>
        <w:rPr>
          <w:sz w:val="24"/>
          <w:szCs w:val="20"/>
        </w:rPr>
      </w:r>
    </w:p>
    <w:p>
      <w:pPr>
        <w:pStyle w:val="Normal"/>
        <w:autoSpaceDE w:val="false"/>
        <w:rPr/>
      </w:pPr>
      <w:r>
        <w:rPr>
          <w:szCs w:val="20"/>
        </w:rPr>
        <w:t>At this stage, each task force meeting is dedicated to covering a different topic (</w:t>
      </w:r>
      <w:r>
        <w:rPr>
          <w:i/>
          <w:iCs/>
          <w:szCs w:val="20"/>
        </w:rPr>
        <w:t>i.e</w:t>
      </w:r>
      <w:r>
        <w:rPr>
          <w:szCs w:val="20"/>
        </w:rPr>
        <w:t>., science, economic impacts, role of technology, etc.).  The meetings tend to have an educational angle, as many participants are not familiar with these specific and technical issues.  The task force has likely not yet delved into analysis of the market-based mechanisms (emissions trading or project-based options to reduce greenhouse gas emissions) or other issues related to the United Nations Framework Convention on Climate Change/Kyoto Protocol negotiations.</w:t>
      </w:r>
    </w:p>
    <w:p>
      <w:pPr>
        <w:pStyle w:val="Normal"/>
        <w:autoSpaceDE w:val="false"/>
        <w:rPr>
          <w:szCs w:val="20"/>
        </w:rPr>
      </w:pPr>
      <w:r>
        <w:rPr>
          <w:szCs w:val="20"/>
        </w:rPr>
      </w:r>
    </w:p>
    <w:p>
      <w:pPr>
        <w:pStyle w:val="Normal"/>
        <w:rPr/>
      </w:pPr>
      <w:r>
        <w:rPr/>
        <w:t xml:space="preserve">Enron has an excellent relationship with John Howard, the task force coordinator from the Domestic Policy Council.  Jeff and I plan to meet with Bob McNally, the National Economic Council coordinator, tomorrow. </w:t>
      </w:r>
    </w:p>
    <w:p>
      <w:pPr>
        <w:pStyle w:val="Normal"/>
        <w:autoSpaceDE w:val="false"/>
        <w:rPr>
          <w:szCs w:val="20"/>
        </w:rPr>
      </w:pPr>
      <w:r>
        <w:rPr>
          <w:szCs w:val="20"/>
        </w:rPr>
      </w:r>
    </w:p>
    <w:p>
      <w:pPr>
        <w:pStyle w:val="Normal"/>
        <w:autoSpaceDE w:val="false"/>
        <w:rPr>
          <w:szCs w:val="20"/>
        </w:rPr>
      </w:pPr>
      <w:r>
        <w:rPr>
          <w:szCs w:val="20"/>
        </w:rPr>
        <w:t>Jeff and I also would like to talk with you about strategy and recommendations for the White House on international proposals.  It would be valuable for Enron to weigh in supporting:</w:t>
      </w:r>
    </w:p>
    <w:p>
      <w:pPr>
        <w:pStyle w:val="Normal"/>
        <w:autoSpaceDE w:val="false"/>
        <w:rPr>
          <w:szCs w:val="20"/>
        </w:rPr>
      </w:pPr>
      <w:r>
        <w:rPr>
          <w:szCs w:val="20"/>
        </w:rPr>
      </w:r>
    </w:p>
    <w:p>
      <w:pPr>
        <w:pStyle w:val="Normal"/>
        <w:numPr>
          <w:ilvl w:val="0"/>
          <w:numId w:val="1"/>
        </w:numPr>
        <w:autoSpaceDE w:val="false"/>
        <w:rPr>
          <w:szCs w:val="20"/>
        </w:rPr>
      </w:pPr>
      <w:r>
        <w:rPr>
          <w:szCs w:val="20"/>
        </w:rPr>
        <w:t>Action to reduce greenhouse gas emissions even in the absence of scientific certainty on climate change</w:t>
      </w:r>
    </w:p>
    <w:p>
      <w:pPr>
        <w:pStyle w:val="Normal"/>
        <w:numPr>
          <w:ilvl w:val="0"/>
          <w:numId w:val="1"/>
        </w:numPr>
        <w:autoSpaceDE w:val="false"/>
        <w:rPr>
          <w:i/>
          <w:i/>
          <w:iCs/>
          <w:szCs w:val="20"/>
        </w:rPr>
      </w:pPr>
      <w:r>
        <w:rPr>
          <w:szCs w:val="20"/>
        </w:rPr>
        <w:t xml:space="preserve">Continued U.S. engagement in international efforts to reduce greenhouse gas emissions </w:t>
      </w:r>
    </w:p>
    <w:p>
      <w:pPr>
        <w:pStyle w:val="Normal"/>
        <w:numPr>
          <w:ilvl w:val="0"/>
          <w:numId w:val="1"/>
        </w:numPr>
        <w:autoSpaceDE w:val="false"/>
        <w:rPr>
          <w:szCs w:val="20"/>
        </w:rPr>
      </w:pPr>
      <w:r>
        <w:rPr>
          <w:szCs w:val="20"/>
        </w:rPr>
        <w:t>Flexibility for industry to meet emission reduction goals</w:t>
      </w:r>
    </w:p>
    <w:p>
      <w:pPr>
        <w:pStyle w:val="Normal"/>
        <w:numPr>
          <w:ilvl w:val="0"/>
          <w:numId w:val="1"/>
        </w:numPr>
        <w:autoSpaceDE w:val="false"/>
        <w:rPr>
          <w:szCs w:val="20"/>
        </w:rPr>
      </w:pPr>
      <w:r>
        <w:rPr>
          <w:szCs w:val="20"/>
        </w:rPr>
        <w:t xml:space="preserve">Market-based approaches to reduce greenhouse gas emissions – like emissions trading – that allow reductions to occur at lower costs to consumers, governments and businesses </w:t>
      </w:r>
    </w:p>
    <w:p>
      <w:pPr>
        <w:pStyle w:val="Normal"/>
        <w:numPr>
          <w:ilvl w:val="0"/>
          <w:numId w:val="1"/>
        </w:numPr>
        <w:autoSpaceDE w:val="false"/>
        <w:rPr>
          <w:szCs w:val="20"/>
        </w:rPr>
      </w:pPr>
      <w:r>
        <w:rPr>
          <w:szCs w:val="20"/>
        </w:rPr>
        <w:t>Cooperation with developing countries to ensure their participation in any treaty to reduce greenhouse gas emissions – however, developed countries should be encouraged to take action now and work towards solutions</w:t>
      </w:r>
    </w:p>
    <w:p>
      <w:pPr>
        <w:pStyle w:val="Normal"/>
        <w:autoSpaceDE w:val="false"/>
        <w:rPr>
          <w:szCs w:val="20"/>
        </w:rPr>
      </w:pPr>
      <w:r>
        <w:rPr>
          <w:szCs w:val="20"/>
        </w:rPr>
      </w:r>
    </w:p>
    <w:p>
      <w:pPr>
        <w:pStyle w:val="Normal"/>
        <w:autoSpaceDE w:val="false"/>
        <w:rPr>
          <w:szCs w:val="20"/>
        </w:rPr>
      </w:pPr>
      <w:r>
        <w:rPr>
          <w:szCs w:val="20"/>
        </w:rPr>
        <w:t xml:space="preserve">These bullets are consistent with Enron’s current position statement.  </w:t>
      </w:r>
    </w:p>
    <w:p>
      <w:pPr>
        <w:pStyle w:val="BodyText"/>
        <w:rPr>
          <w:sz w:val="24"/>
          <w:szCs w:val="20"/>
        </w:rPr>
      </w:pPr>
      <w:r>
        <w:rPr>
          <w:sz w:val="24"/>
          <w:szCs w:val="20"/>
        </w:rPr>
      </w:r>
    </w:p>
    <w:p>
      <w:pPr>
        <w:pStyle w:val="BodyText"/>
        <w:rPr>
          <w:sz w:val="24"/>
        </w:rPr>
      </w:pPr>
      <w:r>
        <w:rPr>
          <w:sz w:val="24"/>
        </w:rPr>
        <w:t>I will work to confirm whether the task force has non-government members and how industry and, more specifically, Ken Lay and Enron could participate and provide input.</w:t>
      </w:r>
    </w:p>
    <w:p>
      <w:pPr>
        <w:pStyle w:val="BodyText"/>
        <w:rPr>
          <w:sz w:val="24"/>
        </w:rPr>
      </w:pPr>
      <w:r>
        <w:rPr>
          <w:sz w:val="24"/>
        </w:rPr>
      </w:r>
    </w:p>
    <w:p>
      <w:pPr>
        <w:pStyle w:val="BodyText"/>
        <w:rPr>
          <w:sz w:val="24"/>
        </w:rPr>
      </w:pPr>
      <w:r>
        <w:rPr>
          <w:sz w:val="24"/>
        </w:rPr>
        <w:t xml:space="preserve">Please let me know if you have any questions. </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pPr>
    <w:rPr>
      <w:b/>
      <w:bCs/>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2001-04-16T15:26:00Z</dcterms:created>
  <dc:creator>ljacobso</dc:creator>
  <dc:description/>
  <dc:language>en-CA</dc:language>
  <cp:lastModifiedBy>ljacobso</cp:lastModifiedBy>
  <cp:lastPrinted>2001-04-16T15:37:00Z</cp:lastPrinted>
  <dcterms:modified xsi:type="dcterms:W3CDTF">2001-04-16T17:07:00Z</dcterms:modified>
  <cp:revision>7</cp:revision>
  <dc:subject/>
  <dc:title>I spoke to John Bridgeland, Director of Domestic Policy, Office of Policy Development, at the White House about the climate ch</dc:title>
</cp:coreProperties>
</file>