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Operator Balancing Agreement (OBA) Briefs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Williams Field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21823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Operator Name:</w:t>
        <w:tab/>
        <w:tab/>
        <w:tab/>
        <w:t>Transwestern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/>
        <w:t>Effective Point(s):</w:t>
        <w:tab/>
        <w:tab/>
        <w:t>Milagro (56419), Kutz (500516), Ignacio (500535), La Maquina (500539)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volumetric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  <w:tab/>
        <w:tab/>
        <w:tab/>
        <w:tab/>
        <w:t>mutual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  <w:t>primary term of 1 month, mo-to-mo thereafter, either party may terminate by providing 30 days prior written notice.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  <w:t>See attached.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2001-09-20T13:58:00Z</dcterms:created>
  <dc:creator>mlokay</dc:creator>
  <dc:description/>
  <dc:language>en-CA</dc:language>
  <cp:lastModifiedBy>llindbe</cp:lastModifiedBy>
  <cp:lastPrinted>2001-09-20T11:25:00Z</cp:lastPrinted>
  <dcterms:modified xsi:type="dcterms:W3CDTF">2001-09-20T19:49:00Z</dcterms:modified>
  <cp:revision>4</cp:revision>
  <dc:subject/>
  <dc:title>Operator Balancing Agreement (OBA) Briefs</dc:title>
</cp:coreProperties>
</file>