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Corp.</w:t>
      </w:r>
    </w:p>
    <w:p>
      <w:pPr>
        <w:pStyle w:val="Normal"/>
        <w:jc w:val="center"/>
        <w:rPr/>
      </w:pPr>
      <w:r>
        <w:rPr/>
        <w:t>1400 Smith Street</w:t>
      </w:r>
    </w:p>
    <w:p>
      <w:pPr>
        <w:pStyle w:val="Normal"/>
        <w:jc w:val="center"/>
        <w:rPr/>
      </w:pPr>
      <w:r>
        <w:rPr/>
        <w:t>Houston, Texas 77002</w:t>
      </w:r>
    </w:p>
    <w:p>
      <w:pPr>
        <w:pStyle w:val="Normal"/>
        <w:jc w:val="center"/>
        <w:rPr/>
      </w:pPr>
      <w:r>
        <w:rPr/>
        <w:t>November 1, 2001</w:t>
      </w:r>
    </w:p>
    <w:p>
      <w:pPr>
        <w:pStyle w:val="Normal"/>
        <w:jc w:val="center"/>
        <w:rPr/>
      </w:pPr>
      <w:r>
        <w:rPr/>
      </w:r>
    </w:p>
    <w:p>
      <w:pPr>
        <w:pStyle w:val="Normal"/>
        <w:jc w:val="both"/>
        <w:rPr/>
      </w:pPr>
      <w:r>
        <w:rPr/>
      </w:r>
    </w:p>
    <w:p>
      <w:pPr>
        <w:pStyle w:val="Normal"/>
        <w:jc w:val="both"/>
        <w:rPr/>
      </w:pPr>
      <w:r>
        <w:rPr/>
        <w:t>Westdeutsche Landesbank Girozentrale</w:t>
      </w:r>
    </w:p>
    <w:p>
      <w:pPr>
        <w:pStyle w:val="Normal"/>
        <w:jc w:val="both"/>
        <w:rPr/>
      </w:pPr>
      <w:r>
        <w:rPr/>
        <w:t>London Branch</w:t>
      </w:r>
    </w:p>
    <w:p>
      <w:pPr>
        <w:pStyle w:val="Normal"/>
        <w:jc w:val="both"/>
        <w:rPr/>
      </w:pPr>
      <w:r>
        <w:rPr/>
        <w:t>Woolgate Exchange</w:t>
      </w:r>
    </w:p>
    <w:p>
      <w:pPr>
        <w:pStyle w:val="Normal"/>
        <w:jc w:val="both"/>
        <w:rPr/>
      </w:pPr>
      <w:r>
        <w:rPr/>
        <w:t>25 Basinghall Street</w:t>
      </w:r>
    </w:p>
    <w:p>
      <w:pPr>
        <w:pStyle w:val="Normal"/>
        <w:jc w:val="both"/>
        <w:rPr/>
      </w:pPr>
      <w:r>
        <w:rPr/>
        <w:t>London EC2V 5HA</w:t>
      </w:r>
    </w:p>
    <w:p>
      <w:pPr>
        <w:pStyle w:val="Normal"/>
        <w:jc w:val="both"/>
        <w:rPr/>
      </w:pPr>
      <w:r>
        <w:rPr/>
        <w:t>Attention:   Trade Finance</w:t>
      </w:r>
    </w:p>
    <w:p>
      <w:pPr>
        <w:pStyle w:val="Normal"/>
        <w:jc w:val="both"/>
        <w:rPr/>
      </w:pPr>
      <w:r>
        <w:rPr/>
      </w:r>
    </w:p>
    <w:p>
      <w:pPr>
        <w:pStyle w:val="Normal"/>
        <w:jc w:val="both"/>
        <w:rPr/>
      </w:pPr>
      <w:r>
        <w:rPr/>
        <w:tab/>
        <w:t>Re:</w:t>
        <w:tab/>
        <w:t>Trade Finance and Reimbursement Agreement, dated as of 10</w:t>
      </w:r>
      <w:r>
        <w:rPr>
          <w:vertAlign w:val="superscript"/>
        </w:rPr>
        <w:t>th</w:t>
      </w:r>
      <w:r>
        <w:rPr/>
        <w:t xml:space="preserve"> September, 2001 (such Trade Finance and Reimbursement Agreement, as amended from time to time, being herein referred to as the “Agreement,” the terms defined therein being used herein as therein defined), among Enron Corp., certain Banks parties thereto and Westdeutsche Landesbank Girozentrale as Issuing Bank.</w:t>
      </w:r>
    </w:p>
    <w:p>
      <w:pPr>
        <w:pStyle w:val="Normal"/>
        <w:jc w:val="both"/>
        <w:rPr/>
      </w:pPr>
      <w:r>
        <w:rPr/>
      </w:r>
    </w:p>
    <w:p>
      <w:pPr>
        <w:pStyle w:val="Normal"/>
        <w:jc w:val="both"/>
        <w:rPr/>
      </w:pPr>
      <w:r>
        <w:rPr/>
      </w:r>
    </w:p>
    <w:p>
      <w:pPr>
        <w:pStyle w:val="Normal"/>
        <w:jc w:val="both"/>
        <w:rPr/>
      </w:pPr>
      <w:r>
        <w:rPr/>
        <w:t>Ladies and Gentlemen:</w:t>
      </w:r>
    </w:p>
    <w:p>
      <w:pPr>
        <w:pStyle w:val="Normal"/>
        <w:jc w:val="both"/>
        <w:rPr/>
      </w:pPr>
      <w:r>
        <w:rPr/>
      </w:r>
    </w:p>
    <w:p>
      <w:pPr>
        <w:pStyle w:val="Normal"/>
        <w:jc w:val="both"/>
        <w:rPr/>
      </w:pPr>
      <w:r>
        <w:rPr/>
        <w:tab/>
        <w:t>The undersigned, Enron Corp., refers to the Instrument Issuance Request dated 30</w:t>
      </w:r>
      <w:r>
        <w:rPr>
          <w:vertAlign w:val="superscript"/>
        </w:rPr>
        <w:t>th</w:t>
      </w:r>
      <w:r>
        <w:rPr/>
        <w:t xml:space="preserve"> October 2001 (the “Request”). Please be advised that said Request was transmitted in error, and should be of no force and effect. The Instrument Issuance Request contained a disclosure that should have been independent of the representations, rather than qualifying the representations.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t>We apologize for any confusion that this may have caused.</w:t>
      </w:r>
    </w:p>
    <w:p>
      <w:pPr>
        <w:pStyle w:val="Normal"/>
        <w:keepNext w:val="true"/>
        <w:keepLines/>
        <w:ind w:start="5040" w:end="0"/>
        <w:jc w:val="both"/>
        <w:rPr/>
      </w:pPr>
      <w:r>
        <w:rPr/>
        <w:t>Very truly yours,</w:t>
      </w:r>
    </w:p>
    <w:p>
      <w:pPr>
        <w:pStyle w:val="Normal"/>
        <w:keepNext w:val="true"/>
        <w:keepLines/>
        <w:ind w:start="5040" w:end="0"/>
        <w:jc w:val="both"/>
        <w:rPr/>
      </w:pPr>
      <w:r>
        <w:rPr/>
      </w:r>
    </w:p>
    <w:p>
      <w:pPr>
        <w:pStyle w:val="Normal"/>
        <w:keepNext w:val="true"/>
        <w:keepLines/>
        <w:ind w:start="5040" w:end="0"/>
        <w:jc w:val="both"/>
        <w:rPr/>
      </w:pPr>
      <w:r>
        <w:rPr/>
        <w:t>ENRON CORP.</w:t>
      </w:r>
    </w:p>
    <w:p>
      <w:pPr>
        <w:pStyle w:val="Normal"/>
        <w:keepNext w:val="true"/>
        <w:keepLines/>
        <w:ind w:start="5040" w:end="0"/>
        <w:jc w:val="both"/>
        <w:rPr/>
      </w:pPr>
      <w:r>
        <w:rPr/>
      </w:r>
    </w:p>
    <w:p>
      <w:pPr>
        <w:pStyle w:val="Normal"/>
        <w:keepNext w:val="true"/>
        <w:keepLines/>
        <w:ind w:start="5040" w:end="0"/>
        <w:jc w:val="both"/>
        <w:rPr/>
      </w:pPr>
      <w:r>
        <w:rPr/>
      </w:r>
    </w:p>
    <w:p>
      <w:pPr>
        <w:pStyle w:val="Normal"/>
        <w:keepNext w:val="true"/>
        <w:keepLines/>
        <w:ind w:start="5040" w:end="0"/>
        <w:jc w:val="both"/>
        <w:rPr/>
      </w:pPr>
      <w:r>
        <w:rPr/>
        <w:t>By:</w:t>
      </w:r>
      <w:r>
        <w:rPr>
          <w:u w:val="single"/>
        </w:rPr>
        <w:tab/>
        <w:tab/>
        <w:tab/>
        <w:tab/>
        <w:tab/>
      </w:r>
    </w:p>
    <w:p>
      <w:pPr>
        <w:pStyle w:val="Normal"/>
        <w:keepNext w:val="true"/>
        <w:keepLines/>
        <w:ind w:start="5040" w:end="0"/>
        <w:jc w:val="both"/>
        <w:rPr/>
      </w:pPr>
      <w:r>
        <w:rPr/>
        <w:t>Name:</w:t>
      </w:r>
      <w:r>
        <w:rPr>
          <w:u w:val="single"/>
        </w:rPr>
        <w:tab/>
        <w:tab/>
        <w:tab/>
        <w:tab/>
        <w:tab/>
      </w:r>
    </w:p>
    <w:p>
      <w:pPr>
        <w:pStyle w:val="Normal"/>
        <w:keepNext w:val="true"/>
        <w:keepLines/>
        <w:ind w:start="5040" w:end="0"/>
        <w:jc w:val="both"/>
        <w:rPr/>
      </w:pPr>
      <w:r>
        <w:rPr/>
        <w:t>Title:</w:t>
      </w:r>
      <w:r>
        <w:rPr>
          <w:u w:val="single"/>
        </w:rPr>
        <w:tab/>
        <w:tab/>
        <w:tab/>
        <w:tab/>
        <w:tab/>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2001-11-01T13:39:00Z</dcterms:created>
  <dc:creator>gsherida</dc:creator>
  <dc:description/>
  <dc:language>en-CA</dc:language>
  <cp:lastModifiedBy>joel nathan ephross</cp:lastModifiedBy>
  <cp:lastPrinted>2001-11-01T09:02:00Z</cp:lastPrinted>
  <dcterms:modified xsi:type="dcterms:W3CDTF">2001-11-01T13:39:00Z</dcterms:modified>
  <cp:revision>2</cp:revision>
  <dc:subject/>
  <dc:title>NOTICE OF BORROWING</dc:title>
</cp:coreProperties>
</file>