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5000" w:leader="none"/>
        </w:tabs>
        <w:autoSpaceDE w:val="false"/>
        <w:ind w:hanging="1440" w:start="1440" w:end="0"/>
        <w:rPr>
          <w:rFonts w:ascii="Times New Roman" w:hAnsi="Times New Roman" w:cs="Times New Roman"/>
          <w:sz w:val="22"/>
          <w:szCs w:val="16"/>
          <w:lang w:val="en-CA" w:eastAsia="en-CA"/>
        </w:rPr>
      </w:pPr>
      <w:r>
        <w:rPr>
          <w:rFonts w:cs="Times New Roman" w:ascii="Times New Roman" w:hAnsi="Times New Roman"/>
          <w:sz w:val="22"/>
          <w:szCs w:val="16"/>
          <w:lang w:val="en-CA" w:eastAsia="en-CA"/>
        </w:rPr>
        <w:tab/>
        <w:tab/>
        <w:t>1 November, 2001</w:t>
      </w:r>
    </w:p>
    <w:p>
      <w:pPr>
        <w:pStyle w:val="Normal"/>
        <w:tabs>
          <w:tab w:val="clear" w:pos="720"/>
          <w:tab w:val="left" w:pos="1440" w:leader="none"/>
        </w:tabs>
        <w:autoSpaceDE w:val="false"/>
        <w:ind w:hanging="1440" w:start="1440" w:end="0"/>
        <w:rPr>
          <w:rFonts w:ascii="Times New Roman" w:hAnsi="Times New Roman" w:cs="Times New Roman"/>
          <w:sz w:val="22"/>
          <w:szCs w:val="16"/>
          <w:lang w:val="en-CA" w:eastAsia="en-CA"/>
        </w:rPr>
      </w:pPr>
      <w:r>
        <w:rPr>
          <w:rFonts w:cs="Times New Roman" w:ascii="Times New Roman" w:hAnsi="Times New Roman"/>
          <w:sz w:val="22"/>
          <w:szCs w:val="16"/>
          <w:lang w:val="en-CA" w:eastAsia="en-CA"/>
        </w:rPr>
      </w:r>
    </w:p>
    <w:p>
      <w:pPr>
        <w:pStyle w:val="Normal"/>
        <w:jc w:val="both"/>
        <w:rPr>
          <w:rFonts w:ascii="Times New Roman" w:hAnsi="Times New Roman" w:cs="Times New Roman"/>
          <w:sz w:val="22"/>
        </w:rPr>
      </w:pPr>
      <w:r>
        <w:rPr>
          <w:rFonts w:cs="Times New Roman" w:ascii="Times New Roman" w:hAnsi="Times New Roman"/>
          <w:sz w:val="22"/>
        </w:rPr>
        <w:t>Westdeutsche Landesbank Girozentrale</w:t>
      </w:r>
    </w:p>
    <w:p>
      <w:pPr>
        <w:pStyle w:val="Normal"/>
        <w:jc w:val="both"/>
        <w:rPr>
          <w:rFonts w:ascii="Times New Roman" w:hAnsi="Times New Roman" w:cs="Times New Roman"/>
          <w:sz w:val="22"/>
        </w:rPr>
      </w:pPr>
      <w:r>
        <w:rPr>
          <w:rFonts w:cs="Times New Roman" w:ascii="Times New Roman" w:hAnsi="Times New Roman"/>
          <w:sz w:val="22"/>
        </w:rPr>
        <w:t>London Branch</w:t>
      </w:r>
    </w:p>
    <w:p>
      <w:pPr>
        <w:pStyle w:val="Normal"/>
        <w:jc w:val="both"/>
        <w:rPr>
          <w:rFonts w:ascii="Times New Roman" w:hAnsi="Times New Roman" w:cs="Times New Roman"/>
          <w:sz w:val="22"/>
        </w:rPr>
      </w:pPr>
      <w:r>
        <w:rPr>
          <w:rFonts w:cs="Times New Roman" w:ascii="Times New Roman" w:hAnsi="Times New Roman"/>
          <w:sz w:val="22"/>
        </w:rPr>
        <w:t>Woolgate Exchange</w:t>
      </w:r>
    </w:p>
    <w:p>
      <w:pPr>
        <w:pStyle w:val="Normal"/>
        <w:jc w:val="both"/>
        <w:rPr>
          <w:rFonts w:ascii="Times New Roman" w:hAnsi="Times New Roman" w:cs="Times New Roman"/>
          <w:sz w:val="22"/>
        </w:rPr>
      </w:pPr>
      <w:r>
        <w:rPr>
          <w:rFonts w:cs="Times New Roman" w:ascii="Times New Roman" w:hAnsi="Times New Roman"/>
          <w:sz w:val="22"/>
        </w:rPr>
        <w:t>25 Basinghall Street</w:t>
      </w:r>
    </w:p>
    <w:p>
      <w:pPr>
        <w:pStyle w:val="Normal"/>
        <w:jc w:val="both"/>
        <w:rPr>
          <w:rFonts w:ascii="Times New Roman" w:hAnsi="Times New Roman" w:cs="Times New Roman"/>
          <w:sz w:val="22"/>
        </w:rPr>
      </w:pPr>
      <w:r>
        <w:rPr>
          <w:rFonts w:cs="Times New Roman" w:ascii="Times New Roman" w:hAnsi="Times New Roman"/>
          <w:sz w:val="22"/>
        </w:rPr>
        <w:t>London EC2V 5HA</w:t>
      </w:r>
    </w:p>
    <w:p>
      <w:pPr>
        <w:pStyle w:val="Normal"/>
        <w:jc w:val="both"/>
        <w:rPr>
          <w:rFonts w:ascii="Times New Roman" w:hAnsi="Times New Roman" w:cs="Times New Roman"/>
          <w:sz w:val="22"/>
        </w:rPr>
      </w:pPr>
      <w:r>
        <w:rPr>
          <w:rFonts w:cs="Times New Roman" w:ascii="Times New Roman" w:hAnsi="Times New Roman"/>
          <w:sz w:val="22"/>
        </w:rPr>
        <w:t>Attention:   Trade Finance</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autoSpaceDE w:val="false"/>
        <w:ind w:hanging="1440" w:start="1440" w:end="0"/>
        <w:rPr/>
      </w:pPr>
      <w:r>
        <w:rPr>
          <w:rFonts w:cs="Times New Roman" w:ascii="Times New Roman" w:hAnsi="Times New Roman"/>
          <w:sz w:val="22"/>
        </w:rPr>
        <w:tab/>
        <w:t>Re:</w:t>
        <w:tab/>
        <w:t>Trade Finance and Reimbursement Agreement, dated as of 10</w:t>
      </w:r>
      <w:r>
        <w:rPr>
          <w:rFonts w:cs="Times New Roman" w:ascii="Times New Roman" w:hAnsi="Times New Roman"/>
          <w:sz w:val="22"/>
          <w:vertAlign w:val="superscript"/>
        </w:rPr>
        <w:t>th</w:t>
      </w:r>
      <w:r>
        <w:rPr>
          <w:rFonts w:cs="Times New Roman" w:ascii="Times New Roman" w:hAnsi="Times New Roman"/>
          <w:sz w:val="22"/>
        </w:rPr>
        <w:t xml:space="preserve"> September, 2001 among Enron Corp., certain Banks parties thereto and Westdeutsche Landesbank Girozentrale as Issuing Bank</w:t>
      </w:r>
    </w:p>
    <w:p>
      <w:pPr>
        <w:pStyle w:val="Normal"/>
        <w:autoSpaceDE w:val="false"/>
        <w:rPr>
          <w:rFonts w:ascii="Times New Roman" w:hAnsi="Times New Roman" w:cs="Times New Roman"/>
          <w:sz w:val="22"/>
        </w:rPr>
      </w:pPr>
      <w:r>
        <w:rPr>
          <w:rFonts w:cs="Times New Roman" w:ascii="Times New Roman" w:hAnsi="Times New Roman"/>
          <w:sz w:val="22"/>
        </w:rPr>
      </w:r>
    </w:p>
    <w:p>
      <w:pPr>
        <w:pStyle w:val="Normal"/>
        <w:autoSpaceDE w:val="false"/>
        <w:ind w:firstLine="720" w:end="0"/>
        <w:jc w:val="both"/>
        <w:rPr>
          <w:rFonts w:ascii="Times New Roman" w:hAnsi="Times New Roman" w:cs="Times New Roman"/>
          <w:spacing w:val="-3"/>
          <w:sz w:val="22"/>
        </w:rPr>
      </w:pPr>
      <w:r>
        <w:rPr>
          <w:rFonts w:cs="Times New Roman" w:ascii="Times New Roman" w:hAnsi="Times New Roman"/>
          <w:sz w:val="22"/>
        </w:rPr>
        <w:t>On October 17, 2001, Enron received a letter from the United States Securities and Exchange Commission (the “Commission”) requesting information and documents concerning certain transactions involving Mr. Andrew S. Fastow, the former Executive Vice President and Chief Financial Officer of Enron, which letter has been supplemented by several telephone conferences between representatives of Enron and the staff of the Commission, and which matter has now become a formal investigation (collectively, the “Commission Inquiry”).  In addition to the Commission Inquiry, Enron has received notice and service of process that it is a defendant in a number of lawsuits (and anticipates receiving and accepting service of process in such lawsuits and receiving notice of, and service of process with respect to, other such lawsuits in the near future, which may assert claims under theories of relief different from or in addition to those contained in the lawsuits already filed in state courts of Texas and Oregon and the United States District Court for the Southern District of Texas), claiming breaches by the Board of Directors of Enron of their fiduciary duties and\or seeking relief under the Federal securities laws. Federal securities cases make claims, inter alia, that the Company made false and misleading statements and omissions that improperly inflated the value of the Company’s stock.  Final determination of legal liability, if any, and the resulting financial impact upon Enron with respect to the Commission Inquiry and the securities and other litigation referred to herein is impossible to predict with any degree of certainty, and may not be resolved for a number of years.</w:t>
      </w:r>
    </w:p>
    <w:p>
      <w:pPr>
        <w:pStyle w:val="Normal"/>
        <w:autoSpaceDE w:val="false"/>
        <w:rPr>
          <w:rFonts w:ascii="Times New Roman" w:hAnsi="Times New Roman" w:cs="Times New Roman"/>
          <w:spacing w:val="-3"/>
          <w:sz w:val="22"/>
        </w:rPr>
      </w:pPr>
      <w:r>
        <w:rPr>
          <w:rFonts w:cs="Times New Roman" w:ascii="Times New Roman" w:hAnsi="Times New Roman"/>
          <w:spacing w:val="-3"/>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5000" w:leader="none"/>
        </w:tabs>
        <w:rPr>
          <w:rFonts w:ascii="Times New Roman" w:hAnsi="Times New Roman" w:cs="Times New Roman"/>
          <w:sz w:val="22"/>
        </w:rPr>
      </w:pPr>
      <w:r>
        <w:rPr>
          <w:rFonts w:cs="Times New Roman" w:ascii="Times New Roman" w:hAnsi="Times New Roman"/>
          <w:sz w:val="22"/>
        </w:rPr>
        <w:tab/>
        <w:t>Very truly yours,</w:t>
      </w:r>
    </w:p>
    <w:p>
      <w:pPr>
        <w:pStyle w:val="Normal"/>
        <w:tabs>
          <w:tab w:val="clear" w:pos="720"/>
          <w:tab w:val="left" w:pos="500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5000" w:leader="none"/>
        </w:tabs>
        <w:rPr>
          <w:rFonts w:ascii="Times New Roman" w:hAnsi="Times New Roman" w:cs="Times New Roman"/>
          <w:sz w:val="22"/>
        </w:rPr>
      </w:pPr>
      <w:r>
        <w:rPr>
          <w:rFonts w:cs="Times New Roman" w:ascii="Times New Roman" w:hAnsi="Times New Roman"/>
          <w:sz w:val="22"/>
        </w:rPr>
        <w:tab/>
        <w:t>ENRON CORP.</w:t>
      </w:r>
    </w:p>
    <w:p>
      <w:pPr>
        <w:pStyle w:val="Normal"/>
        <w:tabs>
          <w:tab w:val="clear" w:pos="720"/>
          <w:tab w:val="left" w:pos="500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500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5000" w:leader="none"/>
          <w:tab w:val="left" w:pos="5700" w:leader="none"/>
          <w:tab w:val="left" w:pos="9200" w:leader="none"/>
        </w:tabs>
        <w:rPr/>
      </w:pPr>
      <w:r>
        <w:rPr>
          <w:rFonts w:cs="Times New Roman" w:ascii="Times New Roman" w:hAnsi="Times New Roman"/>
          <w:sz w:val="22"/>
        </w:rPr>
        <w:tab/>
        <w:t>By:</w:t>
        <w:tab/>
      </w:r>
      <w:r>
        <w:rPr>
          <w:rFonts w:cs="Times New Roman" w:ascii="Times New Roman" w:hAnsi="Times New Roman"/>
          <w:sz w:val="22"/>
          <w:u w:val="single"/>
        </w:rPr>
        <w:tab/>
      </w:r>
    </w:p>
    <w:p>
      <w:pPr>
        <w:pStyle w:val="Normal"/>
        <w:tabs>
          <w:tab w:val="clear" w:pos="720"/>
          <w:tab w:val="left" w:pos="5000" w:leader="none"/>
          <w:tab w:val="left" w:pos="5700" w:leader="none"/>
          <w:tab w:val="left" w:pos="9200" w:leader="none"/>
        </w:tabs>
        <w:rPr/>
      </w:pPr>
      <w:r>
        <w:rPr>
          <w:rFonts w:cs="Times New Roman" w:ascii="Times New Roman" w:hAnsi="Times New Roman"/>
          <w:sz w:val="22"/>
        </w:rPr>
        <w:tab/>
        <w:t>Name:</w:t>
        <w:tab/>
      </w:r>
      <w:r>
        <w:rPr>
          <w:rFonts w:cs="Times New Roman" w:ascii="Times New Roman" w:hAnsi="Times New Roman"/>
          <w:sz w:val="22"/>
          <w:u w:val="single"/>
        </w:rPr>
        <w:tab/>
      </w:r>
    </w:p>
    <w:p>
      <w:pPr>
        <w:pStyle w:val="Normal"/>
        <w:tabs>
          <w:tab w:val="clear" w:pos="720"/>
          <w:tab w:val="left" w:pos="5000" w:leader="none"/>
          <w:tab w:val="left" w:pos="5700" w:leader="none"/>
          <w:tab w:val="left" w:pos="920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5000" w:leader="none"/>
          <w:tab w:val="left" w:pos="5700" w:leader="none"/>
          <w:tab w:val="left" w:pos="9200" w:leader="none"/>
        </w:tabs>
        <w:rPr/>
      </w:pPr>
      <w:r>
        <w:rPr>
          <w:rFonts w:cs="Times New Roman" w:ascii="Times New Roman" w:hAnsi="Times New Roman"/>
          <w:sz w:val="22"/>
        </w:rPr>
        <w:tab/>
        <w:t>Title:</w:t>
        <w:tab/>
      </w:r>
      <w:r>
        <w:rPr>
          <w:rFonts w:cs="Times New Roman" w:ascii="Times New Roman" w:hAnsi="Times New Roman"/>
          <w:sz w:val="22"/>
          <w:u w:val="single"/>
        </w:rPr>
        <w:tab/>
      </w:r>
    </w:p>
    <w:sectPr>
      <w:footerReference w:type="default" r:id="rId2"/>
      <w:type w:val="nextPage"/>
      <w:pgSz w:w="12240" w:h="15840"/>
      <w:pgMar w:left="1300" w:right="1340" w:gutter="0" w:header="0" w:top="30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je/agreements/lcletter.doc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2001-10-31T22:35:00Z</dcterms:created>
  <dc:creator>dforsyt</dc:creator>
  <dc:description/>
  <dc:language>en-CA</dc:language>
  <cp:lastModifiedBy>joel nathan ephross</cp:lastModifiedBy>
  <cp:lastPrinted>2001-10-31T09:51:00Z</cp:lastPrinted>
  <dcterms:modified xsi:type="dcterms:W3CDTF">2001-10-31T22:35:00Z</dcterms:modified>
  <cp:revision>2</cp:revision>
  <dc:subject/>
  <dc:title>October 31, 2001</dc:title>
</cp:coreProperties>
</file>