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November 7, 2000</w:t>
      </w:r>
    </w:p>
    <w:p>
      <w:pPr>
        <w:pStyle w:val="Normal"/>
        <w:rPr>
          <w:sz w:val="22"/>
        </w:rPr>
      </w:pPr>
      <w:r>
        <w:rPr>
          <w:sz w:val="22"/>
        </w:rPr>
      </w:r>
    </w:p>
    <w:p>
      <w:pPr>
        <w:pStyle w:val="Normal"/>
        <w:rPr>
          <w:sz w:val="22"/>
        </w:rPr>
      </w:pPr>
      <w:r>
        <w:rPr>
          <w:sz w:val="22"/>
        </w:rPr>
        <w:t>Mr. Lynn Dekrey</w:t>
      </w:r>
    </w:p>
    <w:p>
      <w:pPr>
        <w:pStyle w:val="Normal"/>
        <w:rPr>
          <w:sz w:val="22"/>
        </w:rPr>
      </w:pPr>
      <w:r>
        <w:rPr>
          <w:sz w:val="22"/>
        </w:rPr>
        <w:t>Siemens Westinghouse Power Corporation</w:t>
      </w:r>
    </w:p>
    <w:p>
      <w:pPr>
        <w:pStyle w:val="Normal"/>
        <w:rPr>
          <w:sz w:val="22"/>
        </w:rPr>
      </w:pPr>
      <w:r>
        <w:rPr>
          <w:sz w:val="22"/>
        </w:rPr>
        <w:t>4400 Alafaya Trail</w:t>
      </w:r>
    </w:p>
    <w:p>
      <w:pPr>
        <w:pStyle w:val="Normal"/>
        <w:rPr>
          <w:sz w:val="22"/>
        </w:rPr>
      </w:pPr>
      <w:r>
        <w:rPr>
          <w:sz w:val="22"/>
        </w:rPr>
        <w:t>Orlando, FL  32826-2399</w:t>
      </w:r>
    </w:p>
    <w:p>
      <w:pPr>
        <w:pStyle w:val="Normal"/>
        <w:rPr>
          <w:sz w:val="22"/>
        </w:rPr>
      </w:pPr>
      <w:r>
        <w:rPr>
          <w:sz w:val="22"/>
        </w:rPr>
      </w:r>
    </w:p>
    <w:p>
      <w:pPr>
        <w:pStyle w:val="Normal"/>
        <w:rPr>
          <w:sz w:val="22"/>
        </w:rPr>
      </w:pPr>
      <w:r>
        <w:rPr>
          <w:sz w:val="22"/>
        </w:rPr>
        <w:t xml:space="preserve">References: </w:t>
      </w:r>
    </w:p>
    <w:p>
      <w:pPr>
        <w:pStyle w:val="Normal"/>
        <w:numPr>
          <w:ilvl w:val="0"/>
          <w:numId w:val="2"/>
        </w:numPr>
        <w:rPr>
          <w:sz w:val="22"/>
        </w:rPr>
      </w:pPr>
      <w:r>
        <w:rPr>
          <w:sz w:val="22"/>
        </w:rPr>
        <w:t>Siemens Westinghouse Letter SW/NCP-022 dated July 26, 2000 (July Letter).</w:t>
      </w:r>
    </w:p>
    <w:p>
      <w:pPr>
        <w:pStyle w:val="Normal"/>
        <w:numPr>
          <w:ilvl w:val="0"/>
          <w:numId w:val="2"/>
        </w:numPr>
        <w:rPr>
          <w:sz w:val="22"/>
        </w:rPr>
      </w:pPr>
      <w:r>
        <w:rPr>
          <w:sz w:val="22"/>
        </w:rPr>
        <w:t>Siemens Westinghouse Letter SW/NCP-033 dated September 29, 2000 (September Letter).</w:t>
      </w:r>
    </w:p>
    <w:p>
      <w:pPr>
        <w:pStyle w:val="Normal"/>
        <w:numPr>
          <w:ilvl w:val="0"/>
          <w:numId w:val="2"/>
        </w:numPr>
        <w:rPr>
          <w:sz w:val="22"/>
        </w:rPr>
      </w:pPr>
      <w:r>
        <w:rPr>
          <w:sz w:val="22"/>
        </w:rPr>
        <w:t>Contract Y2K (6) – 2 – 98 (“Contract”).</w:t>
      </w:r>
    </w:p>
    <w:p>
      <w:pPr>
        <w:pStyle w:val="Normal"/>
        <w:rPr>
          <w:sz w:val="22"/>
        </w:rPr>
      </w:pPr>
      <w:r>
        <w:rPr>
          <w:sz w:val="22"/>
        </w:rPr>
      </w:r>
    </w:p>
    <w:p>
      <w:pPr>
        <w:pStyle w:val="Normal"/>
        <w:rPr>
          <w:sz w:val="22"/>
        </w:rPr>
      </w:pPr>
      <w:r>
        <w:rPr>
          <w:sz w:val="22"/>
        </w:rPr>
        <w:t>Subject: Enron W501D5A Damaged Generator and Replacement</w:t>
      </w:r>
    </w:p>
    <w:p>
      <w:pPr>
        <w:pStyle w:val="Normal"/>
        <w:rPr>
          <w:sz w:val="22"/>
        </w:rPr>
      </w:pPr>
      <w:r>
        <w:rPr>
          <w:sz w:val="22"/>
        </w:rPr>
      </w:r>
    </w:p>
    <w:p>
      <w:pPr>
        <w:pStyle w:val="Normal"/>
        <w:rPr>
          <w:sz w:val="22"/>
        </w:rPr>
      </w:pPr>
      <w:r>
        <w:rPr>
          <w:sz w:val="22"/>
        </w:rPr>
        <w:t>Dear Mr. Dekrey:</w:t>
      </w:r>
    </w:p>
    <w:p>
      <w:pPr>
        <w:pStyle w:val="Normal"/>
        <w:rPr>
          <w:sz w:val="22"/>
        </w:rPr>
      </w:pPr>
      <w:r>
        <w:rPr>
          <w:sz w:val="22"/>
        </w:rPr>
      </w:r>
    </w:p>
    <w:p>
      <w:pPr>
        <w:pStyle w:val="Normal"/>
        <w:jc w:val="both"/>
        <w:rPr>
          <w:sz w:val="22"/>
        </w:rPr>
      </w:pPr>
      <w:r>
        <w:rPr>
          <w:sz w:val="22"/>
        </w:rPr>
        <w:t>Enron Equipment Procurement Company (EEPC) is in receipt of the July and September Letters and responds to them and other matters as follows:</w:t>
      </w:r>
    </w:p>
    <w:p>
      <w:pPr>
        <w:pStyle w:val="Normal"/>
        <w:jc w:val="both"/>
        <w:rPr>
          <w:sz w:val="22"/>
        </w:rPr>
      </w:pPr>
      <w:r>
        <w:rPr>
          <w:sz w:val="22"/>
        </w:rPr>
      </w:r>
    </w:p>
    <w:p>
      <w:pPr>
        <w:pStyle w:val="Normal"/>
        <w:numPr>
          <w:ilvl w:val="0"/>
          <w:numId w:val="1"/>
        </w:numPr>
        <w:jc w:val="both"/>
        <w:rPr>
          <w:sz w:val="22"/>
        </w:rPr>
      </w:pPr>
      <w:r>
        <w:rPr>
          <w:sz w:val="22"/>
        </w:rPr>
        <w:t>With regard to the July Letter, we understand from recent discussions that Siemens Westinghouse (SW) now contends that the July Letter constituted formal notification of a Force Majeure Event under the Contract. As you know, EEPC does not recognize it as such for several reasons. First, the July Letter did not state that the incident involving the generator constituted a Force Majeure Event under the contract; rather it spoke of a “potential delay in performance of the agreement” without stating that SW’s delivery and other performance obligations under the Contract would be excused because the incident constituted a Force Majeure Event. Second, the incident does not meet the standards required for treatment as a Force Majeure Event under the Contract. Third, SW’s own representatives have indicated to EEPC that the incident indeed does not meet the standards required for treatment as a Force Majeure Event under the Contract. Based on the above and other reasons not articulated herein, EEPC does not recognize the incident as a Force Majeure Event, and therefore will not excuse any of SW’s performance obligations under the Contract.</w:t>
      </w:r>
    </w:p>
    <w:p>
      <w:pPr>
        <w:pStyle w:val="Normal"/>
        <w:jc w:val="both"/>
        <w:rPr>
          <w:sz w:val="22"/>
        </w:rPr>
      </w:pPr>
      <w:r>
        <w:rPr>
          <w:sz w:val="22"/>
        </w:rPr>
      </w:r>
    </w:p>
    <w:p>
      <w:pPr>
        <w:pStyle w:val="Normal"/>
        <w:numPr>
          <w:ilvl w:val="0"/>
          <w:numId w:val="1"/>
        </w:numPr>
        <w:jc w:val="both"/>
        <w:rPr>
          <w:sz w:val="22"/>
        </w:rPr>
      </w:pPr>
      <w:r>
        <w:rPr>
          <w:sz w:val="22"/>
        </w:rPr>
        <w:t>With regard to the September Letter, EEPC understands that SW intends to replace the damaged generator with a Siemens model TLRI 100/30-36 generator (Replacement Generator).  At this time, EEPC is unable to confirm that the Replacement Generator meets the technical requirements of the Contract.  Because it is SW’s responsibility to replace the damaged generator with a generator that complies with the Contract, EEPC requires that SW provide the necessary technical documentation to EEPC to confirm that the Replacement Generator meets the technical requirements of the Contract.</w:t>
      </w:r>
    </w:p>
    <w:p>
      <w:pPr>
        <w:pStyle w:val="Normal"/>
        <w:jc w:val="both"/>
        <w:rPr>
          <w:sz w:val="22"/>
        </w:rPr>
      </w:pPr>
      <w:r>
        <w:rPr>
          <w:sz w:val="22"/>
        </w:rPr>
      </w:r>
    </w:p>
    <w:p>
      <w:pPr>
        <w:pStyle w:val="Normal"/>
        <w:numPr>
          <w:ilvl w:val="0"/>
          <w:numId w:val="1"/>
        </w:numPr>
        <w:jc w:val="both"/>
        <w:rPr>
          <w:sz w:val="22"/>
        </w:rPr>
      </w:pPr>
      <w:r>
        <w:rPr>
          <w:sz w:val="22"/>
        </w:rPr>
        <w:t>With regard to generator delivery, because the Guaranteed Unit Delivery Date remains September 2, 2000 as previously agreed, EEPC expects SW to continue to expedite the delivery of the Replacement Generator.  It is requested that SW provide a written report weekly to update EEPC on the status of the delivery of the Replacement Generator.</w:t>
      </w:r>
    </w:p>
    <w:p>
      <w:pPr>
        <w:pStyle w:val="Normal"/>
        <w:jc w:val="both"/>
        <w:rPr>
          <w:sz w:val="22"/>
        </w:rPr>
      </w:pPr>
      <w:r>
        <w:rPr>
          <w:sz w:val="22"/>
        </w:rPr>
      </w:r>
    </w:p>
    <w:p>
      <w:pPr>
        <w:pStyle w:val="Normal"/>
        <w:numPr>
          <w:ilvl w:val="0"/>
          <w:numId w:val="1"/>
        </w:numPr>
        <w:jc w:val="both"/>
        <w:rPr>
          <w:sz w:val="22"/>
        </w:rPr>
      </w:pPr>
      <w:r>
        <w:rPr>
          <w:sz w:val="22"/>
        </w:rPr>
        <w:t xml:space="preserve">With regard to notification of a Delivery Point under the Contract, as a result of the incident involving the generator, EEPC requires that the Delivery Point remain Houston, Texas. As we have advised you, the project which was planned for North Carolina with a June ’01 start date was cancelled by the counterparty as a direct result of the incident involving the generator, and as such the planned site in North Carolina will no longer be the delivery point. </w:t>
      </w:r>
    </w:p>
    <w:p>
      <w:pPr>
        <w:pStyle w:val="Normal"/>
        <w:jc w:val="both"/>
        <w:rPr>
          <w:sz w:val="22"/>
        </w:rPr>
      </w:pPr>
      <w:r>
        <w:rPr>
          <w:sz w:val="22"/>
        </w:rPr>
        <w:t>November 7, 2000</w:t>
      </w:r>
    </w:p>
    <w:p>
      <w:pPr>
        <w:pStyle w:val="Normal"/>
        <w:jc w:val="both"/>
        <w:rPr>
          <w:sz w:val="22"/>
        </w:rPr>
      </w:pPr>
      <w:r>
        <w:rPr>
          <w:sz w:val="22"/>
        </w:rPr>
        <w:t>Mr. Lynn Dekrey</w:t>
      </w:r>
    </w:p>
    <w:p>
      <w:pPr>
        <w:pStyle w:val="Normal"/>
        <w:jc w:val="both"/>
        <w:rPr>
          <w:sz w:val="22"/>
        </w:rPr>
      </w:pPr>
      <w:r>
        <w:rPr>
          <w:sz w:val="22"/>
        </w:rPr>
        <w:t>Page Two</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numPr>
          <w:ilvl w:val="0"/>
          <w:numId w:val="1"/>
        </w:numPr>
        <w:jc w:val="both"/>
        <w:rPr>
          <w:sz w:val="22"/>
        </w:rPr>
      </w:pPr>
      <w:r>
        <w:rPr>
          <w:sz w:val="22"/>
        </w:rPr>
        <w:t>With regard to the financial impact to EEPC of the late delivery of the generator, as we have also advised you, the delivery date you have suggested for the Replacement Generator makes it extremely difficult for EEPC to place this unit in any customer deal with a summer ’01 start date. For this reason as well as the cancellation of the North Carolina project which occurred as a direct result of the delay in delivery of the generator, EEPC has been and is continuing to be delayed and impeded under the Contract. Therefore, EEPC reserves all rights under the Contract including but not limited to rights with respect to imposing liquidated damages upon SW such as Document Liquidated Damages based on the final delivery of the revised technical documentation for the Replacement Generator, as well as other applicable liquidated damages which continue to accrue against SW until such time that EEPC ceases to be delayed or impeded. Notwithstanding the above, EEPC will continue to vigorously explore commercial opportunities for the unit, and appreciates any suggestions SW may have regarding commercial opportunities.</w:t>
      </w:r>
    </w:p>
    <w:p>
      <w:pPr>
        <w:pStyle w:val="Normal"/>
        <w:jc w:val="both"/>
        <w:rPr>
          <w:sz w:val="22"/>
        </w:rPr>
      </w:pPr>
      <w:r>
        <w:rPr>
          <w:sz w:val="22"/>
        </w:rPr>
      </w:r>
    </w:p>
    <w:p>
      <w:pPr>
        <w:pStyle w:val="Normal"/>
        <w:numPr>
          <w:ilvl w:val="0"/>
          <w:numId w:val="1"/>
        </w:numPr>
        <w:jc w:val="both"/>
        <w:rPr>
          <w:sz w:val="22"/>
        </w:rPr>
      </w:pPr>
      <w:r>
        <w:rPr>
          <w:sz w:val="22"/>
        </w:rPr>
        <w:t>Lastly, by this letter EEPC requests that SW refund the payment of Milestone Payment # 17. This payment was made to SW as a result of an administrative error. As you know, Milestone Payment #17 is due upon “Delivery to the Delivery Point” of the CT-Unit (which includes both the gas turbine and the generator). This milestone will not be achieved until such time that the Replacement Generator is Delivered to the Delivery Point.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We look forward to meeting with you at your earliest convenience to discuss the issues raised in this letter. Toward that end, either Scott Laidlaw or Ben Jacoby will be contacting you to arrange for a meeting.</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Dan Shultz</w:t>
      </w:r>
    </w:p>
    <w:p>
      <w:pPr>
        <w:pStyle w:val="Normal"/>
        <w:jc w:val="both"/>
        <w:rPr>
          <w:sz w:val="22"/>
        </w:rPr>
      </w:pPr>
      <w:r>
        <w:rPr>
          <w:sz w:val="22"/>
        </w:rPr>
        <w:t>Manager of Projects</w:t>
      </w:r>
    </w:p>
    <w:p>
      <w:pPr>
        <w:pStyle w:val="Normal"/>
        <w:jc w:val="both"/>
        <w:rPr>
          <w:sz w:val="22"/>
        </w:rPr>
      </w:pPr>
      <w:r>
        <w:rPr>
          <w:sz w:val="22"/>
        </w:rPr>
      </w:r>
    </w:p>
    <w:p>
      <w:pPr>
        <w:pStyle w:val="Normal"/>
        <w:jc w:val="both"/>
        <w:rPr>
          <w:sz w:val="22"/>
        </w:rPr>
      </w:pPr>
      <w:r>
        <w:rPr>
          <w:sz w:val="22"/>
        </w:rPr>
        <w:t>Cc: Ben Jacoby</w:t>
      </w:r>
      <w:r>
        <w:br w:type="page"/>
      </w:r>
    </w:p>
    <w:p>
      <w:pPr>
        <w:pStyle w:val="Normal"/>
        <w:jc w:val="both"/>
        <w:rPr>
          <w:sz w:val="22"/>
        </w:rPr>
      </w:pPr>
      <w:r>
        <w:rPr>
          <w:sz w:val="22"/>
        </w:rPr>
      </w:r>
    </w:p>
    <w:p>
      <w:pPr>
        <w:pStyle w:val="Normal"/>
        <w:jc w:val="both"/>
        <w:rPr>
          <w:sz w:val="22"/>
        </w:rPr>
      </w:pPr>
      <w:r>
        <w:rPr>
          <w:sz w:val="22"/>
        </w:rPr>
        <w:t>Bcc:</w:t>
      </w:r>
    </w:p>
    <w:p>
      <w:pPr>
        <w:pStyle w:val="Normal"/>
        <w:jc w:val="both"/>
        <w:rPr>
          <w:sz w:val="22"/>
        </w:rPr>
      </w:pPr>
      <w:r>
        <w:rPr>
          <w:sz w:val="22"/>
        </w:rPr>
        <w:t>Kay Mann</w:t>
      </w:r>
    </w:p>
    <w:p>
      <w:pPr>
        <w:pStyle w:val="Normal"/>
        <w:jc w:val="both"/>
        <w:rPr>
          <w:sz w:val="22"/>
        </w:rPr>
      </w:pPr>
      <w:r>
        <w:rPr>
          <w:sz w:val="22"/>
        </w:rPr>
        <w:t>Larry Izzo</w:t>
      </w:r>
    </w:p>
    <w:p>
      <w:pPr>
        <w:pStyle w:val="Normal"/>
        <w:rPr>
          <w:sz w:val="22"/>
        </w:rPr>
      </w:pPr>
      <w:r>
        <w:rPr>
          <w:sz w:val="22"/>
        </w:rPr>
        <w:t>Keith Dodson</w:t>
      </w:r>
    </w:p>
    <w:p>
      <w:pPr>
        <w:pStyle w:val="Normal"/>
        <w:rPr>
          <w:sz w:val="22"/>
        </w:rPr>
      </w:pPr>
      <w:r>
        <w:rPr>
          <w:sz w:val="22"/>
        </w:rPr>
        <w:t>John Schwartzenburg</w:t>
      </w:r>
    </w:p>
    <w:p>
      <w:pPr>
        <w:pStyle w:val="Normal"/>
        <w:rPr>
          <w:sz w:val="22"/>
        </w:rPr>
      </w:pPr>
      <w:r>
        <w:rPr>
          <w:sz w:val="22"/>
        </w:rPr>
        <w:t>David Bargainer</w:t>
      </w:r>
    </w:p>
    <w:p>
      <w:pPr>
        <w:pStyle w:val="Normal"/>
        <w:rPr>
          <w:sz w:val="22"/>
        </w:rPr>
      </w:pPr>
      <w:r>
        <w:rPr>
          <w:sz w:val="22"/>
        </w:rPr>
        <w:t>Peter Nassab</w:t>
      </w:r>
    </w:p>
    <w:p>
      <w:pPr>
        <w:pStyle w:val="Normal"/>
        <w:rPr>
          <w:sz w:val="22"/>
        </w:rPr>
      </w:pPr>
      <w:r>
        <w:rPr>
          <w:sz w:val="22"/>
        </w:rPr>
        <w:t>Brian Barto</w:t>
      </w:r>
    </w:p>
    <w:p>
      <w:pPr>
        <w:pStyle w:val="Normal"/>
        <w:rPr>
          <w:sz w:val="22"/>
        </w:rPr>
      </w:pPr>
      <w:r>
        <w:rPr>
          <w:sz w:val="22"/>
        </w:rPr>
        <w:t>Scott Laidlaw</w:t>
      </w:r>
    </w:p>
    <w:sectPr>
      <w:type w:val="nextPage"/>
      <w:pgSz w:w="12240" w:h="15840"/>
      <w:pgMar w:left="864" w:right="864"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2000-11-08T14:03:00Z</dcterms:created>
  <dc:creator>Enron Technology</dc:creator>
  <dc:description/>
  <dc:language>en-CA</dc:language>
  <cp:lastModifiedBy>Ben Jacoby</cp:lastModifiedBy>
  <cp:lastPrinted>2000-11-08T11:16:00Z</cp:lastPrinted>
  <dcterms:modified xsi:type="dcterms:W3CDTF">2000-11-08T14:57:00Z</dcterms:modified>
  <cp:revision>7</cp:revision>
  <dc:subject/>
  <dc:title>October 13, 2000</dc:title>
</cp:coreProperties>
</file>