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November 10, 2000</w:t>
      </w:r>
    </w:p>
    <w:p>
      <w:pPr>
        <w:pStyle w:val="Normal"/>
        <w:rPr>
          <w:sz w:val="24"/>
        </w:rPr>
      </w:pPr>
      <w:r>
        <w:rPr>
          <w:sz w:val="24"/>
        </w:rPr>
      </w:r>
    </w:p>
    <w:p>
      <w:pPr>
        <w:pStyle w:val="Normal"/>
        <w:rPr>
          <w:sz w:val="24"/>
        </w:rPr>
      </w:pPr>
      <w:r>
        <w:rPr>
          <w:sz w:val="24"/>
        </w:rPr>
        <w:t>Mr. Mark Tartaglio</w:t>
      </w:r>
    </w:p>
    <w:p>
      <w:pPr>
        <w:pStyle w:val="Normal"/>
        <w:rPr>
          <w:sz w:val="24"/>
        </w:rPr>
      </w:pPr>
      <w:r>
        <w:rPr>
          <w:sz w:val="24"/>
        </w:rPr>
        <w:t>Siemens Westinghouse Power Corporation</w:t>
      </w:r>
    </w:p>
    <w:p>
      <w:pPr>
        <w:pStyle w:val="Normal"/>
        <w:rPr>
          <w:sz w:val="24"/>
        </w:rPr>
      </w:pPr>
      <w:r>
        <w:rPr>
          <w:sz w:val="24"/>
        </w:rPr>
        <w:t>One Westchase Center</w:t>
      </w:r>
    </w:p>
    <w:p>
      <w:pPr>
        <w:pStyle w:val="Normal"/>
        <w:rPr>
          <w:sz w:val="24"/>
        </w:rPr>
      </w:pPr>
      <w:r>
        <w:rPr>
          <w:sz w:val="24"/>
        </w:rPr>
        <w:t>10777 Westheimer, Suite 140</w:t>
      </w:r>
    </w:p>
    <w:p>
      <w:pPr>
        <w:pStyle w:val="Normal"/>
        <w:rPr>
          <w:sz w:val="24"/>
        </w:rPr>
      </w:pPr>
      <w:r>
        <w:rPr>
          <w:sz w:val="24"/>
        </w:rPr>
        <w:t>Houston, TX  77042</w:t>
      </w:r>
    </w:p>
    <w:p>
      <w:pPr>
        <w:pStyle w:val="Normal"/>
        <w:rPr>
          <w:sz w:val="24"/>
        </w:rPr>
      </w:pPr>
      <w:r>
        <w:rPr>
          <w:sz w:val="24"/>
        </w:rPr>
      </w:r>
    </w:p>
    <w:p>
      <w:pPr>
        <w:pStyle w:val="Normal"/>
        <w:rPr>
          <w:sz w:val="24"/>
        </w:rPr>
      </w:pPr>
      <w:r>
        <w:rPr>
          <w:sz w:val="24"/>
        </w:rPr>
      </w:r>
    </w:p>
    <w:p>
      <w:pPr>
        <w:pStyle w:val="Normal"/>
        <w:rPr>
          <w:sz w:val="24"/>
        </w:rPr>
      </w:pPr>
      <w:r>
        <w:rPr>
          <w:sz w:val="24"/>
        </w:rPr>
        <w:t xml:space="preserve">References: </w:t>
      </w:r>
    </w:p>
    <w:p>
      <w:pPr>
        <w:pStyle w:val="Normal"/>
        <w:numPr>
          <w:ilvl w:val="0"/>
          <w:numId w:val="2"/>
        </w:numPr>
        <w:rPr>
          <w:sz w:val="24"/>
        </w:rPr>
      </w:pPr>
      <w:r>
        <w:rPr>
          <w:sz w:val="24"/>
        </w:rPr>
        <w:t>Contract Y2K (6) – 2 – 98 (“Contract”).</w:t>
      </w:r>
    </w:p>
    <w:p>
      <w:pPr>
        <w:pStyle w:val="Normal"/>
        <w:rPr>
          <w:sz w:val="24"/>
        </w:rPr>
      </w:pPr>
      <w:r>
        <w:rPr>
          <w:sz w:val="24"/>
        </w:rPr>
      </w:r>
    </w:p>
    <w:p>
      <w:pPr>
        <w:pStyle w:val="Normal"/>
        <w:rPr>
          <w:sz w:val="24"/>
        </w:rPr>
      </w:pPr>
      <w:r>
        <w:rPr>
          <w:sz w:val="24"/>
        </w:rPr>
        <w:t>Subject: Enron W501D5A Generator – Marketing Assistance Request</w:t>
      </w:r>
    </w:p>
    <w:p>
      <w:pPr>
        <w:pStyle w:val="Normal"/>
        <w:rPr>
          <w:sz w:val="24"/>
        </w:rPr>
      </w:pPr>
      <w:r>
        <w:rPr>
          <w:sz w:val="24"/>
        </w:rPr>
      </w:r>
    </w:p>
    <w:p>
      <w:pPr>
        <w:pStyle w:val="Normal"/>
        <w:rPr>
          <w:sz w:val="24"/>
        </w:rPr>
      </w:pPr>
      <w:r>
        <w:rPr>
          <w:sz w:val="24"/>
        </w:rPr>
        <w:t>Dear Mr. Tartaglio:</w:t>
      </w:r>
    </w:p>
    <w:p>
      <w:pPr>
        <w:pStyle w:val="Normal"/>
        <w:rPr>
          <w:sz w:val="24"/>
        </w:rPr>
      </w:pPr>
      <w:r>
        <w:rPr>
          <w:sz w:val="24"/>
        </w:rPr>
      </w:r>
    </w:p>
    <w:p>
      <w:pPr>
        <w:pStyle w:val="Normal"/>
        <w:jc w:val="both"/>
        <w:rPr>
          <w:sz w:val="24"/>
        </w:rPr>
      </w:pPr>
      <w:r>
        <w:rPr>
          <w:sz w:val="24"/>
        </w:rPr>
        <w:t xml:space="preserve">This letter confirms out discussions about Siemens’ possible assistance in remarketing the subject gas turbine generator unit.  </w:t>
      </w:r>
    </w:p>
    <w:p>
      <w:pPr>
        <w:pStyle w:val="Normal"/>
        <w:jc w:val="both"/>
        <w:rPr>
          <w:sz w:val="24"/>
        </w:rPr>
      </w:pPr>
      <w:r>
        <w:rPr>
          <w:sz w:val="24"/>
        </w:rPr>
      </w:r>
    </w:p>
    <w:p>
      <w:pPr>
        <w:pStyle w:val="Normal"/>
        <w:jc w:val="both"/>
        <w:rPr/>
      </w:pPr>
      <w:r>
        <w:rPr>
          <w:sz w:val="24"/>
        </w:rPr>
        <w:t>In discussing this possibility, EEPC is neither canceling its order for the subject gas turbine generator unit, waiving any rights related to the Contract, nor invoking the remarketing provisions of the Contract.  Instead, EEPC is interested in exploring with Siemens Westinghouse the use of the subject gas turbine generator unit by 3</w:t>
      </w:r>
      <w:r>
        <w:rPr>
          <w:sz w:val="24"/>
          <w:vertAlign w:val="superscript"/>
        </w:rPr>
        <w:t>rd</w:t>
      </w:r>
      <w:r>
        <w:rPr>
          <w:sz w:val="24"/>
        </w:rPr>
        <w:t xml:space="preserve"> parties in their own projects.  Toward this end, we would appreciate you putting us in contact with any interested parties.  </w:t>
      </w:r>
    </w:p>
    <w:p>
      <w:pPr>
        <w:pStyle w:val="Normal"/>
        <w:jc w:val="both"/>
        <w:rPr>
          <w:sz w:val="24"/>
        </w:rPr>
      </w:pPr>
      <w:r>
        <w:rPr>
          <w:sz w:val="24"/>
        </w:rPr>
      </w:r>
    </w:p>
    <w:p>
      <w:pPr>
        <w:pStyle w:val="Normal"/>
        <w:jc w:val="both"/>
        <w:rPr>
          <w:sz w:val="24"/>
        </w:rPr>
      </w:pPr>
      <w:r>
        <w:rPr>
          <w:sz w:val="24"/>
        </w:rPr>
        <w:t>Finally, as discussed, EEPC is interested in discussing with Siemens Westinghouse the re-purchase of EEPC’s interest in the unit.  Therefore, a response from Siemens Westinghouse as to its interest in this initiative, including the naming of an acceptable price, is requested.</w:t>
      </w:r>
    </w:p>
    <w:p>
      <w:pPr>
        <w:pStyle w:val="Normal"/>
        <w:rPr>
          <w:sz w:val="24"/>
        </w:rPr>
      </w:pPr>
      <w:r>
        <w:rPr>
          <w:sz w:val="24"/>
        </w:rPr>
      </w:r>
    </w:p>
    <w:p>
      <w:pPr>
        <w:pStyle w:val="Normal"/>
        <w:rPr>
          <w:sz w:val="24"/>
        </w:rPr>
      </w:pPr>
      <w:r>
        <w:rPr>
          <w:sz w:val="24"/>
        </w:rPr>
        <w:t>EEPC continues to reserve all rights under the Contract.</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Dan Shultz</w:t>
      </w:r>
    </w:p>
    <w:p>
      <w:pPr>
        <w:pStyle w:val="Normal"/>
        <w:rPr>
          <w:sz w:val="24"/>
        </w:rPr>
      </w:pPr>
      <w:r>
        <w:rPr>
          <w:sz w:val="24"/>
        </w:rPr>
        <w:t>Manager of Projects</w:t>
      </w:r>
    </w:p>
    <w:p>
      <w:pPr>
        <w:pStyle w:val="Normal"/>
        <w:rPr>
          <w:sz w:val="24"/>
        </w:rPr>
      </w:pPr>
      <w:r>
        <w:rPr>
          <w:sz w:val="24"/>
        </w:rPr>
      </w:r>
    </w:p>
    <w:p>
      <w:pPr>
        <w:pStyle w:val="Normal"/>
        <w:rPr>
          <w:sz w:val="24"/>
        </w:rPr>
      </w:pPr>
      <w:r>
        <w:rPr>
          <w:sz w:val="24"/>
        </w:rPr>
        <w:t>Cc:</w:t>
      </w:r>
    </w:p>
    <w:p>
      <w:pPr>
        <w:pStyle w:val="Normal"/>
        <w:rPr>
          <w:sz w:val="24"/>
        </w:rPr>
      </w:pPr>
      <w:r>
        <w:rPr>
          <w:sz w:val="24"/>
        </w:rPr>
        <w:t>Ben Jacoby</w:t>
      </w:r>
      <w:r>
        <w:br w:type="page"/>
      </w:r>
    </w:p>
    <w:p>
      <w:pPr>
        <w:pStyle w:val="Normal"/>
        <w:rPr>
          <w:sz w:val="24"/>
        </w:rPr>
      </w:pPr>
      <w:r>
        <w:rPr>
          <w:sz w:val="24"/>
        </w:rPr>
        <w:t>Bcc:</w:t>
      </w:r>
    </w:p>
    <w:p>
      <w:pPr>
        <w:pStyle w:val="Normal"/>
        <w:rPr>
          <w:sz w:val="24"/>
        </w:rPr>
      </w:pPr>
      <w:r>
        <w:rPr>
          <w:sz w:val="24"/>
        </w:rPr>
        <w:t>Kay Mann</w:t>
      </w:r>
    </w:p>
    <w:p>
      <w:pPr>
        <w:pStyle w:val="Normal"/>
        <w:rPr>
          <w:sz w:val="24"/>
        </w:rPr>
      </w:pPr>
      <w:r>
        <w:rPr>
          <w:sz w:val="24"/>
        </w:rPr>
        <w:t>Larry Izzo</w:t>
      </w:r>
    </w:p>
    <w:p>
      <w:pPr>
        <w:pStyle w:val="Normal"/>
        <w:rPr>
          <w:sz w:val="24"/>
        </w:rPr>
      </w:pPr>
      <w:r>
        <w:rPr>
          <w:sz w:val="24"/>
        </w:rPr>
        <w:t>Keith Dodson</w:t>
      </w:r>
    </w:p>
    <w:p>
      <w:pPr>
        <w:pStyle w:val="Heading1"/>
        <w:ind w:hanging="0" w:start="0"/>
        <w:rPr/>
      </w:pPr>
      <w:r>
        <w:rPr/>
        <w:t>John Schwartzenburg</w:t>
      </w:r>
    </w:p>
    <w:p>
      <w:pPr>
        <w:pStyle w:val="Normal"/>
        <w:rPr>
          <w:sz w:val="24"/>
        </w:rPr>
      </w:pPr>
      <w:r>
        <w:rPr>
          <w:sz w:val="24"/>
        </w:rPr>
        <w:t>David Bargainer</w:t>
      </w:r>
    </w:p>
    <w:p>
      <w:pPr>
        <w:pStyle w:val="Normal"/>
        <w:rPr>
          <w:sz w:val="24"/>
        </w:rPr>
      </w:pPr>
      <w:r>
        <w:rPr>
          <w:sz w:val="24"/>
        </w:rPr>
        <w:t>Peter Nassab</w:t>
      </w:r>
    </w:p>
    <w:p>
      <w:pPr>
        <w:pStyle w:val="Normal"/>
        <w:rPr>
          <w:sz w:val="24"/>
        </w:rPr>
      </w:pPr>
      <w:r>
        <w:rPr>
          <w:sz w:val="24"/>
        </w:rPr>
        <w:t>Brian Barto</w:t>
      </w:r>
    </w:p>
    <w:p>
      <w:pPr>
        <w:pStyle w:val="Normal"/>
        <w:rPr>
          <w:sz w:val="24"/>
        </w:rPr>
      </w:pPr>
      <w:r>
        <w:rPr>
          <w:sz w:val="24"/>
        </w:rPr>
        <w:t>Scott Laidlaw</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2000-11-10T16:18:00Z</dcterms:created>
  <dc:creator>Enron Technology</dc:creator>
  <dc:description/>
  <dc:language>en-CA</dc:language>
  <cp:lastModifiedBy>kmann</cp:lastModifiedBy>
  <cp:lastPrinted>2000-11-07T18:12:00Z</cp:lastPrinted>
  <dcterms:modified xsi:type="dcterms:W3CDTF">2000-11-10T16:18:00Z</dcterms:modified>
  <cp:revision>2</cp:revision>
  <dc:subject/>
  <dc:title>October 13, 2000</dc:title>
</cp:coreProperties>
</file>