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VIA FACSIMILE</w:t>
      </w:r>
    </w:p>
    <w:p>
      <w:pPr>
        <w:pStyle w:val="Heading3"/>
        <w:ind w:hanging="0" w:start="0"/>
        <w:rPr/>
      </w:pPr>
      <w:r>
        <w:rPr/>
        <w:t>DRAFT</w:t>
      </w:r>
    </w:p>
    <w:p>
      <w:pPr>
        <w:pStyle w:val="Normal"/>
        <w:rPr/>
      </w:pPr>
      <w:r>
        <w:rPr/>
        <w:t>To:</w:t>
        <w:tab/>
        <w:tab/>
      </w:r>
    </w:p>
    <w:p>
      <w:pPr>
        <w:pStyle w:val="Normal"/>
        <w:rPr/>
      </w:pPr>
      <w:r>
        <w:rPr/>
      </w:r>
    </w:p>
    <w:p>
      <w:pPr>
        <w:pStyle w:val="Normal"/>
        <w:rPr/>
      </w:pPr>
      <w:r>
        <w:rPr/>
        <w:t>From:</w:t>
        <w:tab/>
        <w:tab/>
        <w:t>Cheryl Nelson</w:t>
      </w:r>
    </w:p>
    <w:p>
      <w:pPr>
        <w:pStyle w:val="Normal"/>
        <w:rPr/>
      </w:pPr>
      <w:r>
        <w:rPr/>
        <w:tab/>
        <w:tab/>
        <w:t>Senior Counsel</w:t>
      </w:r>
    </w:p>
    <w:p>
      <w:pPr>
        <w:pStyle w:val="Normal"/>
        <w:rPr/>
      </w:pPr>
      <w:r>
        <w:rPr/>
        <w:tab/>
        <w:tab/>
        <w:t>Enron Americas</w:t>
      </w:r>
    </w:p>
    <w:p>
      <w:pPr>
        <w:pStyle w:val="Normal"/>
        <w:rPr/>
      </w:pPr>
      <w:r>
        <w:rPr/>
      </w:r>
    </w:p>
    <w:p>
      <w:pPr>
        <w:pStyle w:val="Normal"/>
        <w:rPr/>
      </w:pPr>
      <w:r>
        <w:rPr/>
        <w:t>Date:</w:t>
        <w:tab/>
        <w:tab/>
        <w:t>June 7, 2001</w:t>
      </w:r>
    </w:p>
    <w:p>
      <w:pPr>
        <w:pStyle w:val="Normal"/>
        <w:rPr/>
      </w:pPr>
      <w:r>
        <w:rPr/>
      </w:r>
    </w:p>
    <w:p>
      <w:pPr>
        <w:pStyle w:val="Normal"/>
        <w:rPr/>
      </w:pPr>
      <w:r>
        <w:rPr/>
        <w:t xml:space="preserve">Re: </w:t>
        <w:tab/>
        <w:tab/>
        <w:t xml:space="preserve">Welch Foods: ISDA Master Agreement </w:t>
      </w:r>
    </w:p>
    <w:p>
      <w:pPr>
        <w:pStyle w:val="Normal"/>
        <w:rPr/>
      </w:pPr>
      <w:r>
        <w:rPr/>
        <w:t>_______________________________________________________________________</w:t>
        <w:tab/>
        <w:tab/>
      </w:r>
    </w:p>
    <w:p>
      <w:pPr>
        <w:pStyle w:val="Normal"/>
        <w:rPr/>
      </w:pPr>
      <w:r>
        <w:rPr/>
        <w:t>We are in receipt of your responses to the Schedule to the Master Agreement we proposed.  Below are our comments to your responses.  Please call me upon receipt of this memo and we can further discuss these and any other outstanding issues.</w:t>
      </w:r>
    </w:p>
    <w:p>
      <w:pPr>
        <w:pStyle w:val="Normal"/>
        <w:rPr/>
      </w:pPr>
      <w:r>
        <w:rPr/>
      </w:r>
    </w:p>
    <w:p>
      <w:pPr>
        <w:pStyle w:val="Normal"/>
        <w:ind w:firstLine="720" w:end="0"/>
        <w:rPr>
          <w:b/>
          <w:bCs/>
        </w:rPr>
      </w:pPr>
      <w:r>
        <w:rPr>
          <w:b/>
          <w:bCs/>
        </w:rPr>
        <w:t>A.</w:t>
        <w:tab/>
      </w:r>
      <w:r>
        <w:rPr>
          <w:b/>
          <w:bCs/>
          <w:u w:val="single"/>
        </w:rPr>
        <w:t>Schedule</w:t>
      </w:r>
    </w:p>
    <w:p>
      <w:pPr>
        <w:pStyle w:val="Normal"/>
        <w:rPr>
          <w:b/>
          <w:bCs/>
        </w:rPr>
      </w:pPr>
      <w:r>
        <w:rPr>
          <w:b/>
          <w:bCs/>
        </w:rPr>
      </w:r>
    </w:p>
    <w:p>
      <w:pPr>
        <w:pStyle w:val="Normal"/>
        <w:numPr>
          <w:ilvl w:val="0"/>
          <w:numId w:val="3"/>
        </w:numPr>
        <w:rPr/>
      </w:pPr>
      <w:r>
        <w:rPr/>
        <w:t xml:space="preserve">1(b)(1):  Regarding your proposed amendment to Section 5(a)(vi)[cross default], we cannot agree to this change. </w:t>
      </w:r>
    </w:p>
    <w:p>
      <w:pPr>
        <w:pStyle w:val="Normal"/>
        <w:ind w:start="360" w:end="0"/>
        <w:rPr/>
      </w:pPr>
      <w:r>
        <w:rPr/>
      </w:r>
    </w:p>
    <w:p>
      <w:pPr>
        <w:pStyle w:val="Normal"/>
        <w:numPr>
          <w:ilvl w:val="0"/>
          <w:numId w:val="3"/>
        </w:numPr>
        <w:rPr/>
      </w:pPr>
      <w:r>
        <w:rPr/>
        <w:t>1(b)(2): Amendment to Cross Default Provisions:  We cannot agree to include as a cross default those defaults resulting from wire transfer difficulties and administrative errors.</w:t>
      </w:r>
    </w:p>
    <w:p>
      <w:pPr>
        <w:pStyle w:val="Normal"/>
        <w:ind w:start="360" w:end="0"/>
        <w:rPr/>
      </w:pPr>
      <w:r>
        <w:rPr/>
      </w:r>
    </w:p>
    <w:p>
      <w:pPr>
        <w:pStyle w:val="Normal"/>
        <w:numPr>
          <w:ilvl w:val="0"/>
          <w:numId w:val="3"/>
        </w:numPr>
        <w:rPr>
          <w:color w:val="000000"/>
          <w:szCs w:val="20"/>
        </w:rPr>
      </w:pPr>
      <w:r>
        <w:rPr>
          <w:color w:val="000000"/>
          <w:szCs w:val="20"/>
        </w:rPr>
        <w:t>1(b): Collateral Thresholds</w:t>
      </w:r>
      <w:r>
        <w:rPr>
          <w:b/>
          <w:bCs/>
          <w:color w:val="000000"/>
          <w:szCs w:val="20"/>
        </w:rPr>
        <w:t>: [ask/doublecheck with credit]</w:t>
      </w:r>
      <w:r>
        <w:rPr>
          <w:color w:val="000000"/>
          <w:szCs w:val="20"/>
        </w:rPr>
        <w:t>.</w:t>
      </w:r>
      <w:r>
        <w:rPr>
          <w:b/>
          <w:bCs/>
          <w:color w:val="000000"/>
          <w:szCs w:val="20"/>
        </w:rPr>
        <w:t xml:space="preserve"> </w:t>
      </w:r>
      <w:r>
        <w:rPr>
          <w:color w:val="000000"/>
          <w:szCs w:val="20"/>
        </w:rPr>
        <w:t>We would ask that Welch Foods re-consider the thresholds proposed, as we feel that they are appropriate given the credit quality of both Devon and Enron.</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1(e): Payments on Early Termination:  We cannot agree to use Market Quotation instead of Loss.</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 xml:space="preserve">1(g): We accept your adding to Section 5(b)(iv), the language “including a guarantee from the Credit Support Provider, in a form acceptable to the other party.”  As to adding the reference to the Credit Support Provider’s rating, we can also accept this change. </w:t>
      </w:r>
      <w:r>
        <w:rPr>
          <w:b/>
          <w:bCs/>
          <w:color w:val="000000"/>
          <w:szCs w:val="20"/>
        </w:rPr>
        <w:t>[doublecheck with credit ]</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1(h): We do not understand your comment. Please explain or specifiy how you propose redrafting the section.</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2(b)(i): We accept your addition re: adding the tax payer information in the Payee Representations.</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2(b)(ii): We accept your addition re: adding the tax payer information in the Payee Representations.</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 xml:space="preserve">3(b): We prefer not to delete the language “but in no event later than 120 days after the end of the fiscal year of Party B” because this language provides both parties with important time tables and specific deadlines for precisely when the financial statements must be made available.  We can accept the deletion of the requirement that Party B provide Quarterly Financial Statements </w:t>
      </w:r>
      <w:r>
        <w:rPr>
          <w:i/>
          <w:iCs/>
          <w:color w:val="000000"/>
          <w:szCs w:val="20"/>
        </w:rPr>
        <w:t>if and only if</w:t>
      </w:r>
      <w:r>
        <w:rPr>
          <w:color w:val="000000"/>
          <w:szCs w:val="20"/>
        </w:rPr>
        <w:t xml:space="preserve"> Party B, like Party A, does not prepare such Financial Statements.  </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4(a): We believe that both parties are better served by including the Notice provisions you suggest we delete.  Facsimile and E-mail are now widely accepted in commerce, including for such Notice.  This medium is particularly important to us in light of our business practices and the nature of the proposed transactions.</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 xml:space="preserve"> </w:t>
      </w:r>
      <w:r>
        <w:rPr>
          <w:color w:val="000000"/>
          <w:szCs w:val="20"/>
        </w:rPr>
        <w:t xml:space="preserve">4(c): We do not recommend having two calculation agents, as this has led to confusion in the past.  Here, you request that Party B become the Calculation Agent if Party A defaults; </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4(g): We accept the change in governing law from Texas to New York.</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Arbitration Forum: You request that we indicate that Houston or Boston be the forum.  How do you propose determining which forum to use if the need arose?</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2(a)(i)Deduction or Withholding For Tax/Gross Up: [payments are to be made without withholding, but if you have to make one, then give a gross-up]. We accept this change. [discuss with another attorney to be sure]</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 xml:space="preserve"> </w:t>
      </w:r>
      <w:r>
        <w:rPr>
          <w:color w:val="000000"/>
          <w:szCs w:val="20"/>
        </w:rPr>
        <w:t>4(c) Compliance with laws: We agree to this change.</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 xml:space="preserve"> </w:t>
      </w:r>
      <w:r>
        <w:rPr>
          <w:color w:val="000000"/>
          <w:szCs w:val="20"/>
        </w:rPr>
        <w:t xml:space="preserve">5(a)(iii)(1) Credit Support Default: We cannot agree to your change to this section as drafted because your change is overly broad. However we could agree to add this language provided that we expresly state that we mean “any </w:t>
      </w:r>
      <w:r>
        <w:rPr>
          <w:color w:val="000000"/>
          <w:szCs w:val="20"/>
          <w:u w:val="single"/>
        </w:rPr>
        <w:t>material</w:t>
      </w:r>
      <w:r>
        <w:rPr>
          <w:color w:val="000000"/>
          <w:szCs w:val="20"/>
        </w:rPr>
        <w:t xml:space="preserve"> representation, warranty or covenant . . . .”</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 xml:space="preserve"> </w:t>
      </w:r>
      <w:r>
        <w:rPr>
          <w:color w:val="000000"/>
          <w:szCs w:val="20"/>
        </w:rPr>
        <w:t>5(a)(iii)(3) Credit Support Default: We accept this change.</w:t>
      </w:r>
    </w:p>
    <w:p>
      <w:pPr>
        <w:pStyle w:val="Normal"/>
        <w:rPr>
          <w:color w:val="000000"/>
          <w:szCs w:val="20"/>
        </w:rPr>
      </w:pPr>
      <w:r>
        <w:rPr>
          <w:color w:val="000000"/>
          <w:szCs w:val="20"/>
        </w:rPr>
      </w:r>
    </w:p>
    <w:p>
      <w:pPr>
        <w:pStyle w:val="Normal"/>
        <w:numPr>
          <w:ilvl w:val="0"/>
          <w:numId w:val="3"/>
        </w:numPr>
        <w:rPr>
          <w:color w:val="000000"/>
          <w:szCs w:val="20"/>
        </w:rPr>
      </w:pPr>
      <w:r>
        <w:rPr>
          <w:color w:val="000000"/>
          <w:szCs w:val="20"/>
        </w:rPr>
        <w:t xml:space="preserve"> </w:t>
      </w:r>
      <w:r>
        <w:rPr>
          <w:color w:val="000000"/>
          <w:szCs w:val="20"/>
        </w:rPr>
        <w:t>5(a)(viii) – Introductory Paragraph: We accept this change.</w:t>
      </w:r>
    </w:p>
    <w:p>
      <w:pPr>
        <w:pStyle w:val="Normal"/>
        <w:autoSpaceDE w:val="false"/>
        <w:spacing w:lineRule="atLeast" w:line="240"/>
        <w:rPr>
          <w:color w:val="000000"/>
          <w:szCs w:val="20"/>
        </w:rPr>
      </w:pPr>
      <w:r>
        <w:rPr>
          <w:color w:val="000000"/>
          <w:szCs w:val="20"/>
        </w:rPr>
      </w:r>
    </w:p>
    <w:p>
      <w:pPr>
        <w:pStyle w:val="Normal"/>
        <w:numPr>
          <w:ilvl w:val="0"/>
          <w:numId w:val="3"/>
        </w:numPr>
        <w:rPr/>
      </w:pPr>
      <w:r>
        <w:rPr/>
        <w:t>5(b)(iii) Tax Event Upon Merger: We agree with this change.</w:t>
      </w:r>
    </w:p>
    <w:p>
      <w:pPr>
        <w:pStyle w:val="Normal"/>
        <w:rPr/>
      </w:pPr>
      <w:r>
        <w:rPr/>
      </w:r>
    </w:p>
    <w:p>
      <w:pPr>
        <w:pStyle w:val="Normal"/>
        <w:numPr>
          <w:ilvl w:val="0"/>
          <w:numId w:val="3"/>
        </w:numPr>
        <w:rPr/>
      </w:pPr>
      <w:r>
        <w:rPr/>
        <w:t>6(a): Right to Terminate Following Event of Default: [not sure. Ask other attorney].</w:t>
      </w:r>
    </w:p>
    <w:p>
      <w:pPr>
        <w:pStyle w:val="Normal"/>
        <w:rPr/>
      </w:pPr>
      <w:r>
        <w:rPr/>
      </w:r>
    </w:p>
    <w:p>
      <w:pPr>
        <w:pStyle w:val="Normal"/>
        <w:numPr>
          <w:ilvl w:val="0"/>
          <w:numId w:val="3"/>
        </w:numPr>
        <w:rPr/>
      </w:pPr>
      <w:r>
        <w:rPr/>
        <w:t>Local Business Days: It is okay that we consider as a local business day those days when banks are open provided that we include in the definition those days in which Houston, Texas banks are open.</w:t>
      </w:r>
    </w:p>
    <w:p>
      <w:pPr>
        <w:pStyle w:val="Normal"/>
        <w:rPr/>
      </w:pPr>
      <w:r>
        <w:rPr/>
      </w:r>
    </w:p>
    <w:p>
      <w:pPr>
        <w:pStyle w:val="Normal"/>
        <w:numPr>
          <w:ilvl w:val="0"/>
          <w:numId w:val="3"/>
        </w:numPr>
        <w:rPr/>
      </w:pPr>
      <w:r>
        <w:rPr/>
        <w:t>5(b)(h): We agree to change re: reference to “eligible swap participant” to “eligible contract participant.”</w:t>
      </w:r>
    </w:p>
    <w:p>
      <w:pPr>
        <w:pStyle w:val="Normal"/>
        <w:rPr/>
      </w:pPr>
      <w:r>
        <w:rPr/>
      </w:r>
    </w:p>
    <w:p>
      <w:pPr>
        <w:pStyle w:val="Normal"/>
        <w:numPr>
          <w:ilvl w:val="0"/>
          <w:numId w:val="3"/>
        </w:numPr>
        <w:rPr/>
      </w:pPr>
      <w:r>
        <w:rPr/>
        <w:t xml:space="preserve"> </w:t>
      </w:r>
      <w:r>
        <w:rPr/>
        <w:t>5 - Reference Market Makers: We can not agree to make the changes to “Reference Market Makers” as you request, the reference to having an office in the same city is important.</w:t>
      </w:r>
    </w:p>
    <w:p>
      <w:pPr>
        <w:pStyle w:val="Normal"/>
        <w:rPr/>
      </w:pPr>
      <w:r>
        <w:rPr/>
      </w:r>
    </w:p>
    <w:p>
      <w:pPr>
        <w:pStyle w:val="Normal"/>
        <w:numPr>
          <w:ilvl w:val="0"/>
          <w:numId w:val="3"/>
        </w:numPr>
        <w:rPr/>
      </w:pPr>
      <w:r>
        <w:rPr/>
        <w:t>5(f) Recording: We cannot agree to your changes.  Our business practice and mechanism is to provide for the recording of conversations about trades.</w:t>
      </w:r>
    </w:p>
    <w:p>
      <w:pPr>
        <w:pStyle w:val="Normal"/>
        <w:rPr/>
      </w:pPr>
      <w:r>
        <w:rPr/>
      </w:r>
    </w:p>
    <w:p>
      <w:pPr>
        <w:pStyle w:val="Normal"/>
        <w:numPr>
          <w:ilvl w:val="0"/>
          <w:numId w:val="3"/>
        </w:numPr>
        <w:rPr/>
      </w:pPr>
      <w:r>
        <w:rPr/>
        <w:t xml:space="preserve"> </w:t>
      </w:r>
      <w:r>
        <w:rPr/>
        <w:t>5(g) Set-Off: You sugested that we choose the ISDA Proposed Set-off Provision instead of the language in the draft.  [ask another attorney].</w:t>
      </w:r>
    </w:p>
    <w:p>
      <w:pPr>
        <w:pStyle w:val="Normal"/>
        <w:rPr/>
      </w:pPr>
      <w:r>
        <w:rPr/>
      </w:r>
    </w:p>
    <w:p>
      <w:pPr>
        <w:pStyle w:val="Normal"/>
        <w:numPr>
          <w:ilvl w:val="0"/>
          <w:numId w:val="3"/>
        </w:numPr>
        <w:rPr/>
      </w:pPr>
      <w:r>
        <w:rPr/>
        <w:t>5(i) Confidentiality: We cannot agree to any material changes to this provision. In particular, we do not think that the provision is undermined by our furnishing such information to affiliates.</w:t>
      </w:r>
    </w:p>
    <w:p>
      <w:pPr>
        <w:pStyle w:val="Normal"/>
        <w:rPr/>
      </w:pPr>
      <w:r>
        <w:rPr/>
      </w:r>
    </w:p>
    <w:p>
      <w:pPr>
        <w:pStyle w:val="Normal"/>
        <w:numPr>
          <w:ilvl w:val="0"/>
          <w:numId w:val="3"/>
        </w:numPr>
        <w:rPr/>
      </w:pPr>
      <w:r>
        <w:rPr/>
        <w:t>5(j) Transfer: We agree to add the language “whose consent shall not be unreasonably unheld.”</w:t>
      </w:r>
    </w:p>
    <w:p>
      <w:pPr>
        <w:pStyle w:val="Normal"/>
        <w:rPr/>
      </w:pPr>
      <w:r>
        <w:rPr/>
      </w:r>
    </w:p>
    <w:p>
      <w:pPr>
        <w:pStyle w:val="Normal"/>
        <w:numPr>
          <w:ilvl w:val="0"/>
          <w:numId w:val="3"/>
        </w:numPr>
        <w:rPr/>
      </w:pPr>
      <w:r>
        <w:rPr/>
        <w:t>Transfer –added language [ask credit but I am not sure if we want them to be able to transfer obligations].</w:t>
      </w:r>
    </w:p>
    <w:p>
      <w:pPr>
        <w:pStyle w:val="Normal"/>
        <w:rPr/>
      </w:pPr>
      <w:r>
        <w:rPr/>
      </w:r>
    </w:p>
    <w:p>
      <w:pPr>
        <w:pStyle w:val="Normal"/>
        <w:numPr>
          <w:ilvl w:val="0"/>
          <w:numId w:val="3"/>
        </w:numPr>
        <w:rPr/>
      </w:pPr>
      <w:r>
        <w:rPr/>
        <w:t>5(n): We agree to this change.</w:t>
      </w:r>
    </w:p>
    <w:p>
      <w:pPr>
        <w:pStyle w:val="Normal"/>
        <w:rPr/>
      </w:pPr>
      <w:r>
        <w:rPr/>
      </w:r>
    </w:p>
    <w:p>
      <w:pPr>
        <w:pStyle w:val="Normal"/>
        <w:numPr>
          <w:ilvl w:val="0"/>
          <w:numId w:val="3"/>
        </w:numPr>
        <w:rPr/>
      </w:pPr>
      <w:r>
        <w:rPr/>
        <w:t>6(c): As per your request our reason for the modification to 7.4 (c) (viii).</w:t>
      </w:r>
    </w:p>
    <w:p>
      <w:pPr>
        <w:pStyle w:val="Normal"/>
        <w:rPr/>
      </w:pPr>
      <w:r>
        <w:rPr/>
      </w:r>
    </w:p>
    <w:p>
      <w:pPr>
        <w:pStyle w:val="Normal"/>
        <w:numPr>
          <w:ilvl w:val="0"/>
          <w:numId w:val="3"/>
        </w:numPr>
        <w:rPr/>
      </w:pPr>
      <w:r>
        <w:rPr/>
        <w:t xml:space="preserve">We do not agree to eliminate the provision. </w:t>
      </w:r>
    </w:p>
    <w:p>
      <w:pPr>
        <w:pStyle w:val="Normal"/>
        <w:rPr/>
      </w:pPr>
      <w:r>
        <w:rPr/>
      </w:r>
    </w:p>
    <w:p>
      <w:pPr>
        <w:pStyle w:val="Normal"/>
        <w:rPr/>
      </w:pPr>
      <w:r>
        <w:rPr/>
      </w:r>
    </w:p>
    <w:p>
      <w:pPr>
        <w:pStyle w:val="Normal"/>
        <w:ind w:start="1080" w:end="0"/>
        <w:rPr/>
      </w:pPr>
      <w:r>
        <w:rPr/>
      </w:r>
    </w:p>
    <w:p>
      <w:pPr>
        <w:pStyle w:val="Normal"/>
        <w:rPr>
          <w:u w:val="single"/>
        </w:rPr>
      </w:pPr>
      <w:r>
        <w:rPr>
          <w:u w:val="single"/>
        </w:rPr>
      </w:r>
    </w:p>
    <w:p>
      <w:pPr>
        <w:pStyle w:val="Normal"/>
        <w:rPr>
          <w:u w:val="single"/>
        </w:rPr>
      </w:pPr>
      <w:r>
        <w:rPr>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0"/>
        <w:numId w:val="2"/>
      </w:numPr>
      <w:outlineLvl w:val="1"/>
    </w:pPr>
    <w:rPr>
      <w:b/>
      <w:bCs/>
      <w:u w:val="single"/>
    </w:rPr>
  </w:style>
  <w:style w:type="paragraph" w:styleId="Heading3">
    <w:name w:val="heading 3"/>
    <w:basedOn w:val="Normal"/>
    <w:next w:val="Normal"/>
    <w:qFormat/>
    <w:pPr>
      <w:keepNext w:val="true"/>
      <w:numPr>
        <w:ilvl w:val="2"/>
        <w:numId w:val="1"/>
      </w:numPr>
      <w:outlineLvl w:val="2"/>
    </w:pPr>
    <w:rPr>
      <w:sz w:val="40"/>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2001-06-07T15:22:00Z</dcterms:created>
  <dc:creator>cnelson4</dc:creator>
  <dc:description/>
  <dc:language>en-CA</dc:language>
  <cp:lastModifiedBy>cnelson4</cp:lastModifiedBy>
  <cp:lastPrinted>2001-06-07T16:45:00Z</cp:lastPrinted>
  <dcterms:modified xsi:type="dcterms:W3CDTF">2001-06-08T00:28:00Z</dcterms:modified>
  <cp:revision>9</cp:revision>
  <dc:subject/>
  <dc:title>VIA FACSIMILE</dc:title>
</cp:coreProperties>
</file>