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GB"/>
        </w:rPr>
      </w:pPr>
      <w:r>
        <w:rPr>
          <w:lang w:val="en-GB"/>
        </w:rPr>
        <w:t>POLAND ACTIVITIES</w:t>
      </w:r>
    </w:p>
    <w:p>
      <w:pPr>
        <w:pStyle w:val="Heading"/>
        <w:rPr>
          <w:lang w:val="en-GB"/>
        </w:rPr>
      </w:pPr>
      <w:r>
        <w:rPr>
          <w:lang w:val="en-GB"/>
        </w:rPr>
        <w:t>weekly update</w:t>
      </w:r>
    </w:p>
    <w:p>
      <w:pPr>
        <w:pStyle w:val="Heading"/>
        <w:rPr>
          <w:lang w:val="en-GB"/>
        </w:rPr>
      </w:pPr>
      <w:r>
        <w:rPr>
          <w:lang w:val="en-GB"/>
        </w:rPr>
      </w:r>
    </w:p>
    <w:p>
      <w:pPr>
        <w:pStyle w:val="Heading"/>
        <w:rPr>
          <w:lang w:val="en-GB"/>
        </w:rPr>
      </w:pPr>
      <w:r>
        <w:rPr>
          <w:lang w:val="en-GB"/>
        </w:rPr>
        <w:t>week of 22 –28 March‘99</w:t>
      </w:r>
    </w:p>
    <w:p>
      <w:pPr>
        <w:pStyle w:val="Heading"/>
        <w:rPr>
          <w:lang w:val="en-GB"/>
        </w:rPr>
      </w:pPr>
      <w:r>
        <w:rPr>
          <w:lang w:val="en-GB"/>
        </w:rPr>
      </w:r>
    </w:p>
    <w:tbl>
      <w:tblPr>
        <w:tblW w:w="9244" w:type="dxa"/>
        <w:jc w:val="start"/>
        <w:tblInd w:w="0" w:type="dxa"/>
        <w:tblLayout w:type="fixed"/>
        <w:tblCellMar>
          <w:top w:w="0" w:type="dxa"/>
          <w:start w:w="108" w:type="dxa"/>
          <w:bottom w:w="0" w:type="dxa"/>
          <w:end w:w="108" w:type="dxa"/>
        </w:tblCellMar>
      </w:tblPr>
      <w:tblGrid>
        <w:gridCol w:w="3708"/>
        <w:gridCol w:w="5536"/>
      </w:tblGrid>
      <w:tr>
        <w:trPr/>
        <w:tc>
          <w:tcPr>
            <w:tcW w:w="3708" w:type="dxa"/>
            <w:tcBorders>
              <w:top w:val="double" w:sz="4" w:space="0" w:color="000000"/>
              <w:start w:val="double" w:sz="4" w:space="0" w:color="000000"/>
              <w:end w:val="single" w:sz="4" w:space="0" w:color="000000"/>
            </w:tcBorders>
          </w:tcPr>
          <w:p>
            <w:pPr>
              <w:pStyle w:val="Heading1"/>
              <w:snapToGrid w:val="false"/>
              <w:ind w:hanging="0" w:start="0"/>
              <w:jc w:val="start"/>
              <w:rPr>
                <w:b/>
                <w:lang w:val="en-GB"/>
              </w:rPr>
            </w:pPr>
            <w:r>
              <w:rPr>
                <w:b/>
                <w:lang w:val="en-GB"/>
              </w:rPr>
            </w:r>
          </w:p>
          <w:p>
            <w:pPr>
              <w:pStyle w:val="Normal"/>
              <w:jc w:val="center"/>
              <w:rPr>
                <w:b/>
                <w:lang w:val="en-GB"/>
              </w:rPr>
            </w:pPr>
            <w:r>
              <w:rPr>
                <w:b/>
                <w:lang w:val="en-GB"/>
              </w:rPr>
              <w:t>Activity/Project Name</w:t>
            </w:r>
          </w:p>
        </w:tc>
        <w:tc>
          <w:tcPr>
            <w:tcW w:w="5536" w:type="dxa"/>
            <w:tcBorders>
              <w:top w:val="double" w:sz="4" w:space="0" w:color="000000"/>
              <w:start w:val="single" w:sz="4" w:space="0" w:color="000000"/>
              <w:end w:val="double" w:sz="4" w:space="0" w:color="000000"/>
            </w:tcBorders>
          </w:tcPr>
          <w:p>
            <w:pPr>
              <w:pStyle w:val="Heading1"/>
              <w:snapToGrid w:val="false"/>
              <w:ind w:hanging="0" w:start="0"/>
              <w:rPr>
                <w:b/>
                <w:lang w:val="en-GB"/>
              </w:rPr>
            </w:pPr>
            <w:r>
              <w:rPr>
                <w:b/>
                <w:lang w:val="en-GB"/>
              </w:rPr>
            </w:r>
          </w:p>
          <w:p>
            <w:pPr>
              <w:pStyle w:val="Heading1"/>
              <w:ind w:hanging="0" w:start="0"/>
              <w:rPr>
                <w:b/>
                <w:lang w:val="en-GB"/>
              </w:rPr>
            </w:pPr>
            <w:r>
              <w:rPr>
                <w:b/>
                <w:lang w:val="en-GB"/>
              </w:rPr>
              <w:t>Developments</w:t>
            </w:r>
          </w:p>
        </w:tc>
      </w:tr>
      <w:tr>
        <w:trPr/>
        <w:tc>
          <w:tcPr>
            <w:tcW w:w="3708" w:type="dxa"/>
            <w:tcBorders>
              <w:top w:val="double" w:sz="4" w:space="0" w:color="000000"/>
              <w:start w:val="double" w:sz="4" w:space="0" w:color="000000"/>
              <w:bottom w:val="single" w:sz="4" w:space="0" w:color="000000"/>
              <w:end w:val="single" w:sz="4" w:space="0" w:color="000000"/>
            </w:tcBorders>
          </w:tcPr>
          <w:p>
            <w:pPr>
              <w:pStyle w:val="Normal"/>
              <w:rPr>
                <w:lang w:val="en-GB"/>
              </w:rPr>
            </w:pPr>
            <w:r>
              <w:rPr>
                <w:lang w:val="en-GB"/>
              </w:rPr>
              <w:t>Power trading license</w:t>
            </w:r>
          </w:p>
        </w:tc>
        <w:tc>
          <w:tcPr>
            <w:tcW w:w="5536" w:type="dxa"/>
            <w:tcBorders>
              <w:top w:val="double" w:sz="4" w:space="0" w:color="000000"/>
              <w:start w:val="single" w:sz="4" w:space="0" w:color="000000"/>
              <w:bottom w:val="single" w:sz="4" w:space="0" w:color="000000"/>
              <w:end w:val="double" w:sz="4" w:space="0" w:color="000000"/>
            </w:tcBorders>
          </w:tcPr>
          <w:p>
            <w:pPr>
              <w:pStyle w:val="Normal"/>
              <w:numPr>
                <w:ilvl w:val="0"/>
                <w:numId w:val="10"/>
              </w:numPr>
              <w:rPr>
                <w:lang w:val="en-GB"/>
              </w:rPr>
            </w:pPr>
            <w:r>
              <w:rPr>
                <w:lang w:val="en-GB"/>
              </w:rPr>
              <w:t>Guarantee Agreement between Enron Poland and Enron Europe has been signed, and one copy was delivered to URE on 26</w:t>
            </w:r>
            <w:r>
              <w:rPr>
                <w:vertAlign w:val="superscript"/>
                <w:lang w:val="en-GB"/>
              </w:rPr>
              <w:t>th</w:t>
            </w:r>
            <w:r>
              <w:rPr>
                <w:lang w:val="en-GB"/>
              </w:rPr>
              <w:t xml:space="preserve"> March.</w:t>
            </w:r>
          </w:p>
          <w:p>
            <w:pPr>
              <w:pStyle w:val="Normal"/>
              <w:numPr>
                <w:ilvl w:val="0"/>
                <w:numId w:val="9"/>
              </w:numPr>
              <w:rPr>
                <w:lang w:val="en-GB"/>
              </w:rPr>
            </w:pPr>
            <w:r>
              <w:rPr>
                <w:lang w:val="en-GB"/>
              </w:rPr>
              <w:t>A group of Members of Parliament want to change the President of URE because he accepted too high power tariffs raise proposed by distrib. companies.</w:t>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Construction of the ENS plant</w:t>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3"/>
              </w:numPr>
              <w:spacing w:lineRule="atLeast" w:line="240"/>
              <w:rPr>
                <w:color w:val="000000"/>
                <w:lang w:val="en-GB" w:eastAsia="en-US"/>
              </w:rPr>
            </w:pPr>
            <w:r>
              <w:rPr>
                <w:color w:val="000000"/>
                <w:lang w:val="en-GB" w:eastAsia="en-US"/>
              </w:rPr>
              <w:t>Delay in civil works is still increasing, but DBA agreed to start two shifts work in the crucial areas. Installation of the auxiliary boilers has been started. Repair of the steam turbine shaft has been finished, we are waiting for final report.</w:t>
            </w:r>
          </w:p>
          <w:p>
            <w:pPr>
              <w:pStyle w:val="Normal"/>
              <w:numPr>
                <w:ilvl w:val="0"/>
                <w:numId w:val="3"/>
              </w:numPr>
              <w:spacing w:lineRule="atLeast" w:line="240"/>
              <w:rPr>
                <w:color w:val="000000"/>
                <w:lang w:val="en-GB" w:eastAsia="en-US"/>
              </w:rPr>
            </w:pPr>
            <w:r>
              <w:rPr>
                <w:color w:val="000000"/>
                <w:lang w:val="en-GB" w:eastAsia="en-US"/>
              </w:rPr>
              <w:t>Mayor of Gmina Leżajsk issued the Site Development Permit for the transmission line. Landowners have 14 days for appeals.</w:t>
            </w:r>
          </w:p>
          <w:p>
            <w:pPr>
              <w:pStyle w:val="Normal"/>
              <w:numPr>
                <w:ilvl w:val="0"/>
                <w:numId w:val="3"/>
              </w:numPr>
              <w:spacing w:lineRule="atLeast" w:line="240"/>
              <w:rPr>
                <w:color w:val="000000"/>
                <w:lang w:val="en-GB" w:eastAsia="en-US"/>
              </w:rPr>
            </w:pPr>
            <w:r>
              <w:rPr>
                <w:color w:val="000000"/>
                <w:lang w:val="en-GB" w:eastAsia="en-US"/>
              </w:rPr>
              <w:t>Met Arthur Andersen and Cameron to prepare our standpoint on details of the transmission line ownership transfer to Rzeszów DisCo (RZE). Meeting with RZE will be held next week.</w:t>
            </w:r>
          </w:p>
          <w:p>
            <w:pPr>
              <w:pStyle w:val="Normal"/>
              <w:numPr>
                <w:ilvl w:val="0"/>
                <w:numId w:val="3"/>
              </w:numPr>
              <w:spacing w:lineRule="atLeast" w:line="240"/>
              <w:rPr>
                <w:color w:val="000000"/>
                <w:lang w:val="en-GB" w:eastAsia="en-US"/>
              </w:rPr>
            </w:pPr>
            <w:r>
              <w:rPr>
                <w:color w:val="000000"/>
                <w:lang w:val="en-GB" w:eastAsia="en-US"/>
              </w:rPr>
              <w:t>Arthur Andersen will complete the auditing of ENS’ books on 26.03, then all documents will be prepared for approval by the Supervisory Board.</w:t>
            </w:r>
          </w:p>
          <w:p>
            <w:pPr>
              <w:pStyle w:val="Normal"/>
              <w:rPr>
                <w:color w:val="000000"/>
                <w:lang w:val="en-GB" w:eastAsia="en-US"/>
              </w:rPr>
            </w:pPr>
            <w:r>
              <w:rPr>
                <w:color w:val="000000"/>
                <w:lang w:val="en-GB" w:eastAsia="en-US"/>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Privatization – generation sector</w:t>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7"/>
              </w:numPr>
              <w:rPr>
                <w:lang w:val="en-GB"/>
              </w:rPr>
            </w:pPr>
            <w:r>
              <w:rPr>
                <w:lang w:val="en-GB"/>
              </w:rPr>
              <w:t>Summarised information on selected “autogenerators” (7 companies) was prepared and discussed. After the first direct contacts, one company (Debica) has been given up, six left.</w:t>
            </w:r>
          </w:p>
          <w:p>
            <w:pPr>
              <w:pStyle w:val="Normal"/>
              <w:numPr>
                <w:ilvl w:val="0"/>
                <w:numId w:val="7"/>
              </w:numPr>
              <w:rPr>
                <w:lang w:val="en-GB"/>
              </w:rPr>
            </w:pPr>
            <w:r>
              <w:rPr>
                <w:lang w:val="en-GB"/>
              </w:rPr>
              <w:t>KGHM (one of the 6) announced that they are going to sell-off their non-copper businesses and assets. In spite of on-going changes in the KGHM Management Board, it was decided to contact them urgently by sending a letter.</w:t>
            </w:r>
          </w:p>
          <w:p>
            <w:pPr>
              <w:pStyle w:val="Normal"/>
              <w:numPr>
                <w:ilvl w:val="0"/>
                <w:numId w:val="7"/>
              </w:numPr>
              <w:rPr>
                <w:lang w:val="en-GB"/>
              </w:rPr>
            </w:pPr>
            <w:r>
              <w:rPr>
                <w:lang w:val="en-GB"/>
              </w:rPr>
              <w:t xml:space="preserve">Met the Technical Director of Polaniec PP to discuss the latest developments in the power sector and Polaniec. Eastern Generation seems to be Enron main competitor for acquiring of the plant major stake. </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Privatization – distribution sector</w:t>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11"/>
              </w:numPr>
              <w:rPr>
                <w:lang w:val="en-GB"/>
              </w:rPr>
            </w:pPr>
            <w:r>
              <w:rPr>
                <w:lang w:val="en-GB"/>
              </w:rPr>
              <w:t>No new developments</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British Steel</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12"/>
              </w:numPr>
              <w:spacing w:lineRule="atLeast" w:line="240"/>
              <w:rPr>
                <w:lang w:val="en-GB"/>
              </w:rPr>
            </w:pPr>
            <w:r>
              <w:rPr>
                <w:lang w:val="en-GB"/>
              </w:rPr>
              <w:t>No new developments.</w:t>
            </w:r>
          </w:p>
          <w:p>
            <w:pPr>
              <w:pStyle w:val="Normal"/>
              <w:tabs>
                <w:tab w:val="clear" w:pos="720"/>
                <w:tab w:val="left" w:pos="360" w:leader="none"/>
              </w:tabs>
              <w:spacing w:lineRule="atLeast" w:line="240"/>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Power peaking tender – (new built )</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8"/>
              </w:numPr>
              <w:rPr>
                <w:lang w:val="en-GB"/>
              </w:rPr>
            </w:pPr>
            <w:r>
              <w:rPr>
                <w:lang w:val="en-GB"/>
              </w:rPr>
              <w:t>No new developments. Monitoring the review process at PSE.</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Power peaking tender – (import )</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rPr>
                <w:lang w:val="en-GB"/>
              </w:rPr>
            </w:pPr>
            <w:r>
              <w:rPr>
                <w:lang w:val="en-GB"/>
              </w:rPr>
              <w:t>No new developments.</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 xml:space="preserve">Peaking tender options </w:t>
            </w:r>
          </w:p>
          <w:p>
            <w:pPr>
              <w:pStyle w:val="Normal"/>
              <w:rPr>
                <w:lang w:val="en-GB"/>
              </w:rPr>
            </w:pPr>
            <w:r>
              <w:rPr>
                <w:lang w:val="en-GB"/>
              </w:rPr>
              <w:t>(interruptible power export)</w:t>
            </w:r>
          </w:p>
        </w:tc>
        <w:tc>
          <w:tcPr>
            <w:tcW w:w="5536" w:type="dxa"/>
            <w:tcBorders>
              <w:top w:val="single" w:sz="4" w:space="0" w:color="000000"/>
              <w:start w:val="single" w:sz="4" w:space="0" w:color="000000"/>
              <w:bottom w:val="single" w:sz="4" w:space="0" w:color="000000"/>
              <w:end w:val="double" w:sz="4" w:space="0" w:color="000000"/>
            </w:tcBorders>
          </w:tcPr>
          <w:p>
            <w:pPr>
              <w:pStyle w:val="Normal"/>
              <w:rPr>
                <w:lang w:val="en-GB"/>
              </w:rPr>
            </w:pPr>
            <w:r>
              <w:rPr>
                <w:lang w:val="en-GB"/>
              </w:rPr>
              <w:t>No new developments.</w:t>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PPA securitization</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15"/>
              </w:numPr>
              <w:tabs>
                <w:tab w:val="clear" w:pos="720"/>
                <w:tab w:val="left" w:pos="360" w:leader="none"/>
              </w:tabs>
              <w:rPr>
                <w:lang w:val="en-GB"/>
              </w:rPr>
            </w:pPr>
            <w:r>
              <w:rPr>
                <w:color w:val="000000"/>
                <w:lang w:val="en-US" w:eastAsia="en-US"/>
              </w:rPr>
              <w:t>Ministry of State Treasury requested us to prepare an offer to solve the problem of long term contractual obligations of PSE.</w:t>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POGC cooperation</w:t>
            </w:r>
          </w:p>
          <w:p>
            <w:pPr>
              <w:pStyle w:val="Normal"/>
              <w:rPr>
                <w:lang w:val="en-GB"/>
              </w:rPr>
            </w:pPr>
            <w:r>
              <w:rPr>
                <w:lang w:val="en-GB"/>
              </w:rPr>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rPr>
                <w:lang w:val="en-GB"/>
              </w:rPr>
            </w:pPr>
            <w:r>
              <w:rPr>
                <w:lang w:val="en-GB"/>
              </w:rPr>
              <w:t>- swaps: no new developments.</w:t>
            </w:r>
          </w:p>
          <w:p>
            <w:pPr>
              <w:pStyle w:val="Normal"/>
              <w:rPr>
                <w:lang w:val="en-GB"/>
              </w:rPr>
            </w:pPr>
            <w:r>
              <w:rPr>
                <w:lang w:val="en-GB"/>
              </w:rPr>
            </w:r>
          </w:p>
          <w:p>
            <w:pPr>
              <w:pStyle w:val="Normal"/>
              <w:rPr>
                <w:lang w:val="en-GB"/>
              </w:rPr>
            </w:pPr>
            <w:r>
              <w:rPr>
                <w:lang w:val="en-GB"/>
              </w:rPr>
              <w:t>- know-how exchange: no new developments.</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Ukraine gas import</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4"/>
              </w:numPr>
              <w:spacing w:lineRule="atLeast" w:line="240"/>
              <w:rPr>
                <w:color w:val="000000"/>
                <w:lang w:val="en-US" w:eastAsia="en-US"/>
              </w:rPr>
            </w:pPr>
            <w:r>
              <w:rPr>
                <w:color w:val="000000"/>
                <w:lang w:val="en-US" w:eastAsia="en-US"/>
              </w:rPr>
              <w:t>Met POGC on Thursday and they seem to be losing interest.  We will be deciding how to go forward in the next few days.</w:t>
            </w:r>
          </w:p>
          <w:p>
            <w:pPr>
              <w:pStyle w:val="Normal"/>
              <w:rPr>
                <w:color w:val="000000"/>
                <w:lang w:val="en-GB" w:eastAsia="en-US"/>
              </w:rPr>
            </w:pPr>
            <w:r>
              <w:rPr>
                <w:color w:val="000000"/>
                <w:lang w:val="en-GB" w:eastAsia="en-US"/>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Options on gas supply</w:t>
            </w:r>
          </w:p>
          <w:p>
            <w:pPr>
              <w:pStyle w:val="Normal"/>
              <w:rPr>
                <w:lang w:val="en-GB"/>
              </w:rPr>
            </w:pPr>
            <w:r>
              <w:rPr>
                <w:lang w:val="en-GB"/>
              </w:rPr>
              <w:t>Bartimpex cooperation</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5"/>
              </w:numPr>
              <w:snapToGrid w:val="false"/>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Coal trading</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14"/>
              </w:numPr>
              <w:rPr>
                <w:lang w:val="en-GB"/>
              </w:rPr>
            </w:pPr>
            <w:r>
              <w:rPr>
                <w:lang w:val="en-GB"/>
              </w:rPr>
              <w:t>No new developments.</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Enron Energy Services</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BodyText"/>
              <w:numPr>
                <w:ilvl w:val="0"/>
                <w:numId w:val="2"/>
              </w:numPr>
              <w:rPr>
                <w:lang w:val="en-GB"/>
              </w:rPr>
            </w:pPr>
            <w:r>
              <w:rPr>
                <w:lang w:val="en-GB"/>
              </w:rPr>
              <w:t>The Ministry of Defense (MoD) confirmed their interest to enter into a framework agreement with Enron on a concept of taking over their existing heating &amp; utilities facilities. Meeting with MoD to discuss a framework agreement concept is scheduled on March 30</w:t>
            </w:r>
            <w:r>
              <w:rPr>
                <w:vertAlign w:val="superscript"/>
                <w:lang w:val="en-GB"/>
              </w:rPr>
              <w:t>th</w:t>
            </w:r>
            <w:r>
              <w:rPr>
                <w:lang w:val="en-GB"/>
              </w:rPr>
              <w:t>. The issue has been discussed with EES this week. Awaiting final response from EES on March 29</w:t>
            </w:r>
            <w:r>
              <w:rPr>
                <w:vertAlign w:val="superscript"/>
                <w:lang w:val="en-GB"/>
              </w:rPr>
              <w:t>th</w:t>
            </w:r>
            <w:r>
              <w:rPr>
                <w:lang w:val="en-GB"/>
              </w:rPr>
              <w:t>.</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Flue-gas desulphurisation</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6"/>
              </w:numPr>
              <w:spacing w:lineRule="atLeast" w:line="240"/>
              <w:rPr>
                <w:color w:val="000000"/>
                <w:lang w:val="en-GB" w:eastAsia="en-US"/>
              </w:rPr>
            </w:pPr>
            <w:r>
              <w:rPr>
                <w:color w:val="000000"/>
                <w:lang w:val="en-GB" w:eastAsia="en-US"/>
              </w:rPr>
              <w:t>The draft of MOU with Costain/Skawina was presented to Legal Dept., first comments have been received back.</w:t>
            </w:r>
          </w:p>
          <w:p>
            <w:pPr>
              <w:pStyle w:val="Normal"/>
              <w:rPr>
                <w:color w:val="000000"/>
                <w:lang w:val="en-GB" w:eastAsia="en-US"/>
              </w:rPr>
            </w:pPr>
            <w:r>
              <w:rPr>
                <w:color w:val="000000"/>
                <w:lang w:val="en-GB" w:eastAsia="en-US"/>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Low Btu gas</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rPr>
                <w:lang w:val="en-GB"/>
              </w:rPr>
            </w:pPr>
            <w:r>
              <w:rPr>
                <w:lang w:val="en-GB"/>
              </w:rPr>
              <w:t>DISCONTINUED.</w:t>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Crude oil product</w:t>
            </w:r>
          </w:p>
          <w:p>
            <w:pPr>
              <w:pStyle w:val="Normal"/>
              <w:rPr>
                <w:lang w:val="en-GB"/>
              </w:rPr>
            </w:pPr>
            <w:r>
              <w:rPr>
                <w:lang w:val="en-GB"/>
              </w:rPr>
            </w:r>
          </w:p>
        </w:tc>
        <w:tc>
          <w:tcPr>
            <w:tcW w:w="5536" w:type="dxa"/>
            <w:tcBorders>
              <w:top w:val="single" w:sz="4" w:space="0" w:color="000000"/>
              <w:start w:val="single" w:sz="4" w:space="0" w:color="000000"/>
              <w:bottom w:val="single" w:sz="4" w:space="0" w:color="000000"/>
              <w:end w:val="double" w:sz="4" w:space="0" w:color="000000"/>
            </w:tcBorders>
          </w:tcPr>
          <w:p>
            <w:pPr>
              <w:pStyle w:val="Normal"/>
              <w:rPr>
                <w:lang w:val="en-GB"/>
              </w:rPr>
            </w:pPr>
            <w:r>
              <w:rPr>
                <w:lang w:val="en-GB"/>
              </w:rPr>
              <w:t>No new development</w:t>
            </w:r>
          </w:p>
          <w:p>
            <w:pPr>
              <w:pStyle w:val="Normal"/>
              <w:rPr>
                <w:lang w:val="en-GB"/>
              </w:rPr>
            </w:pPr>
            <w:r>
              <w:rPr>
                <w:lang w:val="en-GB"/>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lang w:val="en-GB"/>
              </w:rPr>
              <w:t xml:space="preserve">Lithuania – Poland </w:t>
            </w:r>
          </w:p>
          <w:p>
            <w:pPr>
              <w:pStyle w:val="Normal"/>
              <w:rPr>
                <w:lang w:val="en-GB"/>
              </w:rPr>
            </w:pPr>
            <w:r>
              <w:rPr>
                <w:lang w:val="en-GB"/>
              </w:rPr>
              <w:t>Power Interconnection</w:t>
            </w:r>
          </w:p>
        </w:tc>
        <w:tc>
          <w:tcPr>
            <w:tcW w:w="5536" w:type="dxa"/>
            <w:tcBorders>
              <w:top w:val="single" w:sz="4" w:space="0" w:color="000000"/>
              <w:start w:val="single" w:sz="4" w:space="0" w:color="000000"/>
              <w:bottom w:val="single" w:sz="4" w:space="0" w:color="000000"/>
              <w:end w:val="double" w:sz="4" w:space="0" w:color="000000"/>
            </w:tcBorders>
          </w:tcPr>
          <w:p>
            <w:pPr>
              <w:pStyle w:val="Normal"/>
              <w:spacing w:lineRule="atLeast" w:line="240"/>
              <w:rPr>
                <w:color w:val="000000"/>
                <w:lang w:val="en-US" w:eastAsia="en-US"/>
              </w:rPr>
            </w:pPr>
            <w:r>
              <w:rPr>
                <w:color w:val="000000"/>
                <w:lang w:val="en-US" w:eastAsia="en-US"/>
              </w:rPr>
              <w:t>LE has decided to open the deal up to tender again.  Enron will make a trip to Vilnius to follow up on past bid and consider whether it wants to continue pursuing this opportunity.</w:t>
            </w:r>
          </w:p>
          <w:p>
            <w:pPr>
              <w:pStyle w:val="Normal"/>
              <w:rPr>
                <w:color w:val="000000"/>
                <w:lang w:val="en-GB" w:eastAsia="en-US"/>
              </w:rPr>
            </w:pPr>
            <w:r>
              <w:rPr>
                <w:color w:val="000000"/>
                <w:lang w:val="en-GB" w:eastAsia="en-US"/>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rPr>
                <w:lang w:val="en-GB"/>
              </w:rPr>
            </w:pPr>
            <w:r>
              <w:rPr>
                <w:color w:val="000000"/>
                <w:lang w:val="en-GB" w:eastAsia="en-US"/>
              </w:rPr>
              <w:t xml:space="preserve">Technical and know-how support to MoT and PSE on the </w:t>
            </w:r>
            <w:r>
              <w:rPr>
                <w:color w:val="000000"/>
                <w:lang w:val="en-GB"/>
              </w:rPr>
              <w:t>development of the competitive electricity market in Poland – Project Ruby</w:t>
            </w:r>
            <w:r>
              <w:rPr>
                <w:color w:val="000000"/>
                <w:lang w:val="en-GB" w:eastAsia="en-US"/>
              </w:rPr>
              <w:t xml:space="preserve"> </w:t>
            </w:r>
          </w:p>
        </w:tc>
        <w:tc>
          <w:tcPr>
            <w:tcW w:w="5536" w:type="dxa"/>
            <w:tcBorders>
              <w:top w:val="single" w:sz="4" w:space="0" w:color="000000"/>
              <w:start w:val="single" w:sz="4" w:space="0" w:color="000000"/>
              <w:bottom w:val="single" w:sz="4" w:space="0" w:color="000000"/>
              <w:end w:val="double" w:sz="4" w:space="0" w:color="000000"/>
            </w:tcBorders>
          </w:tcPr>
          <w:p>
            <w:pPr>
              <w:pStyle w:val="Normal"/>
              <w:numPr>
                <w:ilvl w:val="0"/>
                <w:numId w:val="15"/>
              </w:numPr>
              <w:tabs>
                <w:tab w:val="clear" w:pos="720"/>
                <w:tab w:val="left" w:pos="360" w:leader="none"/>
              </w:tabs>
              <w:rPr>
                <w:lang w:val="en-GB"/>
              </w:rPr>
            </w:pPr>
            <w:r>
              <w:rPr>
                <w:lang w:val="en-GB"/>
              </w:rPr>
              <w:t>No new developments.</w:t>
            </w:r>
          </w:p>
        </w:tc>
      </w:tr>
      <w:tr>
        <w:trPr/>
        <w:tc>
          <w:tcPr>
            <w:tcW w:w="3708" w:type="dxa"/>
            <w:tcBorders>
              <w:top w:val="single" w:sz="4" w:space="0" w:color="000000"/>
              <w:start w:val="double" w:sz="4" w:space="0" w:color="000000"/>
              <w:bottom w:val="double" w:sz="4" w:space="0" w:color="000000"/>
              <w:end w:val="single" w:sz="4" w:space="0" w:color="000000"/>
            </w:tcBorders>
          </w:tcPr>
          <w:p>
            <w:pPr>
              <w:pStyle w:val="Normal"/>
              <w:rPr>
                <w:lang w:val="en-GB"/>
              </w:rPr>
            </w:pPr>
            <w:r>
              <w:rPr>
                <w:color w:val="000000"/>
                <w:lang w:val="en-GB" w:eastAsia="en-US"/>
              </w:rPr>
              <w:t>Administration</w:t>
            </w:r>
          </w:p>
          <w:p>
            <w:pPr>
              <w:pStyle w:val="Normal"/>
              <w:rPr>
                <w:lang w:val="en-GB"/>
              </w:rPr>
            </w:pPr>
            <w:r>
              <w:rPr>
                <w:lang w:val="en-GB"/>
              </w:rPr>
            </w:r>
          </w:p>
        </w:tc>
        <w:tc>
          <w:tcPr>
            <w:tcW w:w="5536" w:type="dxa"/>
            <w:tcBorders>
              <w:top w:val="single" w:sz="4" w:space="0" w:color="000000"/>
              <w:start w:val="single" w:sz="4" w:space="0" w:color="000000"/>
              <w:bottom w:val="double" w:sz="4" w:space="0" w:color="000000"/>
              <w:end w:val="double" w:sz="4" w:space="0" w:color="000000"/>
            </w:tcBorders>
          </w:tcPr>
          <w:p>
            <w:pPr>
              <w:pStyle w:val="Normal"/>
              <w:numPr>
                <w:ilvl w:val="0"/>
                <w:numId w:val="13"/>
              </w:numPr>
              <w:rPr>
                <w:lang w:val="en-GB"/>
              </w:rPr>
            </w:pPr>
            <w:r>
              <w:rPr>
                <w:lang w:val="en-GB"/>
              </w:rPr>
              <w:t>No new developments</w:t>
            </w:r>
          </w:p>
        </w:tc>
      </w:tr>
    </w:tbl>
    <w:p>
      <w:pPr>
        <w:pStyle w:val="Normal"/>
        <w:rPr>
          <w:lang w:val="en-GB"/>
        </w:rPr>
      </w:pPr>
      <w:r>
        <w:rPr>
          <w:lang w:val="en-GB"/>
        </w:rPr>
      </w:r>
    </w:p>
    <w:p>
      <w:pPr>
        <w:pStyle w:val="Normal"/>
        <w:rPr>
          <w:lang w:val="en-GB"/>
        </w:rPr>
      </w:pPr>
      <w:r>
        <w:rPr>
          <w:lang w:val="en-GB"/>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numFmt w:val="bullet"/>
      <w:lvlText w:val="-"/>
      <w:lvlJc w:val="start"/>
      <w:pPr>
        <w:tabs>
          <w:tab w:val="num" w:pos="360"/>
        </w:tabs>
        <w:ind w:start="360" w:hanging="360"/>
      </w:pPr>
      <w:rPr>
        <w:rFonts w:ascii="Liberation Serif" w:hAnsi="Liberation Serif" w:cs="Liberation Serif" w:hint="default"/>
      </w:rPr>
    </w:lvl>
  </w:abstractNum>
  <w:abstractNum w:abstractNumId="1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pl-PL"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lang w:val="en-U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40"/>
      <w:jc w:val="both"/>
    </w:pPr>
    <w:rPr>
      <w:color w:val="00000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1999-03-26T09:47:00Z</dcterms:created>
  <dc:creator>Inga Kozerska</dc:creator>
  <dc:description/>
  <dc:language>en-CA</dc:language>
  <cp:lastModifiedBy>KForycki</cp:lastModifiedBy>
  <dcterms:modified xsi:type="dcterms:W3CDTF">1999-03-30T05:11:00Z</dcterms:modified>
  <cp:revision>10</cp:revision>
  <dc:subject/>
  <dc:title>POLISH PROJECTS STATUS REPORT</dc:title>
</cp:coreProperties>
</file>