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rPr>
      </w:pPr>
      <w:r>
        <mc:AlternateContent>
          <mc:Choice Requires="wps">
            <w:drawing>
              <wp:anchor behindDoc="0" distT="0" distB="0" distL="114935" distR="114935" simplePos="0" locked="0" layoutInCell="1" allowOverlap="1" relativeHeight="2">
                <wp:simplePos x="0" y="0"/>
                <wp:positionH relativeFrom="column">
                  <wp:posOffset>228600</wp:posOffset>
                </wp:positionH>
                <wp:positionV relativeFrom="paragraph">
                  <wp:posOffset>-228600</wp:posOffset>
                </wp:positionV>
                <wp:extent cx="5143500" cy="914400"/>
                <wp:effectExtent l="14605" t="14605" r="14605" b="14605"/>
                <wp:wrapNone/>
                <wp:docPr id="1" name=""/>
                <a:graphic xmlns:a="http://schemas.openxmlformats.org/drawingml/2006/main">
                  <a:graphicData uri="http://schemas.microsoft.com/office/word/2010/wordprocessingShape">
                    <wps:wsp>
                      <wps:cNvSpPr/>
                      <wps:spPr>
                        <a:xfrm>
                          <a:off x="0" y="0"/>
                          <a:ext cx="5143680" cy="914400"/>
                        </a:xfrm>
                        <a:prstGeom prst="rect">
                          <a:avLst/>
                        </a:prstGeom>
                        <a:noFill/>
                        <a:ln w="284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pt;margin-top:-18pt;width:404.95pt;height:71.95pt;mso-wrap-style:none;v-text-anchor:middle">
                <v:fill o:detectmouseclick="t" on="false"/>
                <v:stroke color="black" weight="28440" joinstyle="miter" endcap="flat"/>
                <w10:wrap type="none"/>
              </v:rect>
            </w:pict>
          </mc:Fallback>
        </mc:AlternateContent>
      </w:r>
      <w:r>
        <w:rPr>
          <w:b/>
          <w:bCs/>
          <w:sz w:val="32"/>
        </w:rPr>
        <w:t>Government &amp; Regulatory Affairs Team Meeting</w:t>
      </w:r>
    </w:p>
    <w:p>
      <w:pPr>
        <w:pStyle w:val="Normal"/>
        <w:jc w:val="center"/>
        <w:rPr>
          <w:b/>
          <w:bCs/>
          <w:sz w:val="32"/>
        </w:rPr>
      </w:pPr>
      <w:r>
        <w:rPr>
          <w:b/>
          <w:bCs/>
          <w:sz w:val="32"/>
        </w:rPr>
        <w:t>Monday 17 September 2001</w:t>
      </w:r>
    </w:p>
    <w:p>
      <w:pPr>
        <w:pStyle w:val="Normal"/>
        <w:rPr/>
      </w:pPr>
      <w:r>
        <w:rPr/>
      </w:r>
    </w:p>
    <w:p>
      <w:pPr>
        <w:pStyle w:val="Normal"/>
        <w:rPr/>
      </w:pPr>
      <w:r>
        <w:rPr/>
      </w:r>
    </w:p>
    <w:p>
      <w:pPr>
        <w:pStyle w:val="Normal"/>
        <w:rPr/>
      </w:pPr>
      <w:r>
        <w:rPr/>
      </w:r>
    </w:p>
    <w:p>
      <w:pPr>
        <w:pStyle w:val="Heading1"/>
        <w:ind w:hanging="0" w:start="0"/>
        <w:jc w:val="both"/>
        <w:rPr>
          <w:b/>
          <w:bCs/>
          <w:sz w:val="32"/>
          <w:u w:val="none"/>
        </w:rPr>
      </w:pPr>
      <w:r>
        <w:rPr>
          <w:b/>
          <w:bCs/>
          <w:sz w:val="32"/>
        </w:rPr>
        <w:t>UK</w:t>
      </w:r>
    </w:p>
    <w:p>
      <w:pPr>
        <w:pStyle w:val="Normal"/>
        <w:jc w:val="both"/>
        <w:rPr>
          <w:b/>
          <w:bCs/>
          <w:sz w:val="32"/>
          <w:u w:val="none"/>
        </w:rPr>
      </w:pPr>
      <w:r>
        <w:rPr>
          <w:b/>
          <w:bCs/>
          <w:sz w:val="32"/>
          <w:u w:val="none"/>
        </w:rPr>
      </w:r>
    </w:p>
    <w:p>
      <w:pPr>
        <w:pStyle w:val="Normal"/>
        <w:numPr>
          <w:ilvl w:val="0"/>
          <w:numId w:val="6"/>
        </w:numPr>
        <w:jc w:val="both"/>
        <w:rPr>
          <w:sz w:val="28"/>
        </w:rPr>
      </w:pPr>
      <w:r>
        <w:rPr>
          <w:b/>
          <w:bCs/>
          <w:sz w:val="28"/>
        </w:rPr>
        <w:t>Paul Dawson</w:t>
      </w:r>
    </w:p>
    <w:p>
      <w:pPr>
        <w:pStyle w:val="Normal"/>
        <w:jc w:val="both"/>
        <w:rPr>
          <w:sz w:val="28"/>
        </w:rPr>
      </w:pPr>
      <w:r>
        <w:rPr>
          <w:sz w:val="28"/>
        </w:rPr>
      </w:r>
    </w:p>
    <w:p>
      <w:pPr>
        <w:pStyle w:val="Normal"/>
        <w:numPr>
          <w:ilvl w:val="0"/>
          <w:numId w:val="6"/>
        </w:numPr>
        <w:jc w:val="both"/>
        <w:rPr>
          <w:sz w:val="28"/>
        </w:rPr>
      </w:pPr>
      <w:r>
        <w:rPr>
          <w:b/>
          <w:bCs/>
          <w:sz w:val="28"/>
        </w:rPr>
        <w:t>Nick Elms</w:t>
      </w:r>
    </w:p>
    <w:p>
      <w:pPr>
        <w:pStyle w:val="Normal"/>
        <w:jc w:val="both"/>
        <w:rPr>
          <w:sz w:val="28"/>
        </w:rPr>
      </w:pPr>
      <w:r>
        <w:rPr>
          <w:sz w:val="28"/>
        </w:rPr>
      </w:r>
    </w:p>
    <w:p>
      <w:pPr>
        <w:pStyle w:val="Normal"/>
        <w:numPr>
          <w:ilvl w:val="0"/>
          <w:numId w:val="4"/>
        </w:numPr>
        <w:jc w:val="both"/>
        <w:rPr/>
      </w:pPr>
      <w:r>
        <w:rPr/>
        <w:t>CUSC problem at Wilton (ETOL).  CUSC, which is meant to be a change in governance not a change to charges, would have resulted in Wilton paying an extra £1.5m in TNUOS charges.  NGC agreed to charge Wilton as per before CUSC.</w:t>
      </w:r>
    </w:p>
    <w:p>
      <w:pPr>
        <w:pStyle w:val="Normal"/>
        <w:numPr>
          <w:ilvl w:val="0"/>
          <w:numId w:val="4"/>
        </w:numPr>
        <w:jc w:val="both"/>
        <w:rPr/>
      </w:pPr>
      <w:r>
        <w:rPr/>
        <w:t>P37: Retrospective correction of notification errors.  LE is trying to claw back a £7.5m notification error.  EEL will support in an attempt to get back several hundred thousand.</w:t>
      </w:r>
    </w:p>
    <w:p>
      <w:pPr>
        <w:pStyle w:val="Normal"/>
        <w:numPr>
          <w:ilvl w:val="0"/>
          <w:numId w:val="4"/>
        </w:numPr>
        <w:jc w:val="both"/>
        <w:rPr/>
      </w:pPr>
      <w:r>
        <w:rPr/>
        <w:t>Awaiting Ofgem’s BRL decision.  This will have a big impact on imbalance prices.</w:t>
      </w:r>
    </w:p>
    <w:p>
      <w:pPr>
        <w:pStyle w:val="Normal"/>
        <w:numPr>
          <w:ilvl w:val="0"/>
          <w:numId w:val="4"/>
        </w:numPr>
        <w:jc w:val="both"/>
        <w:rPr/>
      </w:pPr>
      <w:r>
        <w:rPr/>
        <w:t>Awaiting Secretary of State decision whether to implement CUSC tomorrow.</w:t>
      </w:r>
    </w:p>
    <w:p>
      <w:pPr>
        <w:pStyle w:val="Normal"/>
        <w:numPr>
          <w:ilvl w:val="0"/>
          <w:numId w:val="4"/>
        </w:numPr>
        <w:jc w:val="both"/>
        <w:rPr/>
      </w:pPr>
      <w:r>
        <w:rPr/>
        <w:t>OFT approves Innogy’s purchase of NE gas and electricity supply businesses.</w:t>
      </w:r>
    </w:p>
    <w:p>
      <w:pPr>
        <w:pStyle w:val="Normal"/>
        <w:ind w:firstLine="360" w:end="0"/>
        <w:jc w:val="both"/>
        <w:rPr/>
      </w:pPr>
      <w:r>
        <w:rPr/>
        <w:t xml:space="preserve">6. </w:t>
        <w:tab/>
        <w:t>MALC statutory consultation.  Responses due early Oct.</w:t>
      </w:r>
    </w:p>
    <w:p>
      <w:pPr>
        <w:pStyle w:val="Normal"/>
        <w:jc w:val="both"/>
        <w:rPr>
          <w:b/>
          <w:bCs/>
          <w:sz w:val="28"/>
        </w:rPr>
      </w:pPr>
      <w:r>
        <w:rPr>
          <w:b/>
          <w:bCs/>
          <w:sz w:val="28"/>
        </w:rPr>
      </w:r>
    </w:p>
    <w:p>
      <w:pPr>
        <w:pStyle w:val="Normal"/>
        <w:numPr>
          <w:ilvl w:val="0"/>
          <w:numId w:val="7"/>
        </w:numPr>
        <w:jc w:val="both"/>
        <w:rPr>
          <w:sz w:val="28"/>
        </w:rPr>
      </w:pPr>
      <w:r>
        <w:rPr>
          <w:b/>
          <w:bCs/>
          <w:sz w:val="28"/>
        </w:rPr>
        <w:t>Mustafa Hussain</w:t>
      </w:r>
    </w:p>
    <w:p>
      <w:pPr>
        <w:pStyle w:val="Normal"/>
        <w:jc w:val="both"/>
        <w:rPr>
          <w:b/>
          <w:bCs/>
          <w:sz w:val="28"/>
        </w:rPr>
      </w:pPr>
      <w:r>
        <w:rPr>
          <w:b/>
          <w:bCs/>
          <w:sz w:val="28"/>
        </w:rPr>
      </w:r>
    </w:p>
    <w:p>
      <w:pPr>
        <w:pStyle w:val="Normal"/>
        <w:numPr>
          <w:ilvl w:val="1"/>
          <w:numId w:val="2"/>
        </w:numPr>
        <w:rPr/>
      </w:pPr>
      <w:r>
        <w:rPr/>
        <w:t>Attended DTI briefing and open session on Renewable Obligation Certificate (ROC) scheme</w:t>
      </w:r>
    </w:p>
    <w:p>
      <w:pPr>
        <w:pStyle w:val="Normal"/>
        <w:numPr>
          <w:ilvl w:val="1"/>
          <w:numId w:val="2"/>
        </w:numPr>
        <w:rPr/>
      </w:pPr>
      <w:r>
        <w:rPr/>
        <w:t>Attended Association of Electricity Producers (AEP) on ROC scheme</w:t>
      </w:r>
    </w:p>
    <w:p>
      <w:pPr>
        <w:pStyle w:val="Normal"/>
        <w:numPr>
          <w:ilvl w:val="1"/>
          <w:numId w:val="2"/>
        </w:numPr>
        <w:rPr/>
      </w:pPr>
      <w:r>
        <w:rPr/>
        <w:t xml:space="preserve">Preparation of Government Briefing </w:t>
      </w:r>
    </w:p>
    <w:p>
      <w:pPr>
        <w:pStyle w:val="Normal"/>
        <w:numPr>
          <w:ilvl w:val="1"/>
          <w:numId w:val="2"/>
        </w:numPr>
        <w:rPr/>
      </w:pPr>
      <w:r>
        <w:rPr/>
        <w:t>Preparation of response to ROC scheme to Ofgem and DTI</w:t>
      </w:r>
    </w:p>
    <w:p>
      <w:pPr>
        <w:pStyle w:val="Normal"/>
        <w:numPr>
          <w:ilvl w:val="1"/>
          <w:numId w:val="2"/>
        </w:numPr>
        <w:rPr/>
      </w:pPr>
      <w:r>
        <w:rPr/>
        <w:t>Preparation of formal response to Performance and Innovation Unit (PIU) on Energy review</w:t>
      </w:r>
    </w:p>
    <w:p>
      <w:pPr>
        <w:pStyle w:val="Normal"/>
        <w:jc w:val="both"/>
        <w:rPr/>
      </w:pPr>
      <w:r>
        <w:rPr/>
      </w:r>
    </w:p>
    <w:p>
      <w:pPr>
        <w:pStyle w:val="Normal"/>
        <w:numPr>
          <w:ilvl w:val="0"/>
          <w:numId w:val="7"/>
        </w:numPr>
        <w:jc w:val="both"/>
        <w:rPr>
          <w:b/>
          <w:bCs/>
          <w:sz w:val="28"/>
        </w:rPr>
      </w:pPr>
      <w:r>
        <w:rPr>
          <w:b/>
          <w:bCs/>
          <w:sz w:val="28"/>
        </w:rPr>
        <w:t>Adam Cooper</w:t>
      </w:r>
    </w:p>
    <w:p>
      <w:pPr>
        <w:pStyle w:val="Normal"/>
        <w:jc w:val="both"/>
        <w:rPr>
          <w:b/>
          <w:bCs/>
          <w:sz w:val="28"/>
        </w:rPr>
      </w:pPr>
      <w:r>
        <w:rPr>
          <w:b/>
          <w:bCs/>
          <w:sz w:val="28"/>
        </w:rPr>
      </w:r>
    </w:p>
    <w:p>
      <w:pPr>
        <w:pStyle w:val="Normal"/>
        <w:ind w:start="360" w:end="0"/>
        <w:jc w:val="both"/>
        <w:rPr/>
      </w:pPr>
      <w:r>
        <w:rPr/>
        <w:t>Developing response to Ofgem consultation on system operator incentives.  The incentives seem to be going in the correct direction, and include an upside skew for investment.  The key issues are scope and duration, and how well the various incentives knit with the forthcoming outputs measures (out late September).  An Ofgem seminar is being held on 20/9.</w:t>
      </w:r>
    </w:p>
    <w:p>
      <w:pPr>
        <w:pStyle w:val="Normal"/>
        <w:jc w:val="both"/>
        <w:rPr/>
      </w:pPr>
      <w:r>
        <w:rPr/>
      </w:r>
    </w:p>
    <w:p>
      <w:pPr>
        <w:pStyle w:val="Normal"/>
        <w:ind w:start="360" w:end="0"/>
        <w:jc w:val="both"/>
        <w:rPr/>
      </w:pPr>
      <w:r>
        <w:rPr/>
        <w:t>Work is continuing in industry workstream meetings on the design of long-term auctions.  The discussion to date has been poor, mostly because it has occurred around the recent monthly auctions.</w:t>
      </w:r>
    </w:p>
    <w:p>
      <w:pPr>
        <w:pStyle w:val="Normal"/>
        <w:jc w:val="both"/>
        <w:rPr/>
      </w:pPr>
      <w:r>
        <w:rPr/>
      </w:r>
    </w:p>
    <w:p>
      <w:pPr>
        <w:pStyle w:val="Normal"/>
        <w:ind w:start="360" w:end="0"/>
        <w:jc w:val="both"/>
        <w:rPr/>
      </w:pPr>
      <w:r>
        <w:rPr/>
        <w:t>The DTI held a workshop with UKOOA last week on information from offshore producers.  UKOOA were quite negative on the benefits of better information flows, but the DTI seem keen to progress this issue.  This provides an opportunity to write again to the DTI outlining the benefits of better information flows.</w:t>
      </w:r>
    </w:p>
    <w:p>
      <w:pPr>
        <w:pStyle w:val="Normal"/>
        <w:pBdr>
          <w:bottom w:val="single" w:sz="12" w:space="1" w:color="000000"/>
        </w:pBdr>
        <w:jc w:val="both"/>
        <w:rPr/>
      </w:pPr>
      <w:r>
        <w:rPr/>
      </w:r>
    </w:p>
    <w:p>
      <w:pPr>
        <w:pStyle w:val="Normal"/>
        <w:jc w:val="both"/>
        <w:rPr/>
      </w:pPr>
      <w:r>
        <w:rPr/>
      </w:r>
    </w:p>
    <w:p>
      <w:pPr>
        <w:pStyle w:val="Heading2"/>
        <w:ind w:hanging="0" w:start="0"/>
        <w:jc w:val="both"/>
        <w:rPr>
          <w:sz w:val="32"/>
        </w:rPr>
      </w:pPr>
      <w:r>
        <w:rPr>
          <w:sz w:val="32"/>
        </w:rPr>
        <w:t>Continental Gas, Power &amp; EU</w:t>
      </w:r>
    </w:p>
    <w:p>
      <w:pPr>
        <w:pStyle w:val="Normal"/>
        <w:jc w:val="both"/>
        <w:rPr>
          <w:sz w:val="32"/>
        </w:rPr>
      </w:pPr>
      <w:r>
        <w:rPr>
          <w:sz w:val="32"/>
        </w:rPr>
      </w:r>
    </w:p>
    <w:p>
      <w:pPr>
        <w:pStyle w:val="Normal"/>
        <w:numPr>
          <w:ilvl w:val="0"/>
          <w:numId w:val="8"/>
        </w:numPr>
        <w:jc w:val="both"/>
        <w:rPr>
          <w:sz w:val="28"/>
        </w:rPr>
      </w:pPr>
      <w:r>
        <w:rPr>
          <w:b/>
          <w:bCs/>
          <w:sz w:val="28"/>
        </w:rPr>
        <w:t>Doug Wood</w:t>
      </w:r>
    </w:p>
    <w:p>
      <w:pPr>
        <w:pStyle w:val="Normal"/>
        <w:ind w:start="360" w:end="0"/>
        <w:jc w:val="both"/>
        <w:rPr>
          <w:sz w:val="28"/>
        </w:rPr>
      </w:pPr>
      <w:r>
        <w:rPr>
          <w:sz w:val="28"/>
        </w:rPr>
      </w:r>
    </w:p>
    <w:p>
      <w:pPr>
        <w:pStyle w:val="Normal"/>
        <w:autoSpaceDE w:val="false"/>
        <w:ind w:firstLine="360" w:end="0"/>
        <w:jc w:val="both"/>
        <w:rPr>
          <w:b/>
          <w:bCs/>
          <w:color w:val="000000"/>
          <w:szCs w:val="20"/>
          <w:lang w:val="en-US"/>
        </w:rPr>
      </w:pPr>
      <w:r>
        <w:rPr>
          <w:b/>
          <w:bCs/>
          <w:color w:val="000000"/>
          <w:szCs w:val="20"/>
          <w:lang w:val="en-US"/>
        </w:rPr>
        <w:t xml:space="preserve">Cont Gas : </w:t>
      </w:r>
    </w:p>
    <w:p>
      <w:pPr>
        <w:pStyle w:val="Normal"/>
        <w:numPr>
          <w:ilvl w:val="0"/>
          <w:numId w:val="8"/>
        </w:numPr>
        <w:autoSpaceDE w:val="false"/>
        <w:jc w:val="both"/>
        <w:rPr>
          <w:color w:val="000000"/>
          <w:szCs w:val="20"/>
          <w:lang w:val="en-US"/>
        </w:rPr>
      </w:pPr>
      <w:r>
        <w:rPr>
          <w:color w:val="000000"/>
          <w:szCs w:val="20"/>
          <w:lang w:val="en-US"/>
        </w:rPr>
        <w:t>Considering access case in Franpipe (NorFra) gas line and entry at Dunkirk</w:t>
      </w:r>
    </w:p>
    <w:p>
      <w:pPr>
        <w:pStyle w:val="Normal"/>
        <w:numPr>
          <w:ilvl w:val="0"/>
          <w:numId w:val="8"/>
        </w:numPr>
        <w:autoSpaceDE w:val="false"/>
        <w:jc w:val="both"/>
        <w:rPr>
          <w:color w:val="000000"/>
          <w:szCs w:val="20"/>
          <w:lang w:val="en-US"/>
        </w:rPr>
      </w:pPr>
      <w:r>
        <w:rPr>
          <w:color w:val="000000"/>
          <w:szCs w:val="20"/>
          <w:lang w:val="en-US"/>
        </w:rPr>
        <w:t>Meeting with Middlemas on 18 Sept to discuss results of work carried out on German political intelligence</w:t>
      </w:r>
    </w:p>
    <w:p>
      <w:pPr>
        <w:pStyle w:val="Normal"/>
        <w:numPr>
          <w:ilvl w:val="0"/>
          <w:numId w:val="8"/>
        </w:numPr>
        <w:autoSpaceDE w:val="false"/>
        <w:jc w:val="both"/>
        <w:rPr>
          <w:color w:val="000000"/>
          <w:szCs w:val="20"/>
          <w:lang w:val="en-US"/>
        </w:rPr>
      </w:pPr>
      <w:r>
        <w:rPr>
          <w:color w:val="000000"/>
          <w:szCs w:val="20"/>
          <w:lang w:val="en-US"/>
        </w:rPr>
        <w:t>Meeting with Harper/Dautel/et al on 20 Sept to progress Swift European Gas Model</w:t>
      </w:r>
    </w:p>
    <w:p>
      <w:pPr>
        <w:pStyle w:val="Normal"/>
        <w:numPr>
          <w:ilvl w:val="0"/>
          <w:numId w:val="8"/>
        </w:numPr>
        <w:autoSpaceDE w:val="false"/>
        <w:jc w:val="both"/>
        <w:rPr>
          <w:color w:val="000000"/>
          <w:szCs w:val="20"/>
          <w:lang w:val="en-US"/>
        </w:rPr>
      </w:pPr>
      <w:r>
        <w:rPr>
          <w:color w:val="000000"/>
          <w:szCs w:val="20"/>
          <w:lang w:val="en-US"/>
        </w:rPr>
        <w:t>Comments on French storage / balancing</w:t>
      </w:r>
    </w:p>
    <w:p>
      <w:pPr>
        <w:pStyle w:val="Normal"/>
        <w:numPr>
          <w:ilvl w:val="0"/>
          <w:numId w:val="8"/>
        </w:numPr>
        <w:autoSpaceDE w:val="false"/>
        <w:jc w:val="both"/>
        <w:rPr>
          <w:color w:val="000000"/>
          <w:szCs w:val="20"/>
          <w:lang w:val="en-US"/>
        </w:rPr>
      </w:pPr>
      <w:r>
        <w:rPr>
          <w:color w:val="000000"/>
          <w:szCs w:val="20"/>
          <w:lang w:val="en-US"/>
        </w:rPr>
        <w:t>CEPS presentation 4/5 Oct</w:t>
      </w:r>
    </w:p>
    <w:p>
      <w:pPr>
        <w:pStyle w:val="Normal"/>
        <w:numPr>
          <w:ilvl w:val="0"/>
          <w:numId w:val="8"/>
        </w:numPr>
        <w:autoSpaceDE w:val="false"/>
        <w:jc w:val="both"/>
        <w:rPr>
          <w:color w:val="000000"/>
          <w:szCs w:val="20"/>
          <w:lang w:val="en-US"/>
        </w:rPr>
      </w:pPr>
      <w:r>
        <w:rPr>
          <w:color w:val="000000"/>
          <w:szCs w:val="20"/>
          <w:lang w:val="en-US"/>
        </w:rPr>
        <w:t>Austria gas workshop 9 Oct</w:t>
      </w:r>
    </w:p>
    <w:p>
      <w:pPr>
        <w:pStyle w:val="Normal"/>
        <w:autoSpaceDE w:val="false"/>
        <w:jc w:val="both"/>
        <w:rPr>
          <w:color w:val="000000"/>
          <w:szCs w:val="20"/>
          <w:lang w:val="en-US"/>
        </w:rPr>
      </w:pPr>
      <w:r>
        <w:rPr>
          <w:color w:val="000000"/>
          <w:szCs w:val="20"/>
          <w:lang w:val="en-US"/>
        </w:rPr>
      </w:r>
    </w:p>
    <w:p>
      <w:pPr>
        <w:pStyle w:val="Heading5"/>
        <w:ind w:firstLine="360" w:start="0" w:end="0"/>
        <w:rPr/>
      </w:pPr>
      <w:r>
        <w:rPr/>
        <w:t>Greece</w:t>
      </w:r>
    </w:p>
    <w:p>
      <w:pPr>
        <w:pStyle w:val="Normal"/>
        <w:numPr>
          <w:ilvl w:val="0"/>
          <w:numId w:val="5"/>
        </w:numPr>
        <w:autoSpaceDE w:val="false"/>
        <w:jc w:val="both"/>
        <w:rPr>
          <w:color w:val="000000"/>
          <w:szCs w:val="20"/>
          <w:lang w:val="en-US"/>
        </w:rPr>
      </w:pPr>
      <w:r>
        <w:rPr>
          <w:color w:val="000000"/>
          <w:szCs w:val="20"/>
          <w:lang w:val="en-US"/>
        </w:rPr>
        <w:t>Electricity supply licence under active consideration ; now rumours of problems with Cinergy's application</w:t>
      </w:r>
    </w:p>
    <w:p>
      <w:pPr>
        <w:pStyle w:val="Normal"/>
        <w:numPr>
          <w:ilvl w:val="0"/>
          <w:numId w:val="5"/>
        </w:numPr>
        <w:autoSpaceDE w:val="false"/>
        <w:jc w:val="both"/>
        <w:rPr>
          <w:color w:val="000000"/>
          <w:szCs w:val="20"/>
          <w:lang w:val="en-US"/>
        </w:rPr>
      </w:pPr>
      <w:r>
        <w:rPr>
          <w:color w:val="000000"/>
          <w:szCs w:val="20"/>
          <w:lang w:val="en-US"/>
        </w:rPr>
        <w:t>Invited by RAE to present views on capacity allocation at Interconnectors</w:t>
      </w:r>
    </w:p>
    <w:p>
      <w:pPr>
        <w:pStyle w:val="Normal"/>
        <w:numPr>
          <w:ilvl w:val="0"/>
          <w:numId w:val="5"/>
        </w:numPr>
        <w:autoSpaceDE w:val="false"/>
        <w:jc w:val="both"/>
        <w:rPr>
          <w:color w:val="000000"/>
          <w:szCs w:val="20"/>
          <w:lang w:val="en-US"/>
        </w:rPr>
      </w:pPr>
      <w:r>
        <w:rPr>
          <w:color w:val="000000"/>
          <w:szCs w:val="20"/>
          <w:lang w:val="en-US"/>
        </w:rPr>
        <w:t>Ensure consistency with Italy response</w:t>
      </w:r>
    </w:p>
    <w:p>
      <w:pPr>
        <w:pStyle w:val="Normal"/>
        <w:autoSpaceDE w:val="false"/>
        <w:jc w:val="both"/>
        <w:rPr>
          <w:color w:val="000000"/>
          <w:szCs w:val="20"/>
          <w:lang w:val="en-US"/>
        </w:rPr>
      </w:pPr>
      <w:r>
        <w:rPr>
          <w:color w:val="000000"/>
          <w:szCs w:val="20"/>
          <w:lang w:val="en-US"/>
        </w:rPr>
      </w:r>
    </w:p>
    <w:p>
      <w:pPr>
        <w:pStyle w:val="Heading5"/>
        <w:ind w:firstLine="360" w:start="0" w:end="0"/>
        <w:rPr/>
      </w:pPr>
      <w:r>
        <w:rPr/>
        <w:t>Slovenia</w:t>
      </w:r>
    </w:p>
    <w:p>
      <w:pPr>
        <w:pStyle w:val="Normal"/>
        <w:numPr>
          <w:ilvl w:val="0"/>
          <w:numId w:val="9"/>
        </w:numPr>
        <w:autoSpaceDE w:val="false"/>
        <w:jc w:val="both"/>
        <w:rPr>
          <w:color w:val="000000"/>
          <w:szCs w:val="20"/>
          <w:lang w:val="en-US"/>
        </w:rPr>
      </w:pPr>
      <w:r>
        <w:rPr>
          <w:color w:val="000000"/>
          <w:szCs w:val="20"/>
          <w:lang w:val="en-US"/>
        </w:rPr>
        <w:t>Obtained details of tender for import capacity ; outlined concerns to Ministry and Regulatory Authority.  (They will award interconnector capacity to the parties who have registered customer contracts at the lowest prices.  In practice all capacity will go on the basis of aluminium plant Talum.  Other issues on lack of transparency, but at least it's not just incumbent Eles tendering to import power.)</w:t>
      </w:r>
    </w:p>
    <w:p>
      <w:pPr>
        <w:pStyle w:val="Normal"/>
        <w:autoSpaceDE w:val="false"/>
        <w:jc w:val="both"/>
        <w:rPr>
          <w:color w:val="000000"/>
          <w:szCs w:val="20"/>
          <w:lang w:val="en-US"/>
        </w:rPr>
      </w:pPr>
      <w:r>
        <w:rPr>
          <w:color w:val="000000"/>
          <w:szCs w:val="20"/>
          <w:lang w:val="en-US"/>
        </w:rPr>
      </w:r>
    </w:p>
    <w:p>
      <w:pPr>
        <w:pStyle w:val="Heading5"/>
        <w:ind w:firstLine="360" w:start="0" w:end="0"/>
        <w:rPr/>
      </w:pPr>
      <w:r>
        <w:rPr/>
        <w:t>Poland</w:t>
      </w:r>
    </w:p>
    <w:p>
      <w:pPr>
        <w:pStyle w:val="Normal"/>
        <w:numPr>
          <w:ilvl w:val="0"/>
          <w:numId w:val="9"/>
        </w:numPr>
        <w:autoSpaceDE w:val="false"/>
        <w:jc w:val="both"/>
        <w:rPr>
          <w:color w:val="000000"/>
          <w:szCs w:val="20"/>
          <w:lang w:val="en-US"/>
        </w:rPr>
      </w:pPr>
      <w:r>
        <w:rPr>
          <w:color w:val="000000"/>
          <w:szCs w:val="20"/>
          <w:lang w:val="en-US"/>
        </w:rPr>
        <w:t>Background info on startup of index on basis of reported trades.  (Only index currently available is PPX which accounts for 1% of market compared to OTC deals which account for 29%.  ESGM-type reported index should be less prone to volatility caused by lack of depth in market.)</w:t>
      </w:r>
    </w:p>
    <w:p>
      <w:pPr>
        <w:pStyle w:val="Normal"/>
        <w:jc w:val="both"/>
        <w:rPr>
          <w:color w:val="000000"/>
          <w:szCs w:val="20"/>
          <w:lang w:val="en-US"/>
        </w:rPr>
      </w:pPr>
      <w:r>
        <w:rPr>
          <w:color w:val="000000"/>
          <w:szCs w:val="20"/>
          <w:lang w:val="en-US"/>
        </w:rPr>
      </w:r>
    </w:p>
    <w:p>
      <w:pPr>
        <w:pStyle w:val="Normal"/>
        <w:numPr>
          <w:ilvl w:val="0"/>
          <w:numId w:val="9"/>
        </w:numPr>
        <w:jc w:val="both"/>
        <w:rPr>
          <w:sz w:val="28"/>
        </w:rPr>
      </w:pPr>
      <w:r>
        <w:rPr>
          <w:b/>
          <w:bCs/>
          <w:sz w:val="28"/>
        </w:rPr>
        <w:t>Paul Hennemeyer</w:t>
      </w:r>
    </w:p>
    <w:p>
      <w:pPr>
        <w:pStyle w:val="Normal"/>
        <w:jc w:val="both"/>
        <w:rPr>
          <w:b/>
          <w:bCs/>
          <w:sz w:val="28"/>
        </w:rPr>
      </w:pPr>
      <w:r>
        <w:rPr>
          <w:b/>
          <w:bCs/>
          <w:sz w:val="28"/>
        </w:rPr>
      </w:r>
    </w:p>
    <w:p>
      <w:pPr>
        <w:pStyle w:val="Normal"/>
        <w:numPr>
          <w:ilvl w:val="0"/>
          <w:numId w:val="9"/>
        </w:numPr>
        <w:jc w:val="both"/>
        <w:rPr>
          <w:b/>
          <w:bCs/>
          <w:sz w:val="28"/>
        </w:rPr>
      </w:pPr>
      <w:r>
        <w:rPr>
          <w:b/>
          <w:bCs/>
          <w:sz w:val="28"/>
        </w:rPr>
        <w:t>Jan Haizmann + EBS</w:t>
      </w:r>
    </w:p>
    <w:p>
      <w:pPr>
        <w:pStyle w:val="Normal"/>
        <w:jc w:val="both"/>
        <w:rPr>
          <w:b/>
          <w:bCs/>
          <w:sz w:val="28"/>
        </w:rPr>
      </w:pPr>
      <w:r>
        <w:rPr>
          <w:b/>
          <w:bCs/>
          <w:sz w:val="28"/>
        </w:rPr>
      </w:r>
    </w:p>
    <w:p>
      <w:pPr>
        <w:pStyle w:val="Normal"/>
        <w:jc w:val="both"/>
        <w:rPr/>
      </w:pPr>
      <w:r>
        <w:rPr/>
      </w:r>
    </w:p>
    <w:p>
      <w:pPr>
        <w:pStyle w:val="Normal"/>
        <w:jc w:val="both"/>
        <w:rPr/>
      </w:pPr>
      <w:r>
        <w:rPr/>
      </w:r>
    </w:p>
    <w:p>
      <w:pPr>
        <w:pStyle w:val="Normal"/>
        <w:numPr>
          <w:ilvl w:val="0"/>
          <w:numId w:val="9"/>
        </w:numPr>
        <w:jc w:val="both"/>
        <w:rPr>
          <w:b/>
          <w:bCs/>
          <w:sz w:val="28"/>
        </w:rPr>
      </w:pPr>
      <w:r>
        <w:rPr>
          <w:b/>
          <w:bCs/>
          <w:sz w:val="28"/>
        </w:rPr>
        <w:t>Peter Styles</w:t>
      </w:r>
    </w:p>
    <w:p>
      <w:pPr>
        <w:pStyle w:val="Normal"/>
        <w:jc w:val="both"/>
        <w:rPr>
          <w:b/>
          <w:bCs/>
          <w:sz w:val="28"/>
        </w:rPr>
      </w:pPr>
      <w:r>
        <w:rPr>
          <w:b/>
          <w:bCs/>
          <w:sz w:val="28"/>
        </w:rPr>
      </w:r>
    </w:p>
    <w:p>
      <w:pPr>
        <w:pStyle w:val="Heading5"/>
        <w:ind w:firstLine="360" w:start="0" w:end="0"/>
        <w:rPr/>
      </w:pPr>
      <w:r>
        <w:rPr/>
        <w:t>EU Power</w:t>
      </w:r>
    </w:p>
    <w:p>
      <w:pPr>
        <w:pStyle w:val="Normal"/>
        <w:ind w:start="360" w:end="0"/>
        <w:jc w:val="both"/>
        <w:rPr/>
      </w:pPr>
      <w:r>
        <w:rPr/>
        <w:t>On September 5 the European Commission published a notice on Viking Cable in the Official Journal. The notice is overall rather discouraging. The areas of main concern are potential approval of a tie-up of the cable for 25 years between the two incumbents (E.On and Stadtkraft) and a very ambiguous definition of the relevant markets and the impact of the agreement on those. Intersted parties are invited to comment within one month after the publication of the notice (ie by October 5). We are planning to submit our comments and have already started the preparation of submission with our economic (the Brattle Group) and legal counsel (Linklaters).</w:t>
      </w:r>
    </w:p>
    <w:p>
      <w:pPr>
        <w:pStyle w:val="Normal"/>
        <w:jc w:val="both"/>
        <w:rPr>
          <w:b/>
          <w:bCs/>
          <w:sz w:val="28"/>
        </w:rPr>
      </w:pPr>
      <w:r>
        <w:rPr>
          <w:b/>
          <w:bCs/>
          <w:sz w:val="28"/>
        </w:rPr>
      </w:r>
    </w:p>
    <w:p>
      <w:pPr>
        <w:pStyle w:val="Normal"/>
        <w:ind w:start="360" w:end="0"/>
        <w:jc w:val="both"/>
        <w:rPr/>
      </w:pPr>
      <w:r>
        <w:rPr/>
        <w:t>On September 10 ETSO (European Transmission System Operators) presented to the European Commission (Dominique Ristori and Christopher Jones) their new proposal for the interim scheme for tariffication of cross-border power flows. The new compromise foresees the inter-TSO fund still fixed at 200 million euros and the recuperation of payments into this fund partially (around 50%) through charges on declared exports and partially through charges on “net flows” (i.e. imports or exports depending on the country). According to Eurelelectric, the Commission has given a fairly warm welcome to this new compromise.</w:t>
      </w:r>
    </w:p>
    <w:p>
      <w:pPr>
        <w:pStyle w:val="Normal"/>
        <w:jc w:val="both"/>
        <w:rPr>
          <w:b/>
          <w:bCs/>
          <w:sz w:val="28"/>
        </w:rPr>
      </w:pPr>
      <w:r>
        <w:rPr>
          <w:b/>
          <w:bCs/>
          <w:sz w:val="28"/>
        </w:rPr>
      </w:r>
    </w:p>
    <w:p>
      <w:pPr>
        <w:pStyle w:val="Normal"/>
        <w:numPr>
          <w:ilvl w:val="0"/>
          <w:numId w:val="3"/>
        </w:numPr>
        <w:jc w:val="both"/>
        <w:rPr>
          <w:b/>
          <w:bCs/>
          <w:sz w:val="28"/>
        </w:rPr>
      </w:pPr>
      <w:r>
        <w:rPr>
          <w:b/>
          <w:bCs/>
          <w:sz w:val="28"/>
        </w:rPr>
        <w:t>Nailia Dindarova</w:t>
      </w:r>
    </w:p>
    <w:p>
      <w:pPr>
        <w:pStyle w:val="Normal"/>
        <w:jc w:val="both"/>
        <w:rPr>
          <w:b/>
          <w:bCs/>
          <w:sz w:val="28"/>
        </w:rPr>
      </w:pPr>
      <w:r>
        <w:rPr>
          <w:b/>
          <w:bCs/>
          <w:sz w:val="28"/>
        </w:rPr>
      </w:r>
    </w:p>
    <w:p>
      <w:pPr>
        <w:pStyle w:val="Heading6"/>
        <w:ind w:firstLine="360" w:start="0" w:end="0"/>
        <w:rPr>
          <w:b/>
          <w:bCs/>
          <w:sz w:val="24"/>
          <w:u w:val="none"/>
        </w:rPr>
      </w:pPr>
      <w:r>
        <w:rPr>
          <w:b/>
          <w:bCs/>
          <w:sz w:val="24"/>
          <w:u w:val="none"/>
        </w:rPr>
        <w:t>EU Power / Renewables</w:t>
      </w:r>
    </w:p>
    <w:p>
      <w:pPr>
        <w:pStyle w:val="Normal"/>
        <w:ind w:start="360" w:end="0"/>
        <w:jc w:val="both"/>
        <w:rPr>
          <w:b/>
          <w:bCs/>
          <w:sz w:val="28"/>
        </w:rPr>
      </w:pPr>
      <w:r>
        <w:rPr/>
        <w:t>The EU Renewables Directive has now been formally adopted after the Council of Ministers gave its formal consent on September 7. It should be published in the Official Journal in a few weeks time.</w:t>
      </w:r>
    </w:p>
    <w:p>
      <w:pPr>
        <w:pStyle w:val="Normal"/>
        <w:jc w:val="both"/>
        <w:rPr>
          <w:b/>
          <w:bCs/>
          <w:sz w:val="28"/>
        </w:rPr>
      </w:pPr>
      <w:r>
        <w:rPr>
          <w:b/>
          <w:bCs/>
          <w:sz w:val="28"/>
        </w:rPr>
      </w:r>
    </w:p>
    <w:p>
      <w:pPr>
        <w:pStyle w:val="BodyText"/>
        <w:ind w:start="360" w:end="0"/>
        <w:rPr/>
      </w:pPr>
      <w:r>
        <w:rPr/>
        <w:t>Worked on the response to the Italian Energy Authority for the allocation of import capacity for the year 2002.</w:t>
      </w:r>
    </w:p>
    <w:p>
      <w:pPr>
        <w:pStyle w:val="Normal"/>
        <w:jc w:val="both"/>
        <w:rPr/>
      </w:pPr>
      <w:r>
        <w:rPr/>
      </w:r>
    </w:p>
    <w:p>
      <w:pPr>
        <w:pStyle w:val="Normal"/>
        <w:ind w:start="360" w:end="0"/>
        <w:jc w:val="both"/>
        <w:rPr>
          <w:b/>
          <w:bCs/>
          <w:sz w:val="28"/>
        </w:rPr>
      </w:pPr>
      <w:r>
        <w:rPr/>
        <w:t>Drafting a response for EFET to the Commission’s questionnaire on “European Energy Infrastructure Initiative.”</w:t>
      </w:r>
    </w:p>
    <w:p>
      <w:pPr>
        <w:pStyle w:val="Normal"/>
        <w:jc w:val="both"/>
        <w:rPr>
          <w:b/>
          <w:bCs/>
          <w:sz w:val="28"/>
        </w:rPr>
      </w:pPr>
      <w:r>
        <w:rPr>
          <w:b/>
          <w:bCs/>
          <w:sz w:val="28"/>
        </w:rPr>
      </w:r>
    </w:p>
    <w:p>
      <w:pPr>
        <w:pStyle w:val="Normal"/>
        <w:ind w:firstLine="360" w:end="0"/>
        <w:jc w:val="both"/>
        <w:rPr>
          <w:sz w:val="28"/>
        </w:rPr>
      </w:pPr>
      <w:r>
        <w:rPr>
          <w:b/>
          <w:bCs/>
          <w:sz w:val="28"/>
        </w:rPr>
        <w:t>Alfredo Huertas:</w:t>
      </w:r>
    </w:p>
    <w:p>
      <w:pPr>
        <w:pStyle w:val="Normal"/>
        <w:jc w:val="both"/>
        <w:rPr>
          <w:sz w:val="28"/>
        </w:rPr>
      </w:pPr>
      <w:r>
        <w:rPr>
          <w:sz w:val="28"/>
        </w:rPr>
      </w:r>
    </w:p>
    <w:p>
      <w:pPr>
        <w:pStyle w:val="Heading1"/>
        <w:ind w:firstLine="360" w:start="0" w:end="0"/>
        <w:rPr>
          <w:b/>
          <w:bCs/>
          <w:u w:val="none"/>
        </w:rPr>
      </w:pPr>
      <w:r>
        <w:rPr>
          <w:b/>
          <w:bCs/>
          <w:u w:val="none"/>
        </w:rPr>
        <w:t>Power</w:t>
      </w:r>
    </w:p>
    <w:p>
      <w:pPr>
        <w:pStyle w:val="Normal"/>
        <w:ind w:start="360" w:end="0"/>
        <w:rPr/>
      </w:pPr>
      <w:r>
        <w:rPr/>
        <w:t>On September 13 we submitted our comments to the consultation paper on transitory regime for despatch and balancing rules (pending the launch of pool). In our submission we mianly argued for: weekly or daily submission of balanced shcules and for the possibility to have different counterparties every week in the balanced weekly schedules. This would allow wholesalers to optimise their supplies.</w:t>
      </w:r>
    </w:p>
    <w:p>
      <w:pPr>
        <w:pStyle w:val="Normal"/>
        <w:rPr/>
      </w:pPr>
      <w:r>
        <w:rPr/>
      </w:r>
    </w:p>
    <w:p>
      <w:pPr>
        <w:pStyle w:val="Heading1"/>
        <w:ind w:firstLine="360" w:start="0" w:end="0"/>
        <w:rPr>
          <w:b/>
          <w:bCs/>
          <w:u w:val="none"/>
        </w:rPr>
      </w:pPr>
      <w:r>
        <w:rPr>
          <w:b/>
          <w:bCs/>
          <w:u w:val="none"/>
        </w:rPr>
        <w:t>Gas</w:t>
      </w:r>
    </w:p>
    <w:p>
      <w:pPr>
        <w:pStyle w:val="Normal"/>
        <w:ind w:start="360" w:end="0"/>
        <w:jc w:val="both"/>
        <w:rPr/>
      </w:pPr>
      <w:r>
        <w:rPr/>
        <w:t>On September 13 we submitted our formal complaint to the Anti-trust Authority in Blugas case. This is a follow up agreed at the meeting in Rome in August and is intended to formalise our complaint in the case. Our main contention in the submission is the abuse of dominant position by SNAM group (through SNAM Networks and SNAM Commercial). In particular, we argued that SNAM failed to: provide transparent conditions of access to the system, to motivate their refusal of access to Enron, to provide alternative solutions in the event of genuine lack of capacity, to inform the regulator of the problem, to manage the system in an efficient way. In addition, we argued that SNAM Commercial has been hoarding capacity to prevent a customer from switching to an alternative supplier and did not release gas to the market in a fair and transparent way thus failing to adequately implement new gas law provisions.</w:t>
      </w:r>
    </w:p>
    <w:p>
      <w:pPr>
        <w:pStyle w:val="Normal"/>
        <w:jc w:val="both"/>
        <w:rPr/>
      </w:pPr>
      <w:r>
        <w:rPr/>
      </w:r>
    </w:p>
    <w:p>
      <w:pPr>
        <w:pStyle w:val="Normal"/>
        <w:numPr>
          <w:ilvl w:val="0"/>
          <w:numId w:val="3"/>
        </w:numPr>
        <w:jc w:val="both"/>
        <w:rPr>
          <w:sz w:val="28"/>
        </w:rPr>
      </w:pPr>
      <w:r>
        <w:rPr>
          <w:b/>
          <w:bCs/>
          <w:sz w:val="28"/>
        </w:rPr>
        <w:t>David Gonzalez</w:t>
      </w:r>
    </w:p>
    <w:p>
      <w:pPr>
        <w:pStyle w:val="Normal"/>
        <w:jc w:val="both"/>
        <w:rPr>
          <w:b/>
          <w:bCs/>
          <w:sz w:val="28"/>
        </w:rPr>
      </w:pPr>
      <w:r>
        <w:rPr>
          <w:b/>
          <w:bCs/>
          <w:sz w:val="28"/>
        </w:rPr>
      </w:r>
    </w:p>
    <w:p>
      <w:pPr>
        <w:pStyle w:val="Normal"/>
        <w:numPr>
          <w:ilvl w:val="0"/>
          <w:numId w:val="3"/>
        </w:numPr>
        <w:jc w:val="both"/>
        <w:rPr>
          <w:b/>
          <w:bCs/>
          <w:sz w:val="28"/>
        </w:rPr>
      </w:pPr>
      <w:r>
        <w:rPr>
          <w:b/>
          <w:bCs/>
          <w:sz w:val="28"/>
        </w:rPr>
        <w:t>Bruno Gaillard</w:t>
      </w:r>
    </w:p>
    <w:p>
      <w:pPr>
        <w:pStyle w:val="Normal"/>
        <w:jc w:val="both"/>
        <w:rPr>
          <w:b/>
          <w:bCs/>
          <w:sz w:val="28"/>
        </w:rPr>
      </w:pPr>
      <w:r>
        <w:rPr>
          <w:b/>
          <w:bCs/>
          <w:sz w:val="28"/>
        </w:rPr>
      </w:r>
    </w:p>
    <w:p>
      <w:pPr>
        <w:pStyle w:val="Heading2"/>
        <w:ind w:firstLine="360" w:start="0" w:end="0"/>
        <w:jc w:val="both"/>
        <w:rPr>
          <w:u w:val="none"/>
        </w:rPr>
      </w:pPr>
      <w:r>
        <w:rPr>
          <w:u w:val="none"/>
        </w:rPr>
        <w:t>France Electric</w:t>
      </w:r>
    </w:p>
    <w:p>
      <w:pPr>
        <w:pStyle w:val="Normal"/>
        <w:ind w:firstLine="360" w:end="0"/>
        <w:jc w:val="both"/>
        <w:rPr>
          <w:u w:val="single"/>
        </w:rPr>
      </w:pPr>
      <w:r>
        <w:rPr>
          <w:u w:val="single"/>
        </w:rPr>
        <w:t>VPP</w:t>
      </w:r>
    </w:p>
    <w:p>
      <w:pPr>
        <w:pStyle w:val="Normal"/>
        <w:ind w:start="360" w:end="0"/>
        <w:jc w:val="both"/>
        <w:rPr/>
      </w:pPr>
      <w:r>
        <w:rPr/>
        <w:t>1</w:t>
      </w:r>
      <w:r>
        <w:rPr>
          <w:vertAlign w:val="superscript"/>
        </w:rPr>
        <w:t>st</w:t>
      </w:r>
      <w:r>
        <w:rPr/>
        <w:t xml:space="preserve"> phase of the auction was completed (45 participants – 42 granted capacity). We have not acquired as much capacity as desired (</w:t>
      </w:r>
      <w:r>
        <w:rPr>
          <w:szCs w:val="20"/>
          <w:lang w:val="en-US"/>
        </w:rPr>
        <w:t>25MW of Nov-Dec 01 base, 10MW Nov-Dec 01 peak, and 15MW of PPA product [winter months 2002] out of 800 MW base load, 200 MW peak -- 2 mo through 3 years products, and 190 MW PPA).</w:t>
      </w:r>
    </w:p>
    <w:p>
      <w:pPr>
        <w:pStyle w:val="Normal"/>
        <w:ind w:start="360" w:end="0"/>
        <w:jc w:val="both"/>
        <w:rPr>
          <w:szCs w:val="20"/>
          <w:lang w:val="en-US"/>
        </w:rPr>
      </w:pPr>
      <w:r>
        <w:rPr>
          <w:szCs w:val="20"/>
          <w:lang w:val="en-US"/>
        </w:rPr>
        <w:t>Next step is to push via the EC and CRE for 1. accelerated release of remaining capacity (3,200 MW base load, 800 MW peak, and 810 MW PPA), 2. increased nomination flexibility 3. address remaining contractual issues.</w:t>
      </w:r>
    </w:p>
    <w:p>
      <w:pPr>
        <w:pStyle w:val="Normal"/>
        <w:jc w:val="both"/>
        <w:rPr>
          <w:szCs w:val="20"/>
          <w:lang w:val="en-US"/>
        </w:rPr>
      </w:pPr>
      <w:r>
        <w:rPr>
          <w:szCs w:val="20"/>
          <w:lang w:val="en-US"/>
        </w:rPr>
      </w:r>
    </w:p>
    <w:p>
      <w:pPr>
        <w:pStyle w:val="Normal"/>
        <w:ind w:firstLine="360" w:end="0"/>
        <w:jc w:val="both"/>
        <w:rPr>
          <w:szCs w:val="20"/>
          <w:u w:val="single"/>
          <w:lang w:val="en-US"/>
        </w:rPr>
      </w:pPr>
      <w:r>
        <w:rPr>
          <w:szCs w:val="20"/>
          <w:u w:val="single"/>
          <w:lang w:val="en-US"/>
        </w:rPr>
        <w:t xml:space="preserve">Balancing Market  </w:t>
      </w:r>
    </w:p>
    <w:p>
      <w:pPr>
        <w:pStyle w:val="Normal"/>
        <w:ind w:start="360" w:end="0"/>
        <w:jc w:val="both"/>
        <w:rPr>
          <w:szCs w:val="20"/>
          <w:lang w:val="en-US"/>
        </w:rPr>
      </w:pPr>
      <w:r>
        <w:rPr>
          <w:szCs w:val="20"/>
          <w:lang w:val="en-US"/>
        </w:rPr>
        <w:t xml:space="preserve">RTE working group on 13/9. BM not likely to start on 1/1/02 but is scheduled to start beginning of 2002. </w:t>
      </w:r>
    </w:p>
    <w:p>
      <w:pPr>
        <w:pStyle w:val="Normal"/>
        <w:ind w:start="360" w:end="0"/>
        <w:jc w:val="both"/>
        <w:rPr>
          <w:lang w:val="en-US"/>
        </w:rPr>
      </w:pPr>
      <w:r>
        <w:rPr>
          <w:lang w:val="en-US"/>
        </w:rPr>
        <w:t>Remaining issues: 1. Not enough information published: 2. 3-month test period will likely only involve EDF. Next meeting 10/23</w:t>
      </w:r>
    </w:p>
    <w:p>
      <w:pPr>
        <w:pStyle w:val="Normal"/>
        <w:jc w:val="both"/>
        <w:rPr/>
      </w:pPr>
      <w:r>
        <w:rPr/>
      </w:r>
    </w:p>
    <w:p>
      <w:pPr>
        <w:pStyle w:val="Normal"/>
        <w:numPr>
          <w:ilvl w:val="0"/>
          <w:numId w:val="10"/>
        </w:numPr>
        <w:jc w:val="both"/>
        <w:rPr>
          <w:b/>
          <w:bCs/>
          <w:sz w:val="28"/>
        </w:rPr>
      </w:pPr>
      <w:r>
        <w:rPr>
          <w:b/>
          <w:bCs/>
          <w:sz w:val="28"/>
        </w:rPr>
        <w:t>Antoine Duvauchelle</w:t>
      </w:r>
    </w:p>
    <w:p>
      <w:pPr>
        <w:pStyle w:val="Normal"/>
        <w:jc w:val="both"/>
        <w:rPr>
          <w:b/>
          <w:bCs/>
          <w:sz w:val="28"/>
        </w:rPr>
      </w:pPr>
      <w:r>
        <w:rPr>
          <w:b/>
          <w:bCs/>
          <w:sz w:val="28"/>
        </w:rPr>
      </w:r>
    </w:p>
    <w:p>
      <w:pPr>
        <w:pStyle w:val="Normal"/>
        <w:numPr>
          <w:ilvl w:val="0"/>
          <w:numId w:val="10"/>
        </w:numPr>
        <w:jc w:val="both"/>
        <w:rPr>
          <w:b/>
          <w:bCs/>
          <w:sz w:val="28"/>
        </w:rPr>
      </w:pPr>
      <w:r>
        <w:rPr>
          <w:b/>
          <w:bCs/>
          <w:sz w:val="28"/>
        </w:rPr>
        <w:t>Teun Van Biert</w:t>
      </w:r>
    </w:p>
    <w:p>
      <w:pPr>
        <w:pStyle w:val="Normal"/>
        <w:jc w:val="both"/>
        <w:rPr>
          <w:b/>
          <w:bCs/>
          <w:sz w:val="28"/>
        </w:rPr>
      </w:pPr>
      <w:r>
        <w:rPr>
          <w:b/>
          <w:bCs/>
          <w:sz w:val="28"/>
        </w:rPr>
      </w:r>
    </w:p>
    <w:p>
      <w:pPr>
        <w:pStyle w:val="Normal"/>
        <w:jc w:val="both"/>
        <w:rPr>
          <w:b/>
          <w:bCs/>
          <w:sz w:val="32"/>
          <w:u w:val="single"/>
        </w:rPr>
      </w:pPr>
      <w:r>
        <w:rPr>
          <w:b/>
          <w:bCs/>
          <w:sz w:val="32"/>
          <w:u w:val="single"/>
        </w:rPr>
      </w:r>
    </w:p>
    <w:p>
      <w:pPr>
        <w:pStyle w:val="Normal"/>
        <w:tabs>
          <w:tab w:val="clear" w:pos="720"/>
          <w:tab w:val="left" w:pos="964" w:leader="none"/>
        </w:tabs>
        <w:jc w:val="both"/>
        <w:rPr>
          <w:b/>
          <w:bCs/>
          <w:sz w:val="32"/>
          <w:u w:val="single"/>
        </w:rPr>
      </w:pPr>
      <w:r>
        <w:rPr>
          <w:b/>
          <w:bCs/>
          <w:sz w:val="32"/>
          <w:u w:val="single"/>
        </w:rPr>
      </w:r>
    </w:p>
    <w:sectPr>
      <w:footerReference w:type="default" r:id="rId2"/>
      <w:type w:val="nextPage"/>
      <w:pgSz w:w="12240" w:h="15840"/>
      <w:pgMar w:left="1728" w:right="1728" w:gutter="0" w:header="0" w:top="1440" w:footer="720" w:bottom="1440"/>
      <w:pgBorders w:display="allPages" w:offsetFrom="page">
        <w:top w:val="double" w:sz="4" w:space="24" w:color="339966"/>
        <w:left w:val="double" w:sz="4" w:space="24" w:color="339966"/>
        <w:bottom w:val="double" w:sz="4" w:space="24" w:color="339966"/>
        <w:right w:val="double" w:sz="4" w:space="24" w:color="339966"/>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i/>
        <w:iCs/>
        <w:sz w:val="18"/>
      </w:rPr>
      <w:t xml:space="preserve">Page </w:t>
    </w:r>
    <w:r>
      <w:rPr>
        <w:rStyle w:val="PageNumber"/>
        <w:i/>
        <w:iCs/>
        <w:sz w:val="18"/>
      </w:rPr>
      <w:fldChar w:fldCharType="begin"/>
    </w:r>
    <w:r>
      <w:rPr>
        <w:rStyle w:val="PageNumber"/>
        <w:sz w:val="18"/>
        <w:i/>
        <w:iCs/>
      </w:rPr>
      <w:instrText xml:space="preserve"> PAGE </w:instrText>
    </w:r>
    <w:r>
      <w:rPr>
        <w:rStyle w:val="PageNumber"/>
        <w:sz w:val="18"/>
        <w:i/>
        <w:iCs/>
      </w:rPr>
      <w:fldChar w:fldCharType="separate"/>
    </w:r>
    <w:r>
      <w:rPr>
        <w:rStyle w:val="PageNumber"/>
        <w:sz w:val="18"/>
        <w:i/>
        <w:iCs/>
      </w:rPr>
      <w:t>4</w:t>
    </w:r>
    <w:r>
      <w:rPr>
        <w:rStyle w:val="PageNumber"/>
        <w:sz w:val="18"/>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sz w:val="28"/>
      <w:u w:val="single"/>
    </w:rPr>
  </w:style>
  <w:style w:type="paragraph" w:styleId="Heading4">
    <w:name w:val="heading 4"/>
    <w:basedOn w:val="Normal"/>
    <w:next w:val="Normal"/>
    <w:qFormat/>
    <w:pPr>
      <w:keepNext w:val="true"/>
      <w:numPr>
        <w:ilvl w:val="3"/>
        <w:numId w:val="1"/>
      </w:numPr>
      <w:outlineLvl w:val="3"/>
    </w:pPr>
    <w:rPr>
      <w:b/>
      <w:bCs/>
      <w:sz w:val="32"/>
      <w:u w:val="single"/>
    </w:rPr>
  </w:style>
  <w:style w:type="paragraph" w:styleId="Heading5">
    <w:name w:val="heading 5"/>
    <w:basedOn w:val="Normal"/>
    <w:next w:val="Normal"/>
    <w:qFormat/>
    <w:pPr>
      <w:keepNext w:val="true"/>
      <w:numPr>
        <w:ilvl w:val="4"/>
        <w:numId w:val="1"/>
      </w:numPr>
      <w:autoSpaceDE w:val="false"/>
      <w:jc w:val="both"/>
      <w:outlineLvl w:val="4"/>
    </w:pPr>
    <w:rPr>
      <w:b/>
      <w:bCs/>
      <w:color w:val="000000"/>
      <w:szCs w:val="20"/>
      <w:lang w:val="en-US"/>
    </w:rPr>
  </w:style>
  <w:style w:type="paragraph" w:styleId="Heading6">
    <w:name w:val="heading 6"/>
    <w:basedOn w:val="Normal"/>
    <w:next w:val="Normal"/>
    <w:qFormat/>
    <w:pPr>
      <w:keepNext w:val="true"/>
      <w:numPr>
        <w:ilvl w:val="5"/>
        <w:numId w:val="1"/>
      </w:numPr>
      <w:outlineLvl w:val="5"/>
    </w:pPr>
    <w:rPr>
      <w:sz w:val="28"/>
      <w:u w:val="singl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St10z0">
    <w:name w:val="WW8NumSt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360" w:end="0"/>
    </w:pPr>
    <w:rPr>
      <w:color w:val="000000"/>
      <w:szCs w:val="20"/>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2001-09-17T06:13:00Z</dcterms:created>
  <dc:creator>kirwin</dc:creator>
  <dc:description/>
  <dc:language>en-CA</dc:language>
  <cp:lastModifiedBy>akeenan</cp:lastModifiedBy>
  <cp:lastPrinted>2001-09-17T13:38:00Z</cp:lastPrinted>
  <dcterms:modified xsi:type="dcterms:W3CDTF">2001-09-17T10:08:00Z</dcterms:modified>
  <cp:revision>15</cp:revision>
  <dc:subject/>
  <dc:title>Government &amp; Regulatory Affairs Team Mtg</dc:title>
</cp:coreProperties>
</file>