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3"/>
        <w:ind w:hanging="0" w:start="0"/>
        <w:rPr>
          <w:rFonts w:ascii="Times New Roman" w:hAnsi="Times New Roman" w:cs="Times New Roman"/>
          <w:b/>
          <w:bCs/>
          <w:color w:val="0000FF"/>
          <w:sz w:val="32"/>
        </w:rPr>
      </w:pPr>
      <w:r>
        <w:rPr>
          <w:rFonts w:cs="Times New Roman" w:ascii="Times New Roman" w:hAnsi="Times New Roman"/>
          <w:b/>
          <w:bCs/>
          <w:color w:val="0000FF"/>
          <w:sz w:val="32"/>
        </w:rPr>
        <w:t>ETS Planning Weekly Report</w:t>
      </w:r>
    </w:p>
    <w:p>
      <w:pPr>
        <w:pStyle w:val="Heading6"/>
        <w:ind w:hanging="0" w:start="0"/>
        <w:rPr>
          <w:sz w:val="32"/>
        </w:rPr>
      </w:pPr>
      <w:r>
        <w:rPr>
          <w:sz w:val="32"/>
        </w:rPr>
        <w:t>Week Ending August 31, 2001</w:t>
      </w:r>
    </w:p>
    <w:p>
      <w:pPr>
        <w:pStyle w:val="Heading2"/>
        <w:spacing w:lineRule="atLeast" w:line="240"/>
        <w:ind w:hanging="0" w:start="0"/>
        <w:rPr>
          <w:b/>
          <w:bCs/>
          <w:color w:val="FF0000"/>
          <w:sz w:val="32"/>
          <w:szCs w:val="20"/>
        </w:rPr>
      </w:pPr>
      <w:r>
        <w:rPr>
          <w:b/>
          <w:bCs/>
          <w:color w:val="FF0000"/>
          <w:sz w:val="32"/>
          <w:szCs w:val="20"/>
        </w:rPr>
      </w:r>
    </w:p>
    <w:p>
      <w:pPr>
        <w:pStyle w:val="Normal"/>
        <w:autoSpaceDE w:val="false"/>
        <w:rPr>
          <w:b/>
          <w:bCs/>
          <w:color w:val="0000FF"/>
          <w:sz w:val="28"/>
        </w:rPr>
      </w:pPr>
      <w:r>
        <w:rPr>
          <w:b/>
          <w:bCs/>
          <w:color w:val="0000FF"/>
          <w:sz w:val="28"/>
        </w:rPr>
        <w:t>Omaha Planning Team</w:t>
      </w:r>
    </w:p>
    <w:p>
      <w:pPr>
        <w:pStyle w:val="BodyText"/>
        <w:rPr>
          <w:b/>
          <w:bCs/>
          <w:color w:val="0000FF"/>
          <w:sz w:val="28"/>
          <w:u w:val="single"/>
        </w:rPr>
      </w:pPr>
      <w:r>
        <w:rPr>
          <w:b/>
          <w:bCs/>
          <w:color w:val="0000FF"/>
          <w:sz w:val="28"/>
          <w:u w:val="single"/>
        </w:rPr>
        <w:t>Northern Natural Gas, Northern Border Pipe Line &amp; Midwestern Gas Transmission</w:t>
      </w:r>
    </w:p>
    <w:p>
      <w:pPr>
        <w:pStyle w:val="Normal"/>
        <w:rPr>
          <w:b/>
          <w:bCs/>
          <w:color w:val="0000FF"/>
          <w:sz w:val="28"/>
          <w:u w:val="single"/>
        </w:rPr>
      </w:pPr>
      <w:r>
        <w:rPr>
          <w:b/>
          <w:bCs/>
          <w:color w:val="0000FF"/>
          <w:sz w:val="28"/>
          <w:u w:val="single"/>
        </w:rPr>
      </w:r>
    </w:p>
    <w:p>
      <w:pPr>
        <w:pStyle w:val="Heading2"/>
        <w:spacing w:lineRule="atLeast" w:line="240"/>
        <w:ind w:hanging="0" w:start="0"/>
        <w:rPr/>
      </w:pPr>
      <w:r>
        <w:rPr>
          <w:b/>
          <w:bCs/>
          <w:szCs w:val="20"/>
          <w:u w:val="none"/>
        </w:rPr>
        <w:t>**</w:t>
      </w:r>
      <w:r>
        <w:rPr>
          <w:b/>
          <w:bCs/>
          <w:color w:val="000000"/>
          <w:szCs w:val="20"/>
          <w:u w:val="none"/>
        </w:rPr>
        <w:t>NNG Project Max (Case 1):</w:t>
      </w:r>
    </w:p>
    <w:p>
      <w:pPr>
        <w:pStyle w:val="Normal"/>
        <w:rPr>
          <w:color w:val="000000"/>
          <w:szCs w:val="20"/>
        </w:rPr>
      </w:pPr>
      <w:r>
        <w:rPr>
          <w:color w:val="000000"/>
          <w:szCs w:val="20"/>
        </w:rPr>
        <w:t>Sean Bolks presented some initial statistical models of portions of the NNG market area, specifically areas affected by Carlton Resolution.  This is to see if it would be possible to statistically prove there is more capacity than currently modeled.  We provided feedback on fine-tuning his independent variables and Sean will be incorporating that information into his analysis.</w:t>
      </w:r>
    </w:p>
    <w:p>
      <w:pPr>
        <w:pStyle w:val="Normal"/>
        <w:rPr>
          <w:color w:val="000000"/>
          <w:szCs w:val="20"/>
        </w:rPr>
      </w:pPr>
      <w:r>
        <w:rPr>
          <w:color w:val="000000"/>
          <w:szCs w:val="20"/>
        </w:rPr>
      </w:r>
    </w:p>
    <w:p>
      <w:pPr>
        <w:pStyle w:val="Normal"/>
        <w:rPr>
          <w:color w:val="000000"/>
          <w:szCs w:val="20"/>
        </w:rPr>
      </w:pPr>
      <w:r>
        <w:rPr/>
        <w:t>We completed the mainline model with the requested receipts at Demarc and TBPL.  The selection of these receipts requires 10 miles of 30" loop on the D discharge of Clifton, additional 6000 horsepower of compression at Beatrice on the TBPL and D Suction service and new midpoint 13,000 horsepower station between Palmyra and Oakland.  We are completing the cost estimate for these additions at this time.</w:t>
      </w:r>
    </w:p>
    <w:p>
      <w:pPr>
        <w:pStyle w:val="Normal"/>
        <w:rPr>
          <w:b/>
          <w:bCs/>
          <w:color w:val="000000"/>
          <w:szCs w:val="20"/>
        </w:rPr>
      </w:pPr>
      <w:r>
        <w:rPr>
          <w:b/>
          <w:bCs/>
          <w:color w:val="000000"/>
          <w:szCs w:val="20"/>
        </w:rPr>
      </w:r>
    </w:p>
    <w:p>
      <w:pPr>
        <w:pStyle w:val="Normal"/>
        <w:rPr>
          <w:b/>
          <w:bCs/>
          <w:color w:val="000000"/>
          <w:szCs w:val="20"/>
        </w:rPr>
      </w:pPr>
      <w:r>
        <w:rPr>
          <w:b/>
          <w:bCs/>
          <w:color w:val="000000"/>
          <w:szCs w:val="20"/>
        </w:rPr>
        <w:t>NBPL WBI - Grasslands Pipeline Interconnect:</w:t>
      </w:r>
    </w:p>
    <w:p>
      <w:pPr>
        <w:pStyle w:val="Normal"/>
        <w:rPr>
          <w:color w:val="000000"/>
          <w:szCs w:val="20"/>
        </w:rPr>
      </w:pPr>
      <w:r>
        <w:rPr>
          <w:color w:val="000000"/>
          <w:szCs w:val="20"/>
        </w:rPr>
        <w:t xml:space="preserve">Provided a cost estimate to Marketing for a bi-directional interconnect with Williston Basin on the suction side of CS05. </w:t>
      </w:r>
    </w:p>
    <w:p>
      <w:pPr>
        <w:pStyle w:val="Normal"/>
        <w:rPr>
          <w:color w:val="000000"/>
          <w:szCs w:val="20"/>
        </w:rPr>
      </w:pPr>
      <w:r>
        <w:rPr>
          <w:color w:val="000000"/>
          <w:szCs w:val="20"/>
        </w:rPr>
      </w:r>
    </w:p>
    <w:p>
      <w:pPr>
        <w:pStyle w:val="Normal"/>
        <w:rPr>
          <w:b/>
          <w:bCs/>
          <w:color w:val="000000"/>
          <w:szCs w:val="20"/>
        </w:rPr>
      </w:pPr>
      <w:r>
        <w:rPr>
          <w:b/>
          <w:bCs/>
          <w:color w:val="000000"/>
          <w:szCs w:val="20"/>
        </w:rPr>
        <w:t>PHD Warehouse Requirements Definition:</w:t>
      </w:r>
    </w:p>
    <w:p>
      <w:pPr>
        <w:pStyle w:val="Normal"/>
        <w:rPr>
          <w:color w:val="000000"/>
          <w:szCs w:val="20"/>
        </w:rPr>
      </w:pPr>
      <w:r>
        <w:rPr>
          <w:color w:val="000000"/>
          <w:szCs w:val="20"/>
        </w:rPr>
        <w:t xml:space="preserve">Planning will be participating in a task force reviewing the PHD system and the new GIS system in order to come up with a vision for how the systems can best be developed and used.   Received some pre-reading materials and a questionnaire to be filled out prior to the meeting.  </w:t>
      </w:r>
    </w:p>
    <w:p>
      <w:pPr>
        <w:pStyle w:val="Normal"/>
        <w:rPr>
          <w:b/>
          <w:bCs/>
          <w:color w:val="000000"/>
          <w:szCs w:val="20"/>
        </w:rPr>
      </w:pPr>
      <w:r>
        <w:rPr>
          <w:b/>
          <w:bCs/>
          <w:color w:val="000000"/>
          <w:szCs w:val="20"/>
        </w:rPr>
      </w:r>
    </w:p>
    <w:p>
      <w:pPr>
        <w:pStyle w:val="Normal"/>
        <w:rPr>
          <w:color w:val="000000"/>
          <w:szCs w:val="20"/>
        </w:rPr>
      </w:pPr>
      <w:r>
        <w:rPr>
          <w:szCs w:val="20"/>
        </w:rPr>
        <w:t>**</w:t>
      </w:r>
      <w:r>
        <w:rPr>
          <w:b/>
          <w:bCs/>
          <w:color w:val="000000"/>
          <w:szCs w:val="20"/>
        </w:rPr>
        <w:t>MidAmerican Power - Pleasant Hill Generation:</w:t>
      </w:r>
    </w:p>
    <w:p>
      <w:pPr>
        <w:pStyle w:val="Normal"/>
        <w:rPr>
          <w:color w:val="000000"/>
          <w:szCs w:val="20"/>
        </w:rPr>
      </w:pPr>
      <w:r>
        <w:rPr>
          <w:color w:val="000000"/>
          <w:szCs w:val="20"/>
        </w:rPr>
        <w:t>Conducted route selection review with MidAmerican engineers.  A favorable review is apparent on the Western pipeline route option.  Dedicated focus was on meeting design questions in a timely fashion on the lateral from both EAMR engineers and MidAmerican engineers.  Working with MidAmerican engineers on the site TBS design and options to reduce capital cost requirements on the lateral.</w:t>
      </w:r>
    </w:p>
    <w:p>
      <w:pPr>
        <w:pStyle w:val="Normal"/>
        <w:rPr>
          <w:b/>
          <w:bCs/>
          <w:color w:val="000000"/>
          <w:szCs w:val="20"/>
        </w:rPr>
      </w:pPr>
      <w:r>
        <w:rPr>
          <w:b/>
          <w:bCs/>
          <w:color w:val="000000"/>
          <w:szCs w:val="20"/>
        </w:rPr>
      </w:r>
    </w:p>
    <w:p>
      <w:pPr>
        <w:pStyle w:val="Heading4"/>
        <w:keepNext w:val="true"/>
        <w:ind w:hanging="0" w:start="0"/>
        <w:rPr>
          <w:rFonts w:ascii="Times New Roman" w:hAnsi="Times New Roman" w:cs="Times New Roman"/>
          <w:b/>
          <w:bCs/>
          <w:color w:val="000000"/>
          <w:sz w:val="24"/>
          <w:szCs w:val="20"/>
        </w:rPr>
      </w:pPr>
      <w:r>
        <w:rPr>
          <w:rFonts w:cs="Times New Roman" w:ascii="Times New Roman" w:hAnsi="Times New Roman"/>
          <w:b/>
          <w:bCs/>
          <w:color w:val="000000"/>
          <w:sz w:val="24"/>
          <w:szCs w:val="20"/>
        </w:rPr>
        <w:t>MidAmerican Power - Outagamie, Wisconsin</w:t>
      </w:r>
    </w:p>
    <w:p>
      <w:pPr>
        <w:pStyle w:val="Normal"/>
        <w:rPr>
          <w:color w:val="000000"/>
          <w:szCs w:val="20"/>
        </w:rPr>
      </w:pPr>
      <w:r>
        <w:rPr>
          <w:color w:val="000000"/>
          <w:szCs w:val="20"/>
        </w:rPr>
        <w:t>Reviewing with Business Development and Planning Teams competitive analysis and options to manage capital cost requirements to meet MidAmerican interest in siting 540 MW generation in Outagamie, Wisconsin.</w:t>
      </w:r>
    </w:p>
    <w:p>
      <w:pPr>
        <w:pStyle w:val="Normal"/>
        <w:rPr>
          <w:b/>
          <w:bCs/>
          <w:color w:val="000000"/>
          <w:szCs w:val="20"/>
        </w:rPr>
      </w:pPr>
      <w:r>
        <w:rPr>
          <w:b/>
          <w:bCs/>
          <w:color w:val="000000"/>
          <w:szCs w:val="20"/>
        </w:rPr>
      </w:r>
    </w:p>
    <w:p>
      <w:pPr>
        <w:pStyle w:val="Normal"/>
        <w:rPr>
          <w:b/>
          <w:bCs/>
          <w:color w:val="000000"/>
          <w:szCs w:val="20"/>
        </w:rPr>
      </w:pPr>
      <w:r>
        <w:rPr>
          <w:b/>
          <w:bCs/>
          <w:color w:val="000000"/>
          <w:szCs w:val="20"/>
        </w:rPr>
      </w:r>
    </w:p>
    <w:p>
      <w:pPr>
        <w:pStyle w:val="Normal"/>
        <w:rPr>
          <w:b/>
          <w:bCs/>
          <w:color w:val="000000"/>
          <w:szCs w:val="20"/>
        </w:rPr>
      </w:pPr>
      <w:r>
        <w:rPr>
          <w:b/>
          <w:bCs/>
          <w:color w:val="000000"/>
          <w:szCs w:val="20"/>
        </w:rPr>
        <w:t>Skylemetry Revisions:</w:t>
      </w:r>
    </w:p>
    <w:p>
      <w:pPr>
        <w:pStyle w:val="Normal"/>
        <w:rPr>
          <w:color w:val="000000"/>
          <w:szCs w:val="20"/>
        </w:rPr>
      </w:pPr>
      <w:r>
        <w:rPr>
          <w:color w:val="000000"/>
          <w:szCs w:val="20"/>
        </w:rPr>
        <w:t xml:space="preserve">Revising twelve Wisconsin sites to thirteen Minnesota sites.  The Wisconsin sites will receive Skylemetry units next year. </w:t>
      </w:r>
    </w:p>
    <w:p>
      <w:pPr>
        <w:pStyle w:val="Normal"/>
        <w:rPr>
          <w:color w:val="000000"/>
          <w:szCs w:val="20"/>
        </w:rPr>
      </w:pPr>
      <w:r>
        <w:rPr>
          <w:color w:val="000000"/>
          <w:szCs w:val="20"/>
        </w:rPr>
      </w:r>
    </w:p>
    <w:p>
      <w:pPr>
        <w:pStyle w:val="Normal"/>
        <w:rPr>
          <w:b/>
          <w:bCs/>
          <w:color w:val="000000"/>
          <w:szCs w:val="20"/>
        </w:rPr>
      </w:pPr>
      <w:r>
        <w:rPr>
          <w:b/>
          <w:bCs/>
          <w:color w:val="000000"/>
          <w:szCs w:val="20"/>
        </w:rPr>
        <w:t>NBPL Interconnects:</w:t>
      </w:r>
    </w:p>
    <w:p>
      <w:pPr>
        <w:pStyle w:val="Normal"/>
        <w:rPr>
          <w:color w:val="000000"/>
          <w:szCs w:val="20"/>
        </w:rPr>
      </w:pPr>
      <w:r>
        <w:rPr>
          <w:color w:val="000000"/>
          <w:szCs w:val="20"/>
        </w:rPr>
        <w:t xml:space="preserve">Evaluated three expansion scenarios on the end of NBPL from Troy Grove and Channahon to Manhattan South.  Volumes ranged from 100-150 MMcfd.  No pipeline modifications are required to provide the new volumes.  </w:t>
      </w:r>
    </w:p>
    <w:p>
      <w:pPr>
        <w:pStyle w:val="Normal"/>
        <w:rPr>
          <w:color w:val="000000"/>
          <w:szCs w:val="20"/>
        </w:rPr>
      </w:pPr>
      <w:r>
        <w:rPr>
          <w:color w:val="000000"/>
          <w:szCs w:val="20"/>
        </w:rPr>
      </w:r>
    </w:p>
    <w:p>
      <w:pPr>
        <w:pStyle w:val="Normal"/>
        <w:rPr/>
      </w:pPr>
      <w:r>
        <w:rPr>
          <w:b/>
          <w:bCs/>
          <w:szCs w:val="20"/>
        </w:rPr>
        <w:t>**</w:t>
      </w:r>
      <w:r>
        <w:rPr>
          <w:b/>
          <w:bCs/>
          <w:color w:val="000000"/>
          <w:szCs w:val="20"/>
        </w:rPr>
        <w:t>Midwestern Pipeline:</w:t>
      </w:r>
    </w:p>
    <w:p>
      <w:pPr>
        <w:pStyle w:val="BodyText2"/>
        <w:spacing w:lineRule="auto" w:line="240"/>
        <w:rPr/>
      </w:pPr>
      <w:r>
        <w:rPr/>
        <w:t>Reviewed the previously furnished facility and cost estimates for several forward haul expansion scenarios for the Midwestern Pipeline.  Utilizing electric drive compression will lower the initial capital cost from  $5-11.5 million to $3.6-7 million.</w:t>
      </w:r>
    </w:p>
    <w:p>
      <w:pPr>
        <w:pStyle w:val="Normal"/>
        <w:rPr>
          <w:color w:val="000000"/>
          <w:szCs w:val="20"/>
        </w:rPr>
      </w:pPr>
      <w:r>
        <w:rPr>
          <w:color w:val="000000"/>
          <w:szCs w:val="20"/>
        </w:rPr>
      </w:r>
    </w:p>
    <w:p>
      <w:pPr>
        <w:pStyle w:val="Normal"/>
        <w:rPr>
          <w:b/>
          <w:bCs/>
          <w:color w:val="000000"/>
          <w:szCs w:val="20"/>
        </w:rPr>
      </w:pPr>
      <w:r>
        <w:rPr>
          <w:b/>
          <w:bCs/>
          <w:color w:val="000000"/>
          <w:szCs w:val="20"/>
        </w:rPr>
        <w:t>MGT Mirant Sugar Creek Interconnect:</w:t>
      </w:r>
    </w:p>
    <w:p>
      <w:pPr>
        <w:pStyle w:val="Normal"/>
        <w:rPr>
          <w:color w:val="000000"/>
          <w:szCs w:val="20"/>
        </w:rPr>
      </w:pPr>
      <w:r>
        <w:rPr>
          <w:color w:val="000000"/>
          <w:szCs w:val="20"/>
        </w:rPr>
        <w:t>Participated in several conference calls with Marketing and Mirant to discuss the timing and details of the installation. The revised in-service date is October 31, 2001 for the tap and valve.  We are currently reviewing the need for installing a chromatograph as Sugar Creek is also installing one.</w:t>
      </w:r>
    </w:p>
    <w:p>
      <w:pPr>
        <w:pStyle w:val="Normal"/>
        <w:rPr>
          <w:b/>
          <w:bCs/>
          <w:color w:val="000000"/>
          <w:szCs w:val="20"/>
        </w:rPr>
      </w:pPr>
      <w:r>
        <w:rPr>
          <w:b/>
          <w:bCs/>
          <w:color w:val="000000"/>
          <w:szCs w:val="20"/>
        </w:rPr>
      </w:r>
    </w:p>
    <w:p>
      <w:pPr>
        <w:pStyle w:val="Normal"/>
        <w:rPr/>
      </w:pPr>
      <w:r>
        <w:rPr>
          <w:b/>
          <w:bCs/>
          <w:szCs w:val="20"/>
        </w:rPr>
        <w:t>**</w:t>
      </w:r>
      <w:r>
        <w:rPr>
          <w:b/>
          <w:bCs/>
          <w:color w:val="000000"/>
          <w:szCs w:val="20"/>
        </w:rPr>
        <w:t>Trailblazer-Beatrice Interconnect:</w:t>
      </w:r>
    </w:p>
    <w:p>
      <w:pPr>
        <w:pStyle w:val="Normal"/>
        <w:rPr>
          <w:color w:val="000000"/>
          <w:szCs w:val="20"/>
        </w:rPr>
      </w:pPr>
      <w:r>
        <w:rPr>
          <w:color w:val="000000"/>
          <w:szCs w:val="20"/>
        </w:rPr>
        <w:t>A review of the interconnect was completed with the Beatrice M&amp;O team, gas control, and optimization over the increased volume at the station.  The review focused on the operating flexibility of the station with the new connection work at the station and possibly any increase in O&amp;M costs for the station.</w:t>
      </w:r>
    </w:p>
    <w:p>
      <w:pPr>
        <w:pStyle w:val="Normal"/>
        <w:rPr>
          <w:color w:val="000000"/>
          <w:szCs w:val="20"/>
        </w:rPr>
      </w:pPr>
      <w:r>
        <w:rPr>
          <w:color w:val="000000"/>
          <w:szCs w:val="20"/>
        </w:rPr>
      </w:r>
    </w:p>
    <w:p>
      <w:pPr>
        <w:pStyle w:val="Normal"/>
        <w:rPr/>
      </w:pPr>
      <w:r>
        <w:rPr>
          <w:b/>
          <w:bCs/>
          <w:szCs w:val="20"/>
        </w:rPr>
        <w:t>**</w:t>
      </w:r>
      <w:r>
        <w:rPr>
          <w:b/>
          <w:bCs/>
          <w:color w:val="000000"/>
          <w:szCs w:val="20"/>
        </w:rPr>
        <w:t>CAS:</w:t>
      </w:r>
    </w:p>
    <w:p>
      <w:pPr>
        <w:pStyle w:val="Normal"/>
        <w:rPr>
          <w:color w:val="000000"/>
          <w:szCs w:val="20"/>
        </w:rPr>
      </w:pPr>
      <w:r>
        <w:rPr>
          <w:color w:val="000000"/>
          <w:szCs w:val="20"/>
        </w:rPr>
        <w:t>Project Max Case I requests are being input into the system and approved contingent on construction of necessary facilities in order to prevent other subsequent deals from taking capacity already assumed to be available for the Project Max design.</w:t>
      </w:r>
    </w:p>
    <w:p>
      <w:pPr>
        <w:pStyle w:val="Normal"/>
        <w:rPr>
          <w:b/>
          <w:bCs/>
          <w:color w:val="000000"/>
          <w:szCs w:val="20"/>
        </w:rPr>
      </w:pPr>
      <w:r>
        <w:rPr>
          <w:b/>
          <w:bCs/>
          <w:color w:val="000000"/>
          <w:szCs w:val="20"/>
        </w:rPr>
      </w:r>
    </w:p>
    <w:p>
      <w:pPr>
        <w:pStyle w:val="Normal"/>
        <w:rPr>
          <w:b/>
          <w:bCs/>
          <w:color w:val="000000"/>
          <w:szCs w:val="20"/>
        </w:rPr>
      </w:pPr>
      <w:r>
        <w:rPr>
          <w:b/>
          <w:bCs/>
          <w:color w:val="000000"/>
          <w:szCs w:val="20"/>
        </w:rPr>
        <w:t>**Great Plains Ethanol</w:t>
      </w:r>
    </w:p>
    <w:p>
      <w:pPr>
        <w:pStyle w:val="Normal"/>
        <w:rPr>
          <w:color w:val="000000"/>
          <w:szCs w:val="20"/>
        </w:rPr>
      </w:pPr>
      <w:r>
        <w:rPr>
          <w:color w:val="000000"/>
          <w:szCs w:val="20"/>
        </w:rPr>
        <w:t>Completed Level "A" estimate for this proposed plant to be located near Lennox, SD.  In addition to the TBS, approximately 5.25 miles of branch line loop will be required to serve this new firm load.</w:t>
      </w:r>
    </w:p>
    <w:p>
      <w:pPr>
        <w:pStyle w:val="Normal"/>
        <w:rPr>
          <w:b/>
          <w:bCs/>
          <w:color w:val="000000"/>
          <w:szCs w:val="20"/>
        </w:rPr>
      </w:pPr>
      <w:r>
        <w:rPr>
          <w:b/>
          <w:bCs/>
          <w:color w:val="000000"/>
          <w:szCs w:val="20"/>
        </w:rPr>
      </w:r>
    </w:p>
    <w:p>
      <w:pPr>
        <w:pStyle w:val="Normal"/>
        <w:rPr>
          <w:b/>
          <w:bCs/>
          <w:color w:val="000000"/>
          <w:szCs w:val="20"/>
        </w:rPr>
      </w:pPr>
      <w:r>
        <w:rPr>
          <w:b/>
          <w:bCs/>
          <w:color w:val="000000"/>
          <w:szCs w:val="20"/>
        </w:rPr>
        <w:t>Broin &amp; Associates:</w:t>
      </w:r>
    </w:p>
    <w:p>
      <w:pPr>
        <w:pStyle w:val="BodyText2"/>
        <w:spacing w:lineRule="auto" w:line="240"/>
        <w:rPr/>
      </w:pPr>
      <w:r>
        <w:rPr/>
        <w:t>Began work on facilities required to serve a new ethanol plant to be located near Sibley, IA.  This plant is being evaluated by Broin, which is a major developer of ethanol plants in the upper Midwest.</w:t>
      </w:r>
    </w:p>
    <w:p>
      <w:pPr>
        <w:pStyle w:val="Normal"/>
        <w:rPr>
          <w:b/>
          <w:bCs/>
          <w:color w:val="000000"/>
          <w:szCs w:val="20"/>
        </w:rPr>
      </w:pPr>
      <w:r>
        <w:rPr>
          <w:b/>
          <w:bCs/>
          <w:color w:val="000000"/>
          <w:szCs w:val="20"/>
        </w:rPr>
      </w:r>
    </w:p>
    <w:p>
      <w:pPr>
        <w:pStyle w:val="Normal"/>
        <w:autoSpaceDE w:val="false"/>
        <w:rPr>
          <w:b/>
          <w:bCs/>
          <w:color w:val="000000"/>
          <w:szCs w:val="20"/>
        </w:rPr>
      </w:pPr>
      <w:r>
        <w:rPr>
          <w:b/>
          <w:bCs/>
          <w:color w:val="000000"/>
          <w:szCs w:val="20"/>
        </w:rPr>
      </w:r>
    </w:p>
    <w:p>
      <w:pPr>
        <w:pStyle w:val="Normal"/>
        <w:autoSpaceDE w:val="false"/>
        <w:rPr>
          <w:b/>
          <w:bCs/>
        </w:rPr>
      </w:pPr>
      <w:r>
        <w:rPr>
          <w:b/>
          <w:bCs/>
        </w:rPr>
      </w:r>
    </w:p>
    <w:p>
      <w:pPr>
        <w:pStyle w:val="Normal"/>
        <w:autoSpaceDE w:val="false"/>
        <w:rPr>
          <w:b/>
          <w:bCs/>
        </w:rPr>
      </w:pPr>
      <w:r>
        <w:rPr>
          <w:b/>
          <w:bCs/>
        </w:rPr>
      </w:r>
    </w:p>
    <w:p>
      <w:pPr>
        <w:pStyle w:val="Normal"/>
        <w:autoSpaceDE w:val="false"/>
        <w:rPr>
          <w:b/>
          <w:bCs/>
        </w:rPr>
      </w:pPr>
      <w:r>
        <w:rPr>
          <w:b/>
          <w:bCs/>
        </w:rPr>
      </w:r>
    </w:p>
    <w:p>
      <w:pPr>
        <w:pStyle w:val="Normal"/>
        <w:autoSpaceDE w:val="false"/>
        <w:rPr>
          <w:b/>
          <w:bCs/>
        </w:rPr>
      </w:pPr>
      <w:r>
        <w:rPr>
          <w:b/>
          <w:bCs/>
        </w:rPr>
      </w:r>
    </w:p>
    <w:p>
      <w:pPr>
        <w:pStyle w:val="Normal"/>
        <w:autoSpaceDE w:val="false"/>
        <w:rPr/>
      </w:pPr>
      <w:r>
        <w:rPr>
          <w:b/>
          <w:bCs/>
        </w:rPr>
        <w:t>Storage Activities</w:t>
      </w:r>
      <w:r>
        <w:rPr/>
        <w:t>:</w:t>
      </w:r>
    </w:p>
    <w:p>
      <w:pPr>
        <w:pStyle w:val="Normal"/>
        <w:autoSpaceDE w:val="false"/>
        <w:rPr/>
      </w:pPr>
      <w:r>
        <w:rPr/>
      </w:r>
    </w:p>
    <w:p>
      <w:pPr>
        <w:pStyle w:val="Normal"/>
        <w:numPr>
          <w:ilvl w:val="0"/>
          <w:numId w:val="2"/>
        </w:numPr>
        <w:autoSpaceDE w:val="false"/>
        <w:ind w:hanging="380" w:start="1140" w:end="0"/>
        <w:rPr/>
      </w:pPr>
      <w:r>
        <w:rPr/>
        <w:t>Submitted rulemaking responses to the Kansas Corporation Commission, governmental affairs.  Omaha has compiled a consensus response from the storage industry committee and provided the responses to the KCC on 27 Aug.  The team provided technical consultation and advice to governmental affairs in preparing these responses.</w:t>
      </w:r>
    </w:p>
    <w:p>
      <w:pPr>
        <w:pStyle w:val="Normal"/>
        <w:numPr>
          <w:ilvl w:val="0"/>
          <w:numId w:val="2"/>
        </w:numPr>
        <w:autoSpaceDE w:val="false"/>
        <w:ind w:hanging="380" w:start="1140" w:end="0"/>
        <w:rPr/>
      </w:pPr>
      <w:r>
        <w:rPr/>
        <w:t>Participated in preparing and supporting a presentation on the merits and the costs to evaluate the opportunities to uplift the Redfield storage field well deliverability.  The marketing storage capacity manager made the presentation to marketing and operations management.  We hope to get authorization soon to begin the field evaluation</w:t>
      </w:r>
    </w:p>
    <w:p>
      <w:pPr>
        <w:pStyle w:val="Normal"/>
        <w:numPr>
          <w:ilvl w:val="0"/>
          <w:numId w:val="2"/>
        </w:numPr>
        <w:autoSpaceDE w:val="false"/>
        <w:ind w:hanging="380" w:start="1140" w:end="0"/>
        <w:rPr/>
      </w:pPr>
      <w:r>
        <w:rPr/>
        <w:t>Discussions were held with storage marketing regarding issues surrounding winter inventory levels for Cunningham Storage.</w:t>
      </w:r>
    </w:p>
    <w:p>
      <w:pPr>
        <w:pStyle w:val="Normal"/>
        <w:autoSpaceDE w:val="false"/>
        <w:rPr/>
      </w:pPr>
      <w:r>
        <w:rPr/>
      </w:r>
    </w:p>
    <w:p>
      <w:pPr>
        <w:pStyle w:val="Heading3"/>
        <w:ind w:hanging="0" w:start="0"/>
        <w:rPr>
          <w:rFonts w:ascii="Times New Roman" w:hAnsi="Times New Roman" w:cs="Times New Roman"/>
          <w:b/>
          <w:bCs/>
          <w:color w:val="0000FF"/>
          <w:sz w:val="24"/>
        </w:rPr>
      </w:pPr>
      <w:r>
        <w:rPr>
          <w:rFonts w:cs="Times New Roman" w:ascii="Times New Roman" w:hAnsi="Times New Roman"/>
          <w:b/>
          <w:bCs/>
          <w:color w:val="0000FF"/>
          <w:sz w:val="24"/>
        </w:rPr>
      </w:r>
    </w:p>
    <w:p>
      <w:pPr>
        <w:pStyle w:val="Heading3"/>
        <w:ind w:hanging="0" w:start="0"/>
        <w:rPr>
          <w:rFonts w:ascii="Times New Roman" w:hAnsi="Times New Roman" w:cs="Times New Roman"/>
          <w:b/>
          <w:bCs/>
          <w:color w:val="0000FF"/>
          <w:sz w:val="28"/>
        </w:rPr>
      </w:pPr>
      <w:r>
        <w:rPr>
          <w:rFonts w:cs="Times New Roman" w:ascii="Times New Roman" w:hAnsi="Times New Roman"/>
          <w:b/>
          <w:bCs/>
          <w:color w:val="0000FF"/>
          <w:sz w:val="28"/>
        </w:rPr>
        <w:t>HOUSTON PLANNING TEAM</w:t>
      </w:r>
    </w:p>
    <w:p>
      <w:pPr>
        <w:pStyle w:val="Heading2"/>
        <w:ind w:hanging="0" w:start="0"/>
        <w:rPr>
          <w:color w:val="0000FF"/>
          <w:sz w:val="28"/>
          <w:szCs w:val="20"/>
        </w:rPr>
      </w:pPr>
      <w:r>
        <w:rPr>
          <w:b/>
          <w:bCs/>
          <w:color w:val="0000FF"/>
          <w:sz w:val="28"/>
          <w:szCs w:val="28"/>
        </w:rPr>
        <w:t>Florida Gas Transmission, Transwestern Pipeline, NNG South</w:t>
      </w:r>
      <w:r>
        <w:rPr>
          <w:color w:val="0000FF"/>
          <w:sz w:val="28"/>
          <w:szCs w:val="28"/>
        </w:rPr>
        <w:t xml:space="preserve"> </w:t>
      </w:r>
      <w:r>
        <w:rPr>
          <w:b/>
          <w:bCs/>
          <w:color w:val="0000FF"/>
          <w:sz w:val="28"/>
          <w:szCs w:val="28"/>
        </w:rPr>
        <w:t>&amp; EOTT</w:t>
      </w:r>
    </w:p>
    <w:p>
      <w:pPr>
        <w:pStyle w:val="Normal"/>
        <w:rPr>
          <w:rStyle w:val="EmailStyle22"/>
          <w:rFonts w:ascii="Times New Roman" w:hAnsi="Times New Roman" w:cs="Times New Roman"/>
          <w:sz w:val="28"/>
        </w:rPr>
      </w:pPr>
      <w:r>
        <w:rPr>
          <w:rFonts w:cs="Times New Roman"/>
          <w:color w:val="0000FF"/>
          <w:sz w:val="28"/>
          <w:szCs w:val="20"/>
        </w:rPr>
      </w:r>
    </w:p>
    <w:p>
      <w:pPr>
        <w:pStyle w:val="Heading5"/>
        <w:ind w:hanging="0" w:start="0"/>
        <w:rPr>
          <w:rFonts w:eastAsia="Arial Unicode MS"/>
          <w:u w:val="none"/>
        </w:rPr>
      </w:pPr>
      <w:r>
        <w:rPr>
          <w:rStyle w:val="Strong"/>
          <w:u w:val="none"/>
        </w:rPr>
        <w:t>**Sun Devil Expansion Project</w:t>
      </w:r>
    </w:p>
    <w:p>
      <w:pPr>
        <w:pStyle w:val="Normal"/>
        <w:rPr>
          <w:szCs w:val="20"/>
        </w:rPr>
      </w:pPr>
      <w:r>
        <w:rPr>
          <w:szCs w:val="20"/>
        </w:rPr>
        <w:t>Meeting with Engineering and Asset Development to discuss possible new route for the Sun Devil pipeline.  It appears the I-17 route suggested originally would be a problem to lay pipe.  The new route by Engineering would follow existing El Paso right of way.  This would require more looping on TW's system but the overall pipeline length is a little less.  However, the overall cost would be higher due to the increase in pipe size from 30" to 36".  This information will be given to the Planning team and System Optimization by the end of the week for review.</w:t>
      </w:r>
    </w:p>
    <w:p>
      <w:pPr>
        <w:pStyle w:val="Normal"/>
        <w:rPr/>
      </w:pPr>
      <w:r>
        <w:rPr/>
      </w:r>
    </w:p>
    <w:p>
      <w:pPr>
        <w:pStyle w:val="Normal"/>
        <w:rPr/>
      </w:pPr>
      <w:r>
        <w:rPr>
          <w:rStyle w:val="EmailStyle24"/>
          <w:rFonts w:cs="Times New Roman"/>
          <w:b/>
          <w:bCs/>
          <w:sz w:val="24"/>
        </w:rPr>
        <w:t xml:space="preserve">TW-Citizens Griffith Plant  </w:t>
      </w:r>
    </w:p>
    <w:p>
      <w:pPr>
        <w:pStyle w:val="BodyText"/>
        <w:rPr>
          <w:color w:val="000080"/>
        </w:rPr>
      </w:pPr>
      <w:r>
        <w:rPr/>
        <w:t xml:space="preserve">Attended meeting with Marketing, Operations, and EAMR concerning recent control issues occurring at the subject interconnect.  Although still in test mode, Citizens engineering contractor responsible for the plant fuel header system, Trigon-Shehan, is still trouble shooting problems with piping and controls.  EAMR will be scheduling meeting with Citizens to clarify boundaries of responsibilities regarding TW Operations personnel for current and future issue. </w:t>
      </w:r>
    </w:p>
    <w:p>
      <w:pPr>
        <w:pStyle w:val="Normal"/>
        <w:rPr>
          <w:rStyle w:val="EmailStyle24"/>
          <w:rFonts w:ascii="Times New Roman" w:hAnsi="Times New Roman" w:cs="Times New Roman"/>
          <w:color w:val="000080"/>
          <w:sz w:val="24"/>
        </w:rPr>
      </w:pPr>
      <w:r>
        <w:rPr>
          <w:rFonts w:cs="Times New Roman"/>
          <w:color w:val="000080"/>
        </w:rPr>
      </w:r>
    </w:p>
    <w:p>
      <w:pPr>
        <w:pStyle w:val="Normal"/>
        <w:rPr/>
      </w:pPr>
      <w:r>
        <w:rPr>
          <w:rStyle w:val="EmailStyle24"/>
          <w:rFonts w:cs="Times New Roman"/>
          <w:b/>
          <w:bCs/>
          <w:sz w:val="24"/>
        </w:rPr>
        <w:t>TW-20” Gomez Lateral</w:t>
      </w:r>
    </w:p>
    <w:p>
      <w:pPr>
        <w:pStyle w:val="Normal"/>
        <w:rPr/>
      </w:pPr>
      <w:r>
        <w:rPr>
          <w:rStyle w:val="EmailStyle24"/>
          <w:rFonts w:cs="Times New Roman"/>
          <w:sz w:val="24"/>
        </w:rPr>
        <w:t>An evaluation is underway to take a look at the utilization of the existing TW-20” Gomez lateral in West Texas.</w:t>
      </w:r>
    </w:p>
    <w:p>
      <w:pPr>
        <w:pStyle w:val="Normal"/>
        <w:rPr/>
      </w:pPr>
      <w:r>
        <w:rPr>
          <w:rStyle w:val="EmailStyle24"/>
          <w:rFonts w:cs="Times New Roman"/>
          <w:sz w:val="24"/>
        </w:rPr>
        <w:t>The plan is to:</w:t>
      </w:r>
    </w:p>
    <w:p>
      <w:pPr>
        <w:pStyle w:val="Normal"/>
        <w:rPr/>
      </w:pPr>
      <w:r>
        <w:rPr>
          <w:rStyle w:val="EmailStyle24"/>
          <w:rFonts w:cs="Times New Roman"/>
          <w:sz w:val="24"/>
        </w:rPr>
        <w:t>1) Tie three interconnects to this line (approximately 50 mmcf/d at each)</w:t>
      </w:r>
    </w:p>
    <w:p>
      <w:pPr>
        <w:pStyle w:val="Normal"/>
        <w:rPr/>
      </w:pPr>
      <w:r>
        <w:rPr>
          <w:rStyle w:val="EmailStyle24"/>
          <w:rFonts w:cs="Times New Roman"/>
          <w:sz w:val="24"/>
        </w:rPr>
        <w:t>2) Lay 3 miles of 20” to tie the line to Pecos units.</w:t>
      </w:r>
    </w:p>
    <w:p>
      <w:pPr>
        <w:pStyle w:val="Normal"/>
        <w:rPr/>
      </w:pPr>
      <w:r>
        <w:rPr>
          <w:rStyle w:val="EmailStyle24"/>
          <w:rFonts w:cs="Times New Roman"/>
          <w:sz w:val="24"/>
        </w:rPr>
        <w:t>3) Make the Pecos units bi-directional</w:t>
      </w:r>
    </w:p>
    <w:p>
      <w:pPr>
        <w:pStyle w:val="Normal"/>
        <w:rPr/>
      </w:pPr>
      <w:r>
        <w:rPr>
          <w:rStyle w:val="EmailStyle24"/>
          <w:rFonts w:cs="Times New Roman"/>
          <w:sz w:val="24"/>
        </w:rPr>
        <w:t xml:space="preserve">4) Hydro test the line (MAOP =1000 PSIG) since it has not been in operation for the past few years.  </w:t>
      </w:r>
    </w:p>
    <w:p>
      <w:pPr>
        <w:pStyle w:val="Normal"/>
        <w:rPr>
          <w:rStyle w:val="EmailStyle24"/>
          <w:rFonts w:ascii="Times New Roman" w:hAnsi="Times New Roman" w:cs="Times New Roman"/>
          <w:sz w:val="24"/>
        </w:rPr>
      </w:pPr>
      <w:r>
        <w:rPr/>
      </w:r>
    </w:p>
    <w:p>
      <w:pPr>
        <w:pStyle w:val="Normal"/>
        <w:rPr>
          <w:rStyle w:val="EmailStyle24"/>
          <w:rFonts w:ascii="Times New Roman" w:hAnsi="Times New Roman" w:cs="Times New Roman"/>
          <w:sz w:val="24"/>
        </w:rPr>
      </w:pPr>
      <w:r>
        <w:rPr/>
      </w:r>
    </w:p>
    <w:p>
      <w:pPr>
        <w:pStyle w:val="Normal"/>
        <w:rPr/>
      </w:pPr>
      <w:r>
        <w:rPr>
          <w:rStyle w:val="EmailStyle24"/>
          <w:rFonts w:cs="Times New Roman"/>
          <w:b/>
          <w:bCs/>
          <w:sz w:val="24"/>
        </w:rPr>
        <w:t xml:space="preserve">**Questar </w:t>
      </w:r>
    </w:p>
    <w:p>
      <w:pPr>
        <w:pStyle w:val="Normal"/>
        <w:rPr/>
      </w:pPr>
      <w:r>
        <w:rPr>
          <w:rStyle w:val="EmailStyle24"/>
          <w:rFonts w:cs="Times New Roman"/>
          <w:sz w:val="24"/>
        </w:rPr>
        <w:t xml:space="preserve">Received a pipeline system profile (245 miles of 16”, Wall=. 25”) from Questar. Developed a flow model in order to determine the capacity of the line from Needles, by adding compressor stations at three locations, to Long Beach, California. </w:t>
      </w:r>
    </w:p>
    <w:p>
      <w:pPr>
        <w:pStyle w:val="Normal"/>
        <w:rPr/>
      </w:pPr>
      <w:r>
        <w:rPr>
          <w:rStyle w:val="EmailStyle24"/>
          <w:rFonts w:cs="Times New Roman"/>
          <w:sz w:val="24"/>
        </w:rPr>
        <w:t>Based on the existing data the capacity range is from 120 to 130 mmcf/d.</w:t>
      </w:r>
    </w:p>
    <w:p>
      <w:pPr>
        <w:pStyle w:val="Normal"/>
        <w:rPr>
          <w:rStyle w:val="EmailStyle24"/>
          <w:rFonts w:ascii="Times New Roman" w:hAnsi="Times New Roman" w:cs="Times New Roman"/>
          <w:sz w:val="24"/>
        </w:rPr>
      </w:pPr>
      <w:r>
        <w:rPr/>
      </w:r>
    </w:p>
    <w:p>
      <w:pPr>
        <w:pStyle w:val="Normal"/>
        <w:autoSpaceDE w:val="false"/>
        <w:rPr/>
      </w:pPr>
      <w:r>
        <w:rPr>
          <w:b/>
          <w:bCs/>
        </w:rPr>
        <w:t>LNG</w:t>
      </w:r>
    </w:p>
    <w:p>
      <w:pPr>
        <w:pStyle w:val="Normal"/>
        <w:autoSpaceDE w:val="false"/>
        <w:rPr/>
      </w:pPr>
      <w:r>
        <w:rPr/>
        <w:t>Planning met with representatives from FPL, Enron Global LNG and Siemens Westinghouse to discuss the impact of LNG on the power generation units.</w:t>
      </w:r>
    </w:p>
    <w:p>
      <w:pPr>
        <w:pStyle w:val="Normal"/>
        <w:autoSpaceDE w:val="false"/>
        <w:rPr/>
      </w:pPr>
      <w:r>
        <w:rPr/>
      </w:r>
    </w:p>
    <w:p>
      <w:pPr>
        <w:pStyle w:val="Normal"/>
        <w:autoSpaceDE w:val="false"/>
        <w:rPr>
          <w:rFonts w:cs="Arial"/>
          <w:b/>
          <w:bCs/>
        </w:rPr>
      </w:pPr>
      <w:r>
        <w:rPr>
          <w:rFonts w:cs="Arial"/>
          <w:b/>
          <w:bCs/>
        </w:rPr>
        <w:t>**FPL Sanford</w:t>
      </w:r>
    </w:p>
    <w:p>
      <w:pPr>
        <w:pStyle w:val="Normal"/>
        <w:autoSpaceDE w:val="false"/>
        <w:rPr>
          <w:rFonts w:cs="Arial"/>
        </w:rPr>
      </w:pPr>
      <w:r>
        <w:rPr>
          <w:rFonts w:cs="Arial"/>
        </w:rPr>
        <w:t xml:space="preserve">The station construction is 85% complete.  The station tie in is schedule for September 15, 2001.     </w:t>
      </w:r>
    </w:p>
    <w:p>
      <w:pPr>
        <w:pStyle w:val="Normal"/>
        <w:autoSpaceDE w:val="false"/>
        <w:rPr>
          <w:rFonts w:cs="Arial"/>
          <w:b/>
          <w:bCs/>
        </w:rPr>
      </w:pPr>
      <w:r>
        <w:rPr>
          <w:rFonts w:cs="Arial"/>
          <w:b/>
          <w:bCs/>
        </w:rPr>
      </w:r>
    </w:p>
    <w:p>
      <w:pPr>
        <w:pStyle w:val="Normal"/>
        <w:autoSpaceDE w:val="false"/>
        <w:rPr>
          <w:b/>
          <w:bCs/>
        </w:rPr>
      </w:pPr>
      <w:r>
        <w:rPr>
          <w:b/>
          <w:bCs/>
        </w:rPr>
        <w:t>Kissimmee Lateral</w:t>
      </w:r>
    </w:p>
    <w:p>
      <w:pPr>
        <w:pStyle w:val="Normal"/>
        <w:autoSpaceDE w:val="false"/>
        <w:rPr/>
      </w:pPr>
      <w:r>
        <w:rPr/>
        <w:t>Planning ran flow studies for Operations to see if a portion of the 3” Kissimmee lateral scheduled for relocation could be abandoned as opposed to replacement without affecting Firm entitlements.  The studies showed the single 6” lateral loop would be adequate for all firm entitlements.</w:t>
      </w:r>
    </w:p>
    <w:p>
      <w:pPr>
        <w:pStyle w:val="Normal"/>
        <w:autoSpaceDE w:val="false"/>
        <w:rPr/>
      </w:pPr>
      <w:r>
        <w:rPr/>
      </w:r>
    </w:p>
    <w:p>
      <w:pPr>
        <w:pStyle w:val="Normal"/>
        <w:autoSpaceDE w:val="false"/>
        <w:rPr>
          <w:b/>
          <w:bCs/>
        </w:rPr>
      </w:pPr>
      <w:r>
        <w:rPr>
          <w:b/>
          <w:bCs/>
        </w:rPr>
        <w:t>**Phase VI</w:t>
      </w:r>
    </w:p>
    <w:p>
      <w:pPr>
        <w:pStyle w:val="Normal"/>
        <w:autoSpaceDE w:val="false"/>
        <w:rPr/>
      </w:pPr>
      <w:r>
        <w:rPr/>
        <w:t>Planning met with representatives from OUC, Duke, Black and Veatch, and the Phase VI Team to discuss the proposed route from the FGT Mainline to the proposed plant site.</w:t>
      </w:r>
    </w:p>
    <w:p>
      <w:pPr>
        <w:pStyle w:val="Normal"/>
        <w:autoSpaceDE w:val="false"/>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b/>
      <w:bCs/>
    </w:rPr>
  </w:style>
  <w:style w:type="paragraph" w:styleId="Heading2">
    <w:name w:val="heading 2"/>
    <w:basedOn w:val="Normal"/>
    <w:next w:val="Normal"/>
    <w:qFormat/>
    <w:pPr>
      <w:keepNext w:val="true"/>
      <w:numPr>
        <w:ilvl w:val="1"/>
        <w:numId w:val="1"/>
      </w:numPr>
      <w:autoSpaceDE w:val="false"/>
      <w:outlineLvl w:val="1"/>
    </w:pPr>
    <w:rPr>
      <w:u w:val="single"/>
    </w:rPr>
  </w:style>
  <w:style w:type="paragraph" w:styleId="Heading3">
    <w:name w:val="heading 3"/>
    <w:basedOn w:val="Normal"/>
    <w:next w:val="Normal"/>
    <w:qFormat/>
    <w:pPr>
      <w:numPr>
        <w:ilvl w:val="2"/>
        <w:numId w:val="1"/>
      </w:numPr>
      <w:autoSpaceDE w:val="false"/>
      <w:outlineLvl w:val="2"/>
    </w:pPr>
    <w:rPr>
      <w:rFonts w:ascii="Helv;Arial" w:hAnsi="Helv;Arial" w:cs="Helv;Arial"/>
      <w:sz w:val="20"/>
    </w:rPr>
  </w:style>
  <w:style w:type="paragraph" w:styleId="Heading4">
    <w:name w:val="heading 4"/>
    <w:basedOn w:val="Normal"/>
    <w:next w:val="Normal"/>
    <w:qFormat/>
    <w:pPr>
      <w:numPr>
        <w:ilvl w:val="3"/>
        <w:numId w:val="1"/>
      </w:numPr>
      <w:autoSpaceDE w:val="false"/>
      <w:outlineLvl w:val="3"/>
    </w:pPr>
    <w:rPr>
      <w:rFonts w:ascii="Helv;Arial" w:hAnsi="Helv;Arial" w:cs="Helv;Arial"/>
      <w:sz w:val="20"/>
    </w:rPr>
  </w:style>
  <w:style w:type="paragraph" w:styleId="Heading5">
    <w:name w:val="heading 5"/>
    <w:basedOn w:val="Normal"/>
    <w:next w:val="Normal"/>
    <w:qFormat/>
    <w:pPr>
      <w:keepNext w:val="true"/>
      <w:numPr>
        <w:ilvl w:val="4"/>
        <w:numId w:val="1"/>
      </w:numPr>
      <w:outlineLvl w:val="4"/>
    </w:pPr>
    <w:rPr>
      <w:szCs w:val="20"/>
      <w:u w:val="single"/>
    </w:rPr>
  </w:style>
  <w:style w:type="paragraph" w:styleId="Heading6">
    <w:name w:val="heading 6"/>
    <w:basedOn w:val="Normal"/>
    <w:next w:val="Normal"/>
    <w:qFormat/>
    <w:pPr>
      <w:keepNext w:val="true"/>
      <w:numPr>
        <w:ilvl w:val="5"/>
        <w:numId w:val="1"/>
      </w:numPr>
      <w:outlineLvl w:val="5"/>
    </w:pPr>
    <w:rPr>
      <w:b/>
      <w:bCs/>
      <w:color w:val="0000FF"/>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bCs/>
    </w:rPr>
  </w:style>
  <w:style w:type="character" w:styleId="EmailStyle24">
    <w:name w:val="EmailStyle24"/>
    <w:basedOn w:val="DefaultParagraphFont"/>
    <w:qFormat/>
    <w:rPr>
      <w:rFonts w:ascii="Arial" w:hAnsi="Arial" w:cs="Arial"/>
      <w:color w:val="000000"/>
      <w:sz w:val="20"/>
      <w:szCs w:val="20"/>
    </w:rPr>
  </w:style>
  <w:style w:type="character" w:styleId="EmailStyle22">
    <w:name w:val="EmailStyle22"/>
    <w:basedOn w:val="DefaultParagraphFont"/>
    <w:qFormat/>
    <w:rPr>
      <w:rFonts w:ascii="Arial" w:hAnsi="Arial" w:cs="Arial"/>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00000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2001-08-31T08:54:00Z</dcterms:created>
  <dc:creator>mgottsp</dc:creator>
  <dc:description/>
  <dc:language>en-CA</dc:language>
  <cp:lastModifiedBy>mgottsp</cp:lastModifiedBy>
  <cp:lastPrinted>2001-08-31T06:19:00Z</cp:lastPrinted>
  <dcterms:modified xsi:type="dcterms:W3CDTF">2001-08-31T08:54:00Z</dcterms:modified>
  <cp:revision>2</cp:revision>
  <dc:subject/>
  <dc:title>**NNG Project Max (Case 1):</dc:title>
</cp:coreProperties>
</file>