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bCs/>
          <w:color w:val="0000FF"/>
          <w:sz w:val="28"/>
          <w:szCs w:val="28"/>
        </w:rPr>
      </w:pPr>
      <w:r>
        <w:rPr>
          <w:b/>
          <w:bCs/>
          <w:color w:val="0000FF"/>
          <w:sz w:val="28"/>
          <w:szCs w:val="28"/>
        </w:rPr>
        <w:t>ETS Planning Weekly Report</w:t>
      </w:r>
    </w:p>
    <w:p>
      <w:pPr>
        <w:pStyle w:val="Heading3"/>
        <w:ind w:hanging="0" w:start="0"/>
        <w:rPr/>
      </w:pPr>
      <w:r>
        <w:rPr/>
        <w:t>Week Ending August 10, 2001</w:t>
      </w:r>
    </w:p>
    <w:p>
      <w:pPr>
        <w:pStyle w:val="Normal"/>
        <w:spacing w:lineRule="atLeast" w:line="240"/>
        <w:rPr>
          <w:b/>
          <w:bCs/>
          <w:color w:val="0000FF"/>
          <w:sz w:val="28"/>
          <w:szCs w:val="28"/>
        </w:rPr>
      </w:pPr>
      <w:r>
        <w:rPr>
          <w:b/>
          <w:bCs/>
          <w:color w:val="0000FF"/>
          <w:sz w:val="28"/>
          <w:szCs w:val="28"/>
        </w:rPr>
      </w:r>
    </w:p>
    <w:p>
      <w:pPr>
        <w:pStyle w:val="Normal"/>
        <w:spacing w:lineRule="atLeast" w:line="240"/>
        <w:rPr>
          <w:b/>
          <w:bCs/>
          <w:color w:val="0000FF"/>
          <w:sz w:val="28"/>
          <w:szCs w:val="28"/>
        </w:rPr>
      </w:pPr>
      <w:r>
        <w:rPr>
          <w:b/>
          <w:bCs/>
          <w:color w:val="0000FF"/>
          <w:sz w:val="28"/>
          <w:szCs w:val="28"/>
        </w:rPr>
      </w:r>
    </w:p>
    <w:p>
      <w:pPr>
        <w:pStyle w:val="Heading3"/>
        <w:ind w:hanging="0" w:start="0"/>
        <w:rPr>
          <w:color w:val="000000"/>
        </w:rPr>
      </w:pPr>
      <w:r>
        <w:rPr/>
        <w:t>HOUSTON PLANNING TEAM</w:t>
      </w:r>
    </w:p>
    <w:p>
      <w:pPr>
        <w:pStyle w:val="Heading2"/>
        <w:ind w:hanging="0" w:start="0"/>
        <w:rPr>
          <w:sz w:val="28"/>
          <w:szCs w:val="28"/>
        </w:rPr>
      </w:pPr>
      <w:r>
        <w:rPr>
          <w:sz w:val="28"/>
          <w:szCs w:val="28"/>
        </w:rPr>
        <w:t>Florida Gas Transmission, Transwestern Pipeline, NNG South &amp; EOTT</w:t>
      </w:r>
    </w:p>
    <w:p>
      <w:pPr>
        <w:pStyle w:val="Normal"/>
        <w:autoSpaceDE w:val="false"/>
        <w:rPr>
          <w:rFonts w:cs="Arial"/>
          <w:b/>
          <w:bCs/>
          <w:sz w:val="28"/>
          <w:szCs w:val="28"/>
        </w:rPr>
      </w:pPr>
      <w:r>
        <w:rPr>
          <w:rFonts w:cs="Arial"/>
          <w:b/>
          <w:bCs/>
          <w:sz w:val="28"/>
          <w:szCs w:val="28"/>
        </w:rPr>
      </w:r>
    </w:p>
    <w:p>
      <w:pPr>
        <w:pStyle w:val="Normal"/>
        <w:autoSpaceDE w:val="false"/>
        <w:rPr/>
      </w:pPr>
      <w:r>
        <w:rPr>
          <w:b/>
          <w:bCs/>
        </w:rPr>
        <w:t>**Cokinos</w:t>
      </w:r>
      <w:r>
        <w:rPr/>
        <w:t xml:space="preserve"> </w:t>
      </w:r>
      <w:r>
        <w:rPr>
          <w:b/>
          <w:bCs/>
        </w:rPr>
        <w:t>Texas City</w:t>
      </w:r>
    </w:p>
    <w:p>
      <w:pPr>
        <w:pStyle w:val="Normal"/>
        <w:autoSpaceDE w:val="false"/>
        <w:rPr/>
      </w:pPr>
      <w:r>
        <w:rPr/>
        <w:t xml:space="preserve">FGT made an initial delivery of 30,000 MMBtu/d to the new Cokinos delivery point on 8/3/01. </w:t>
      </w:r>
    </w:p>
    <w:p>
      <w:pPr>
        <w:pStyle w:val="Normal"/>
        <w:autoSpaceDE w:val="false"/>
        <w:rPr/>
      </w:pPr>
      <w:r>
        <w:rPr/>
      </w:r>
    </w:p>
    <w:p>
      <w:pPr>
        <w:pStyle w:val="Normal"/>
        <w:autoSpaceDE w:val="false"/>
        <w:rPr>
          <w:b/>
          <w:bCs/>
        </w:rPr>
      </w:pPr>
      <w:r>
        <w:rPr>
          <w:b/>
          <w:bCs/>
        </w:rPr>
        <w:t>GSU - Calcasieu</w:t>
      </w:r>
    </w:p>
    <w:p>
      <w:pPr>
        <w:pStyle w:val="Normal"/>
        <w:autoSpaceDE w:val="false"/>
        <w:rPr/>
      </w:pPr>
      <w:r>
        <w:rPr/>
        <w:t>Provided a Level A cost estimate to increase the flow through the GSU interconnect in Calcasieu Parish to 150,000 MMBtu/d.</w:t>
      </w:r>
    </w:p>
    <w:p>
      <w:pPr>
        <w:pStyle w:val="Normal"/>
        <w:autoSpaceDE w:val="false"/>
        <w:rPr/>
      </w:pPr>
      <w:r>
        <w:rPr/>
      </w:r>
    </w:p>
    <w:p>
      <w:pPr>
        <w:pStyle w:val="Normal"/>
        <w:autoSpaceDE w:val="false"/>
        <w:rPr>
          <w:b/>
          <w:bCs/>
          <w:color w:val="000000"/>
        </w:rPr>
      </w:pPr>
      <w:r>
        <w:rPr>
          <w:b/>
          <w:bCs/>
          <w:color w:val="000000"/>
        </w:rPr>
        <w:t>Inglis Lateral Odorization</w:t>
      </w:r>
    </w:p>
    <w:p>
      <w:pPr>
        <w:pStyle w:val="Normal"/>
        <w:autoSpaceDE w:val="false"/>
        <w:rPr>
          <w:color w:val="000000"/>
        </w:rPr>
      </w:pPr>
      <w:r>
        <w:rPr>
          <w:color w:val="000000"/>
        </w:rPr>
        <w:t xml:space="preserve">Requested a Level B cost estimate to add a gas odorization system to the Inglis Lateral at the Inglis Lateral regulator station. </w:t>
      </w:r>
    </w:p>
    <w:p>
      <w:pPr>
        <w:pStyle w:val="Normal"/>
        <w:autoSpaceDE w:val="false"/>
        <w:rPr>
          <w:b/>
          <w:bCs/>
          <w:color w:val="000000"/>
        </w:rPr>
      </w:pPr>
      <w:r>
        <w:rPr>
          <w:b/>
          <w:bCs/>
          <w:color w:val="000000"/>
        </w:rPr>
        <w:t xml:space="preserve"> </w:t>
      </w:r>
    </w:p>
    <w:p>
      <w:pPr>
        <w:pStyle w:val="Normal"/>
        <w:autoSpaceDE w:val="false"/>
        <w:rPr>
          <w:b/>
          <w:bCs/>
        </w:rPr>
      </w:pPr>
      <w:r>
        <w:rPr>
          <w:b/>
          <w:bCs/>
        </w:rPr>
        <w:t>NUI - Pioneer Gate Station</w:t>
      </w:r>
    </w:p>
    <w:p>
      <w:pPr>
        <w:pStyle w:val="Normal"/>
        <w:autoSpaceDE w:val="false"/>
        <w:rPr/>
      </w:pPr>
      <w:r>
        <w:rPr/>
        <w:t xml:space="preserve">Planning, Engineering and Operations finalized the design for the NUI turnpike meter &amp; regulator station. </w:t>
      </w:r>
    </w:p>
    <w:p>
      <w:pPr>
        <w:pStyle w:val="Normal"/>
        <w:autoSpaceDE w:val="false"/>
        <w:rPr/>
      </w:pPr>
      <w:r>
        <w:rPr/>
      </w:r>
    </w:p>
    <w:p>
      <w:pPr>
        <w:pStyle w:val="Normal"/>
        <w:autoSpaceDE w:val="false"/>
        <w:rPr>
          <w:b/>
          <w:bCs/>
        </w:rPr>
      </w:pPr>
      <w:r>
        <w:rPr>
          <w:b/>
          <w:bCs/>
        </w:rPr>
        <w:t>**Gulfstream</w:t>
      </w:r>
    </w:p>
    <w:p>
      <w:pPr>
        <w:pStyle w:val="Normal"/>
        <w:autoSpaceDE w:val="false"/>
        <w:rPr/>
      </w:pPr>
      <w:r>
        <w:rPr/>
        <w:t xml:space="preserve">We continue to work with Marketing/Legal to finalize interconnect agreements with Gulfstream @ Hardee &amp; Osceola. Additionally, we requested "Revised" Level B Cost estimates for the following three options. </w:t>
      </w:r>
    </w:p>
    <w:p>
      <w:pPr>
        <w:pStyle w:val="Normal"/>
        <w:autoSpaceDE w:val="false"/>
        <w:rPr/>
      </w:pPr>
      <w:r>
        <w:rPr/>
      </w:r>
    </w:p>
    <w:p>
      <w:pPr>
        <w:pStyle w:val="Normal"/>
        <w:autoSpaceDE w:val="false"/>
        <w:jc w:val="both"/>
        <w:rPr/>
      </w:pPr>
      <w:r>
        <w:rPr/>
        <w:t xml:space="preserve">Project #1--The facilities consist of the cost to install a 14” hot tap, an odorizer, and EFM (SCADA).  FGT will connect to the Gulfstream RTU.  The station will be located at Mile Post **206.7** (just north of Hwy 664 on the east side of the pipe) on the 30” FGT West Leg in Hardee County, Florida.  All facilities will be designed with a 1200 MAOP.  Gulfstream will provide a covered instrument stand for FGT’s EFM.  </w:t>
      </w:r>
    </w:p>
    <w:p>
      <w:pPr>
        <w:pStyle w:val="Normal"/>
        <w:autoSpaceDE w:val="false"/>
        <w:jc w:val="both"/>
        <w:rPr/>
      </w:pPr>
      <w:r>
        <w:rPr/>
      </w:r>
    </w:p>
    <w:p>
      <w:pPr>
        <w:pStyle w:val="Normal"/>
        <w:autoSpaceDE w:val="false"/>
        <w:jc w:val="both"/>
        <w:rPr/>
      </w:pPr>
      <w:r>
        <w:rPr/>
        <w:t xml:space="preserve">Project #2--The facilities consist of the cost to install a 12” stopple, tee, valve, an odorizer, and EFM (SCADA).  The station will be located at Mile Post 12.4 on the St. Petersburg Lateral in Osceola County, Florida.  All facilities will be designed with a 975 psig MAOP.  Gulf Stream will provide a covered instrument stand for FGT’s EFM.  </w:t>
      </w:r>
    </w:p>
    <w:p>
      <w:pPr>
        <w:pStyle w:val="Normal"/>
        <w:autoSpaceDE w:val="false"/>
        <w:jc w:val="both"/>
        <w:rPr/>
      </w:pPr>
      <w:r>
        <w:rPr/>
      </w:r>
    </w:p>
    <w:p>
      <w:pPr>
        <w:pStyle w:val="Normal"/>
        <w:autoSpaceDE w:val="false"/>
        <w:jc w:val="both"/>
        <w:rPr/>
      </w:pPr>
      <w:r>
        <w:rPr/>
        <w:t>Project #3-- The facilities consist of the cost to install a 12” hot tap, an odorizer, and EFM (SCADA).  The station will be located at Mile Post 780.8 on the 26” FGT mainline in St. Lucie County, Florida.  All facilities will be designed with a 977 MAOP.  Gulf Stream will provide a covered instrument stand for FGT’s EFM.</w:t>
      </w:r>
    </w:p>
    <w:p>
      <w:pPr>
        <w:pStyle w:val="Normal"/>
        <w:autoSpaceDE w:val="false"/>
        <w:rPr/>
      </w:pPr>
      <w:r>
        <w:rPr/>
      </w:r>
    </w:p>
    <w:p>
      <w:pPr>
        <w:pStyle w:val="Normal"/>
        <w:autoSpaceDE w:val="false"/>
        <w:rPr>
          <w:b/>
          <w:bCs/>
        </w:rPr>
      </w:pPr>
      <w:r>
        <w:rPr>
          <w:b/>
          <w:bCs/>
        </w:rPr>
      </w:r>
    </w:p>
    <w:p>
      <w:pPr>
        <w:pStyle w:val="Normal"/>
        <w:autoSpaceDE w:val="false"/>
        <w:rPr>
          <w:b/>
          <w:bCs/>
        </w:rPr>
      </w:pPr>
      <w:r>
        <w:rPr>
          <w:b/>
          <w:bCs/>
        </w:rPr>
        <w:t>**Phase VI</w:t>
      </w:r>
    </w:p>
    <w:p>
      <w:pPr>
        <w:pStyle w:val="Normal"/>
        <w:autoSpaceDE w:val="false"/>
        <w:rPr/>
      </w:pPr>
      <w:r>
        <w:rPr/>
        <w:t xml:space="preserve">With the finalization of the Phase VI volumes, Btu and the starting assumptions of facilities from Phase V, Planning revised the steady state and transient flow studies to assess the required new mainline facilities and their costs. The facility designs and Level A cost estimates were presented to the FGT Management Team. The revised data design sheets were issued for pipe, with sheets for compression revisions to follow.  </w:t>
      </w:r>
    </w:p>
    <w:p>
      <w:pPr>
        <w:pStyle w:val="Normal"/>
        <w:autoSpaceDE w:val="false"/>
        <w:rPr/>
      </w:pPr>
      <w:r>
        <w:rPr/>
      </w:r>
    </w:p>
    <w:p>
      <w:pPr>
        <w:pStyle w:val="Normal"/>
        <w:autoSpaceDE w:val="false"/>
        <w:rPr>
          <w:b/>
          <w:bCs/>
        </w:rPr>
      </w:pPr>
      <w:r>
        <w:rPr>
          <w:b/>
          <w:bCs/>
        </w:rPr>
        <w:t>**Reliant/OUC - Indian River (Cape Kennedy Loop expansion - Phase VI)</w:t>
      </w:r>
    </w:p>
    <w:p>
      <w:pPr>
        <w:pStyle w:val="Normal"/>
        <w:autoSpaceDE w:val="false"/>
        <w:rPr/>
      </w:pPr>
      <w:r>
        <w:rPr/>
        <w:t>Planning requested a "Revised" Level B cost estimate for 4.4 mile of 16" lateral loop on the Cape Kennedy Lateral.</w:t>
      </w:r>
    </w:p>
    <w:p>
      <w:pPr>
        <w:pStyle w:val="Normal"/>
        <w:autoSpaceDE w:val="false"/>
        <w:rPr/>
      </w:pPr>
      <w:r>
        <w:rPr/>
      </w:r>
    </w:p>
    <w:p>
      <w:pPr>
        <w:pStyle w:val="Normal"/>
        <w:autoSpaceDE w:val="false"/>
        <w:rPr>
          <w:b/>
          <w:bCs/>
        </w:rPr>
      </w:pPr>
      <w:r>
        <w:rPr>
          <w:b/>
          <w:bCs/>
        </w:rPr>
        <w:t>**New Record Peak for FGT</w:t>
      </w:r>
    </w:p>
    <w:p>
      <w:pPr>
        <w:pStyle w:val="Normal"/>
        <w:autoSpaceDE w:val="false"/>
        <w:rPr/>
      </w:pPr>
      <w:r>
        <w:rPr/>
        <w:t xml:space="preserve">For the Gas Day of August 8, FGT delivered a peak hour equivalent to a 2,804 MMMBtu/d rate.     </w:t>
      </w:r>
    </w:p>
    <w:p>
      <w:pPr>
        <w:pStyle w:val="Normal"/>
        <w:autoSpaceDE w:val="false"/>
        <w:rPr>
          <w:b/>
          <w:bCs/>
          <w:color w:val="000000"/>
        </w:rPr>
      </w:pPr>
      <w:r>
        <w:rPr>
          <w:b/>
          <w:bCs/>
          <w:color w:val="000000"/>
        </w:rPr>
      </w:r>
    </w:p>
    <w:p>
      <w:pPr>
        <w:pStyle w:val="Heading1"/>
        <w:ind w:hanging="0" w:start="0"/>
        <w:rPr>
          <w:rFonts w:ascii="Times New Roman" w:hAnsi="Times New Roman" w:cs="Times New Roman"/>
          <w:color w:val="000000"/>
        </w:rPr>
      </w:pPr>
      <w:r>
        <w:rPr>
          <w:rFonts w:cs="Times New Roman" w:ascii="Times New Roman" w:hAnsi="Times New Roman"/>
          <w:b/>
          <w:bCs/>
          <w:color w:val="000000"/>
          <w:szCs w:val="20"/>
        </w:rPr>
        <w:t>**TW/ Conoco Power Plant Interconnect</w:t>
      </w:r>
    </w:p>
    <w:p>
      <w:pPr>
        <w:pStyle w:val="Normal"/>
        <w:rPr>
          <w:color w:val="000000"/>
        </w:rPr>
      </w:pPr>
      <w:r>
        <w:rPr>
          <w:color w:val="000000"/>
        </w:rPr>
        <w:t>A preliminary scope/ cost estimate was provided to Marketing to build a new, up to 80 mmcf/d, interconnect at the discharge side of the Atoka-1 Compressor Station. The proposed power plant is in Eddy County NM, approximately 3 miles north of Atoka-1. TW would be receiving gas from Conoco at Maljamar and possibly at Monument in order to deliver gas to the proposed power plant.</w:t>
      </w:r>
    </w:p>
    <w:p>
      <w:pPr>
        <w:pStyle w:val="Normal"/>
        <w:rPr/>
      </w:pPr>
      <w:r>
        <w:rPr/>
      </w:r>
    </w:p>
    <w:p>
      <w:pPr>
        <w:pStyle w:val="Normal"/>
        <w:autoSpaceDE w:val="false"/>
        <w:rPr>
          <w:b/>
          <w:bCs/>
          <w:color w:val="000000"/>
        </w:rPr>
      </w:pPr>
      <w:r>
        <w:rPr>
          <w:b/>
          <w:bCs/>
          <w:color w:val="000000"/>
        </w:rPr>
        <w:t>**TW/ Sun Devil Project</w:t>
      </w:r>
    </w:p>
    <w:p>
      <w:pPr>
        <w:pStyle w:val="Normal"/>
        <w:autoSpaceDE w:val="false"/>
        <w:rPr>
          <w:color w:val="000000"/>
        </w:rPr>
      </w:pPr>
      <w:r>
        <w:rPr>
          <w:color w:val="000000"/>
        </w:rPr>
        <w:t xml:space="preserve">Planning provided Marketing and Business Development with expansion cases for San Juan, mainline, and the new Sun Devil pipeline.  The request was made to provide maximum capacity volumes that were optimum to the facility costs.  New preliminary San Juan, mainline, Sun Devil volumes were developed.  </w:t>
      </w:r>
    </w:p>
    <w:p>
      <w:pPr>
        <w:pStyle w:val="Normal"/>
        <w:autoSpaceDE w:val="false"/>
        <w:rPr>
          <w:b/>
          <w:bCs/>
          <w:color w:val="000000"/>
        </w:rPr>
      </w:pPr>
      <w:r>
        <w:rPr>
          <w:b/>
          <w:bCs/>
          <w:color w:val="000000"/>
        </w:rPr>
      </w:r>
    </w:p>
    <w:p>
      <w:pPr>
        <w:pStyle w:val="Normal"/>
        <w:autoSpaceDE w:val="false"/>
        <w:rPr>
          <w:b/>
          <w:bCs/>
          <w:color w:val="000000"/>
        </w:rPr>
      </w:pPr>
      <w:r>
        <w:rPr>
          <w:b/>
          <w:bCs/>
          <w:color w:val="000000"/>
        </w:rPr>
        <w:t>TW/ Caithness - Big Sandy Project</w:t>
      </w:r>
    </w:p>
    <w:p>
      <w:pPr>
        <w:pStyle w:val="BodyText"/>
        <w:rPr/>
      </w:pPr>
      <w:r>
        <w:rPr/>
        <w:t>Interconnect volumes have changed since the last time Planning reviewed facilities and costs.  Previous maximum was about 115 MMcf/d, and the new level could be in the 120 - 150 MMcf/d range.  To accommodate a quick turnaround, Marketing review request, Planning provided a "ball park" cost to make the meter facility larger.  Original cost was $417,000 and the new cost is $450,000.</w:t>
      </w:r>
    </w:p>
    <w:p>
      <w:pPr>
        <w:pStyle w:val="Normal"/>
        <w:autoSpaceDE w:val="false"/>
        <w:rPr>
          <w:color w:val="000000"/>
        </w:rPr>
      </w:pPr>
      <w:r>
        <w:rPr>
          <w:color w:val="000000"/>
        </w:rPr>
      </w:r>
    </w:p>
    <w:p>
      <w:pPr>
        <w:pStyle w:val="Normal"/>
        <w:rPr>
          <w:b/>
          <w:bCs/>
          <w:color w:val="000000"/>
        </w:rPr>
      </w:pPr>
      <w:r>
        <w:rPr>
          <w:b/>
          <w:bCs/>
          <w:color w:val="000000"/>
        </w:rPr>
        <w:t xml:space="preserve">**TW/ El Paso Field Services - Blanco Plant and Chaco Plant  </w:t>
      </w:r>
    </w:p>
    <w:p>
      <w:pPr>
        <w:pStyle w:val="Normal"/>
        <w:autoSpaceDE w:val="false"/>
        <w:rPr>
          <w:color w:val="000000"/>
        </w:rPr>
      </w:pPr>
      <w:r>
        <w:rPr>
          <w:color w:val="000000"/>
        </w:rPr>
        <w:t>El Paso Field Services has requested Transwestern provide them information regarding tying in both the Blanco Plant and Chaco Plant to Transwestern.  Both plants are located near TW on the San Juan Lateral and are both are solely connected to EPNG.  Meeting with EPFS slated for Friday, Aug. 10 to discuss further issues and/or details.  After initial meeting, and more is known about the interconnect(s), studies, cost estimates, etc. will proceed.</w:t>
      </w:r>
    </w:p>
    <w:p>
      <w:pPr>
        <w:pStyle w:val="Normal"/>
        <w:autoSpaceDE w:val="false"/>
        <w:rPr>
          <w:color w:val="000000"/>
        </w:rPr>
      </w:pPr>
      <w:r>
        <w:rPr>
          <w:color w:val="000000"/>
        </w:rPr>
      </w:r>
    </w:p>
    <w:p>
      <w:pPr>
        <w:pStyle w:val="Heading4"/>
        <w:ind w:hanging="0" w:start="0"/>
        <w:rPr/>
      </w:pPr>
      <w:r>
        <w:rPr/>
        <w:t>Miscellaneous</w:t>
      </w:r>
    </w:p>
    <w:p>
      <w:pPr>
        <w:pStyle w:val="BodyText"/>
        <w:rPr/>
      </w:pPr>
      <w:r>
        <w:rPr/>
        <w:t xml:space="preserve">The Houston Planning Team, TW Marketing and TW Operations held an all day teambuilding meeting on 8/8/01.  This included a morning session of teambuilding exercises and an afternoon session of brainstorming for ideas to increase capacity in the popular TW West Texas Leg. </w:t>
      </w:r>
    </w:p>
    <w:p>
      <w:pPr>
        <w:pStyle w:val="BodyText"/>
        <w:rPr/>
      </w:pPr>
      <w:r>
        <w:rPr/>
      </w:r>
    </w:p>
    <w:p>
      <w:pPr>
        <w:pStyle w:val="Normal"/>
        <w:rPr>
          <w:rFonts w:cs="Arial"/>
          <w:b/>
          <w:bCs/>
          <w:color w:val="FF0000"/>
          <w:szCs w:val="20"/>
        </w:rPr>
      </w:pPr>
      <w:r>
        <w:rPr/>
        <w:t>This was a highly successful meeting, both from the team aspect, and for the quality ideas that were generated in the afternoon session.  Thanks to all who participated.</w:t>
      </w:r>
    </w:p>
    <w:p>
      <w:pPr>
        <w:pStyle w:val="Normal"/>
        <w:rPr>
          <w:rFonts w:cs="Arial"/>
          <w:b/>
          <w:bCs/>
          <w:color w:val="FF0000"/>
          <w:szCs w:val="20"/>
        </w:rPr>
      </w:pPr>
      <w:r>
        <w:rPr>
          <w:rFonts w:cs="Arial"/>
          <w:b/>
          <w:bCs/>
          <w:color w:val="FF0000"/>
          <w:szCs w:val="20"/>
        </w:rPr>
      </w:r>
    </w:p>
    <w:p>
      <w:pPr>
        <w:pStyle w:val="Normal"/>
        <w:rPr>
          <w:rFonts w:cs="Arial"/>
          <w:b/>
          <w:bCs/>
          <w:color w:val="FF0000"/>
          <w:szCs w:val="20"/>
        </w:rPr>
      </w:pPr>
      <w:r>
        <w:rPr>
          <w:rFonts w:cs="Arial"/>
          <w:b/>
          <w:bCs/>
          <w:color w:val="FF0000"/>
          <w:szCs w:val="20"/>
        </w:rPr>
      </w:r>
    </w:p>
    <w:p>
      <w:pPr>
        <w:pStyle w:val="Heading5"/>
        <w:ind w:hanging="0" w:start="0"/>
        <w:rPr>
          <w:color w:val="0000FF"/>
          <w:sz w:val="28"/>
        </w:rPr>
      </w:pPr>
      <w:r>
        <w:rPr>
          <w:color w:val="0000FF"/>
          <w:sz w:val="28"/>
        </w:rPr>
        <w:t>Omaha Planning Team</w:t>
      </w:r>
    </w:p>
    <w:p>
      <w:pPr>
        <w:pStyle w:val="BodyText2"/>
        <w:rPr/>
      </w:pPr>
      <w:r>
        <w:rPr/>
        <w:t>Northern Natural Gas, Northern Border Pipe Line &amp; Midwestern Gas Transmission</w:t>
      </w:r>
    </w:p>
    <w:p>
      <w:pPr>
        <w:pStyle w:val="Normal"/>
        <w:rPr>
          <w:rFonts w:cs="Arial"/>
          <w:b/>
          <w:bCs/>
          <w:color w:val="FF0000"/>
          <w:szCs w:val="20"/>
        </w:rPr>
      </w:pPr>
      <w:r>
        <w:rPr>
          <w:rFonts w:cs="Arial"/>
          <w:b/>
          <w:bCs/>
          <w:color w:val="FF0000"/>
          <w:szCs w:val="20"/>
        </w:rPr>
      </w:r>
    </w:p>
    <w:p>
      <w:pPr>
        <w:pStyle w:val="Normal"/>
        <w:rPr>
          <w:szCs w:val="20"/>
        </w:rPr>
      </w:pPr>
      <w:r>
        <w:rPr>
          <w:b/>
          <w:bCs/>
          <w:szCs w:val="20"/>
        </w:rPr>
        <w:t>**NBPL Alaska Case</w:t>
      </w:r>
    </w:p>
    <w:p>
      <w:pPr>
        <w:pStyle w:val="Normal"/>
        <w:rPr>
          <w:szCs w:val="20"/>
        </w:rPr>
      </w:pPr>
      <w:r>
        <w:rPr>
          <w:szCs w:val="20"/>
        </w:rPr>
        <w:t xml:space="preserve">The hydraulic design of the 3 BCFD pipeline is done.  Provided a cost estimate to Marketing for this option.  The cost estimate for this type of project was difficult because it is unique, with no historical data to benchmark.  Currently building a spreadsheet to identify the cost breakdowns for this, plus fuel and O&amp;M figures.  </w:t>
      </w:r>
    </w:p>
    <w:p>
      <w:pPr>
        <w:pStyle w:val="Normal"/>
        <w:rPr>
          <w:szCs w:val="20"/>
        </w:rPr>
      </w:pPr>
      <w:r>
        <w:rPr>
          <w:szCs w:val="20"/>
        </w:rPr>
      </w:r>
    </w:p>
    <w:p>
      <w:pPr>
        <w:pStyle w:val="Normal"/>
        <w:rPr>
          <w:b/>
          <w:bCs/>
          <w:szCs w:val="20"/>
        </w:rPr>
      </w:pPr>
      <w:r>
        <w:rPr>
          <w:b/>
          <w:bCs/>
          <w:szCs w:val="20"/>
        </w:rPr>
        <w:t>**NNG Project Max (Case 1)</w:t>
      </w:r>
    </w:p>
    <w:p>
      <w:pPr>
        <w:pStyle w:val="Normal"/>
        <w:rPr>
          <w:szCs w:val="20"/>
        </w:rPr>
      </w:pPr>
      <w:r>
        <w:rPr>
          <w:szCs w:val="20"/>
        </w:rPr>
        <w:t xml:space="preserve">Branch line and TBS analysis is essentially done.  There are several branch lines with complicated alternatives that are still being worked on. The mainline analysis is well underway and looks to be finished by Friday, August 10th.    </w:t>
      </w:r>
    </w:p>
    <w:p>
      <w:pPr>
        <w:pStyle w:val="Normal"/>
        <w:rPr>
          <w:szCs w:val="20"/>
        </w:rPr>
      </w:pPr>
      <w:r>
        <w:rPr>
          <w:szCs w:val="20"/>
        </w:rPr>
      </w:r>
    </w:p>
    <w:p>
      <w:pPr>
        <w:pStyle w:val="Normal"/>
        <w:rPr>
          <w:szCs w:val="20"/>
        </w:rPr>
      </w:pPr>
      <w:r>
        <w:rPr>
          <w:szCs w:val="20"/>
        </w:rPr>
        <w:t>Provided an engineering solution to a request for 96,000 Mcf/d service for a planned 550 MW generator sited in Outagamie County, Wisconsin.</w:t>
      </w:r>
    </w:p>
    <w:p>
      <w:pPr>
        <w:pStyle w:val="Normal"/>
        <w:rPr>
          <w:b/>
          <w:bCs/>
          <w:szCs w:val="20"/>
        </w:rPr>
      </w:pPr>
      <w:r>
        <w:rPr>
          <w:b/>
          <w:bCs/>
          <w:szCs w:val="20"/>
        </w:rPr>
      </w:r>
    </w:p>
    <w:p>
      <w:pPr>
        <w:pStyle w:val="Normal"/>
        <w:rPr>
          <w:b/>
          <w:bCs/>
          <w:szCs w:val="20"/>
        </w:rPr>
      </w:pPr>
      <w:r>
        <w:rPr>
          <w:b/>
          <w:bCs/>
          <w:szCs w:val="20"/>
        </w:rPr>
        <w:t>**NBPL Process For New Facilities</w:t>
      </w:r>
    </w:p>
    <w:p>
      <w:pPr>
        <w:pStyle w:val="Normal"/>
        <w:rPr>
          <w:b/>
          <w:bCs/>
          <w:szCs w:val="20"/>
        </w:rPr>
      </w:pPr>
      <w:r>
        <w:rPr>
          <w:szCs w:val="20"/>
        </w:rPr>
        <w:t xml:space="preserve">Met with Marketing to review a typical project process and made recommendations on information flow.   This is to make sure that projects proceed, in a timely fashion, to completion.  </w:t>
      </w:r>
    </w:p>
    <w:p>
      <w:pPr>
        <w:pStyle w:val="Normal"/>
        <w:rPr>
          <w:b/>
          <w:bCs/>
          <w:szCs w:val="20"/>
        </w:rPr>
      </w:pPr>
      <w:r>
        <w:rPr>
          <w:b/>
          <w:bCs/>
          <w:szCs w:val="20"/>
        </w:rPr>
      </w:r>
    </w:p>
    <w:p>
      <w:pPr>
        <w:pStyle w:val="Heading2"/>
        <w:ind w:hanging="0" w:start="0"/>
        <w:rPr>
          <w:color w:val="000000"/>
          <w:szCs w:val="20"/>
          <w:u w:val="none"/>
        </w:rPr>
      </w:pPr>
      <w:r>
        <w:rPr>
          <w:color w:val="000000"/>
          <w:szCs w:val="20"/>
          <w:u w:val="none"/>
        </w:rPr>
        <w:t>**MidAm Power</w:t>
      </w:r>
    </w:p>
    <w:p>
      <w:pPr>
        <w:pStyle w:val="Normal"/>
        <w:rPr>
          <w:szCs w:val="20"/>
        </w:rPr>
      </w:pPr>
      <w:r>
        <w:rPr>
          <w:szCs w:val="20"/>
        </w:rPr>
        <w:t>Provided technical assistance with regards to the transportation service offer to MidAm.  The offer was 96,000 Mcf/d summer 2003 and 2004 going to a 12-month service in 2005 for 96,000 Mcf/d.  Follow-up discussions are proceeding with MidAm engineers to facilitate an understanding of our service offer.</w:t>
      </w:r>
    </w:p>
    <w:p>
      <w:pPr>
        <w:pStyle w:val="Normal"/>
        <w:rPr>
          <w:szCs w:val="20"/>
        </w:rPr>
      </w:pPr>
      <w:r>
        <w:rPr>
          <w:szCs w:val="20"/>
        </w:rPr>
      </w:r>
    </w:p>
    <w:p>
      <w:pPr>
        <w:pStyle w:val="Heading7"/>
        <w:keepNext w:val="true"/>
        <w:spacing w:lineRule="atLeast" w:line="240"/>
        <w:ind w:hanging="0" w:start="0"/>
        <w:rPr>
          <w:rFonts w:ascii="Times New Roman" w:hAnsi="Times New Roman" w:cs="Times New Roman"/>
          <w:b/>
          <w:bCs/>
          <w:color w:val="000000"/>
          <w:sz w:val="24"/>
          <w:szCs w:val="20"/>
        </w:rPr>
      </w:pPr>
      <w:r>
        <w:rPr>
          <w:rFonts w:cs="Times New Roman" w:ascii="Times New Roman" w:hAnsi="Times New Roman"/>
          <w:b/>
          <w:bCs/>
          <w:color w:val="000000"/>
          <w:sz w:val="24"/>
          <w:szCs w:val="20"/>
        </w:rPr>
        <w:t>CAS</w:t>
      </w:r>
    </w:p>
    <w:p>
      <w:pPr>
        <w:pStyle w:val="Normal"/>
        <w:spacing w:lineRule="atLeast" w:line="240"/>
        <w:rPr>
          <w:color w:val="000000"/>
          <w:szCs w:val="20"/>
        </w:rPr>
      </w:pPr>
      <w:r>
        <w:rPr>
          <w:color w:val="000000"/>
          <w:szCs w:val="20"/>
        </w:rPr>
        <w:t>We verified the Receipt/Delivery R/D adjustment in CAS for the Permian group at Jo William's request.  They thought the available capacity should be greater than indicated.  The CAS numbers are correct.</w:t>
      </w:r>
    </w:p>
    <w:p>
      <w:pPr>
        <w:pStyle w:val="Normal"/>
        <w:spacing w:lineRule="atLeast" w:line="240"/>
        <w:rPr>
          <w:color w:val="000000"/>
          <w:szCs w:val="20"/>
        </w:rPr>
      </w:pPr>
      <w:r>
        <w:rPr>
          <w:color w:val="000000"/>
          <w:szCs w:val="20"/>
        </w:rPr>
      </w:r>
    </w:p>
    <w:p>
      <w:pPr>
        <w:pStyle w:val="Normal"/>
        <w:spacing w:lineRule="atLeast" w:line="240"/>
        <w:rPr>
          <w:color w:val="000000"/>
          <w:szCs w:val="20"/>
          <w:u w:val="single"/>
        </w:rPr>
      </w:pPr>
      <w:r>
        <w:rPr>
          <w:color w:val="000000"/>
          <w:szCs w:val="20"/>
        </w:rPr>
        <w:t>We modified the Project Cold analysis to provide individual TBS profiles for a potential transient analysis of the La Crosse branch line.</w:t>
      </w:r>
    </w:p>
    <w:p>
      <w:pPr>
        <w:pStyle w:val="Normal"/>
        <w:jc w:val="both"/>
        <w:rPr>
          <w:color w:val="000000"/>
          <w:szCs w:val="20"/>
          <w:u w:val="single"/>
        </w:rPr>
      </w:pPr>
      <w:r>
        <w:rPr>
          <w:color w:val="000000"/>
          <w:szCs w:val="20"/>
          <w:u w:val="single"/>
        </w:rPr>
      </w:r>
    </w:p>
    <w:p>
      <w:pPr>
        <w:pStyle w:val="Normal"/>
        <w:jc w:val="both"/>
        <w:rPr>
          <w:szCs w:val="20"/>
        </w:rPr>
      </w:pPr>
      <w:r>
        <w:rPr>
          <w:szCs w:val="20"/>
        </w:rPr>
      </w:r>
    </w:p>
    <w:p>
      <w:pPr>
        <w:pStyle w:val="Normal"/>
        <w:jc w:val="both"/>
        <w:rPr>
          <w:szCs w:val="20"/>
        </w:rPr>
      </w:pPr>
      <w:r>
        <w:rPr>
          <w:szCs w:val="20"/>
        </w:rPr>
      </w:r>
    </w:p>
    <w:p>
      <w:pPr>
        <w:pStyle w:val="Normal"/>
        <w:jc w:val="both"/>
        <w:rPr>
          <w:b/>
          <w:bCs/>
          <w:szCs w:val="20"/>
        </w:rPr>
      </w:pPr>
      <w:r>
        <w:rPr>
          <w:b/>
          <w:bCs/>
          <w:szCs w:val="20"/>
        </w:rPr>
        <w:t>CAS (Cont’d)</w:t>
      </w:r>
    </w:p>
    <w:p>
      <w:pPr>
        <w:pStyle w:val="Normal"/>
        <w:jc w:val="both"/>
        <w:rPr>
          <w:szCs w:val="20"/>
        </w:rPr>
      </w:pPr>
      <w:r>
        <w:rPr>
          <w:szCs w:val="20"/>
        </w:rPr>
        <w:t xml:space="preserve">Processed the last of the East Leg Open Season Requests.  Master Meter adjustment true ups were required at Monroe and Richland Center due to the latest East Leg Open season deal.  Other routine posting and request evaluations were performed.  </w:t>
      </w:r>
    </w:p>
    <w:p>
      <w:pPr>
        <w:pStyle w:val="Normal"/>
        <w:spacing w:lineRule="atLeast" w:line="240"/>
        <w:rPr>
          <w:b/>
          <w:bCs/>
          <w:color w:val="FF0000"/>
          <w:szCs w:val="20"/>
        </w:rPr>
      </w:pPr>
      <w:r>
        <w:rPr>
          <w:b/>
          <w:bCs/>
          <w:color w:val="FF0000"/>
          <w:szCs w:val="20"/>
        </w:rPr>
      </w:r>
    </w:p>
    <w:p>
      <w:pPr>
        <w:pStyle w:val="Normal"/>
        <w:spacing w:lineRule="atLeast" w:line="240"/>
        <w:rPr>
          <w:b/>
          <w:bCs/>
          <w:color w:val="000000"/>
          <w:szCs w:val="20"/>
        </w:rPr>
      </w:pPr>
      <w:r>
        <w:rPr>
          <w:b/>
          <w:bCs/>
          <w:color w:val="000000"/>
          <w:szCs w:val="20"/>
        </w:rPr>
        <w:t>Cedar Falls #2</w:t>
      </w:r>
    </w:p>
    <w:p>
      <w:pPr>
        <w:pStyle w:val="Normal"/>
        <w:rPr>
          <w:szCs w:val="20"/>
        </w:rPr>
      </w:pPr>
      <w:r>
        <w:rPr>
          <w:szCs w:val="20"/>
        </w:rPr>
        <w:t>Met with Marketing and teleconferenced with Operations concerning the problems with providing delivery pressures to the Cedar Falls Utility turbines.  Marketing will set up a meeting with Cedar Falls Utilities and ETS personnel to discuss options.</w:t>
      </w:r>
    </w:p>
    <w:p>
      <w:pPr>
        <w:pStyle w:val="Normal"/>
        <w:rPr>
          <w:szCs w:val="20"/>
        </w:rPr>
      </w:pPr>
      <w:r>
        <w:rPr>
          <w:szCs w:val="20"/>
        </w:rPr>
      </w:r>
    </w:p>
    <w:p>
      <w:pPr>
        <w:pStyle w:val="Normal"/>
        <w:rPr>
          <w:szCs w:val="20"/>
        </w:rPr>
      </w:pPr>
      <w:r>
        <w:rPr>
          <w:b/>
          <w:bCs/>
          <w:szCs w:val="20"/>
        </w:rPr>
        <w:t>**MGT Sugar Creek Interconnect</w:t>
      </w:r>
    </w:p>
    <w:p>
      <w:pPr>
        <w:pStyle w:val="Normal"/>
        <w:rPr>
          <w:szCs w:val="20"/>
        </w:rPr>
      </w:pPr>
      <w:r>
        <w:rPr>
          <w:szCs w:val="20"/>
        </w:rPr>
        <w:t>Released to Engineering.  This project consists of a tap and valve for a 200 MMcf/d delivery in Vigo County, IN.  The estimated cost is $285,000.</w:t>
      </w:r>
    </w:p>
    <w:p>
      <w:pPr>
        <w:pStyle w:val="Normal"/>
        <w:rPr>
          <w:szCs w:val="20"/>
        </w:rPr>
      </w:pPr>
      <w:r>
        <w:rPr>
          <w:szCs w:val="20"/>
        </w:rPr>
      </w:r>
    </w:p>
    <w:p>
      <w:pPr>
        <w:pStyle w:val="Heading2"/>
        <w:ind w:hanging="0" w:start="0"/>
        <w:rPr>
          <w:szCs w:val="20"/>
          <w:u w:val="none"/>
        </w:rPr>
      </w:pPr>
      <w:r>
        <w:rPr>
          <w:color w:val="000000"/>
          <w:szCs w:val="20"/>
          <w:u w:val="none"/>
        </w:rPr>
        <w:t>**KDHE/KCC</w:t>
      </w:r>
    </w:p>
    <w:p>
      <w:pPr>
        <w:pStyle w:val="Normal"/>
        <w:rPr>
          <w:szCs w:val="20"/>
        </w:rPr>
      </w:pPr>
      <w:r>
        <w:rPr>
          <w:szCs w:val="20"/>
        </w:rPr>
        <w:t xml:space="preserve">At Marketing’s request, participated in a meeting with the Kansas Department of Health and Environment to ensure KDHE considers and understands commercial issues as they develop new regulations dealing with bedded salt storage.  Also met with the KCC in Wichita to provide industry input on possible changes in priority storage regulations.  </w:t>
      </w:r>
    </w:p>
    <w:p>
      <w:pPr>
        <w:pStyle w:val="Normal"/>
        <w:rPr>
          <w:szCs w:val="20"/>
        </w:rPr>
      </w:pPr>
      <w:r>
        <w:rPr>
          <w:szCs w:val="20"/>
        </w:rPr>
      </w:r>
    </w:p>
    <w:p>
      <w:pPr>
        <w:pStyle w:val="Normal"/>
        <w:rPr>
          <w:szCs w:val="20"/>
        </w:rPr>
      </w:pPr>
      <w:r>
        <w:rPr>
          <w:szCs w:val="20"/>
        </w:rPr>
        <w:t>At the KDHE meeting it was disclosed that the Oneok Yaggy field is basically empty and will not be cycled until new regulations are finalized and an operation permit is issued.  This process is expected to take a significant period of time.</w:t>
      </w:r>
    </w:p>
    <w:p>
      <w:pPr>
        <w:pStyle w:val="Normal"/>
        <w:rPr>
          <w:szCs w:val="20"/>
        </w:rPr>
      </w:pPr>
      <w:r>
        <w:rPr>
          <w:szCs w:val="20"/>
        </w:rPr>
      </w:r>
    </w:p>
    <w:p>
      <w:pPr>
        <w:pStyle w:val="Normal"/>
        <w:rPr>
          <w:szCs w:val="20"/>
        </w:rPr>
      </w:pPr>
      <w:r>
        <w:rPr>
          <w:b/>
          <w:bCs/>
          <w:szCs w:val="20"/>
        </w:rPr>
        <w:t>Branch Line Index</w:t>
      </w:r>
    </w:p>
    <w:p>
      <w:pPr>
        <w:pStyle w:val="Normal"/>
        <w:rPr>
          <w:szCs w:val="20"/>
        </w:rPr>
      </w:pPr>
      <w:r>
        <w:rPr>
          <w:szCs w:val="20"/>
        </w:rPr>
        <w:t xml:space="preserve">The branch line index is nearing completion.  Working on finding branch line numbers for the last twenty or so stations.  There is currently data for 1462 stations available in the index.  The final version of the index will be made available as soon as it is completed.  </w:t>
      </w:r>
    </w:p>
    <w:p>
      <w:pPr>
        <w:pStyle w:val="Normal"/>
        <w:rPr>
          <w:szCs w:val="20"/>
        </w:rPr>
      </w:pPr>
      <w:r>
        <w:rPr>
          <w:szCs w:val="20"/>
        </w:rPr>
      </w:r>
    </w:p>
    <w:p>
      <w:pPr>
        <w:pStyle w:val="Heading4"/>
        <w:ind w:hanging="0" w:start="0"/>
        <w:jc w:val="both"/>
        <w:rPr>
          <w:b w:val="false"/>
          <w:bCs w:val="false"/>
          <w:szCs w:val="20"/>
          <w:u w:val="single"/>
        </w:rPr>
      </w:pPr>
      <w:r>
        <w:rPr>
          <w:b w:val="false"/>
          <w:bCs w:val="false"/>
          <w:szCs w:val="20"/>
          <w:u w:val="single"/>
        </w:rPr>
      </w:r>
    </w:p>
    <w:p>
      <w:pPr>
        <w:pStyle w:val="Normal"/>
        <w:rPr>
          <w:b/>
          <w:bCs/>
          <w:szCs w:val="20"/>
          <w:u w:val="single"/>
        </w:rPr>
      </w:pPr>
      <w:r>
        <w:rPr>
          <w:b/>
          <w:bCs/>
          <w:szCs w:val="20"/>
          <w:u w:val="single"/>
        </w:rPr>
      </w:r>
    </w:p>
    <w:p>
      <w:pPr>
        <w:pStyle w:val="Normal"/>
        <w:autoSpaceDE w:val="false"/>
        <w:rPr>
          <w:color w:val="000000"/>
          <w:szCs w:val="20"/>
        </w:rPr>
      </w:pPr>
      <w:r>
        <w:rPr>
          <w:color w:val="000000"/>
          <w:szCs w:val="20"/>
        </w:rPr>
      </w:r>
    </w:p>
    <w:p>
      <w:pPr>
        <w:pStyle w:val="Heading4"/>
        <w:ind w:hanging="0" w:start="0"/>
        <w:rPr>
          <w:color w:val="000000"/>
        </w:rPr>
      </w:pPr>
      <w:r>
        <w:rPr>
          <w:color w:val="000000"/>
        </w:rPr>
      </w:r>
    </w:p>
    <w:p>
      <w:pPr>
        <w:pStyle w:val="Heading4"/>
        <w:ind w:hanging="0" w:start="0"/>
        <w:rPr/>
      </w:pPr>
      <w:r>
        <w:rPr/>
      </w:r>
    </w:p>
    <w:p>
      <w:pPr>
        <w:pStyle w:val="Heading4"/>
        <w:ind w:hanging="0" w:start="0"/>
        <w:rPr/>
      </w:pPr>
      <w:r>
        <w:rPr/>
      </w:r>
    </w:p>
    <w:p>
      <w:pPr>
        <w:pStyle w:val="BodyText"/>
        <w:rPr/>
      </w:pPr>
      <w:r>
        <w:rPr/>
      </w:r>
    </w:p>
    <w:p>
      <w:pPr>
        <w:pStyle w:val="Normal"/>
        <w:autoSpaceDE w:val="false"/>
        <w:rPr>
          <w:color w:val="000000"/>
        </w:rPr>
      </w:pPr>
      <w:r>
        <w:rPr>
          <w:color w:val="000000"/>
        </w:rPr>
      </w:r>
    </w:p>
    <w:p>
      <w:pPr>
        <w:pStyle w:val="Normal"/>
        <w:autoSpaceDE w:val="false"/>
        <w:rPr>
          <w:color w:val="000000"/>
        </w:rPr>
      </w:pPr>
      <w:r>
        <w:rPr>
          <w:color w:val="000000"/>
        </w:rPr>
      </w:r>
    </w:p>
    <w:p>
      <w:pPr>
        <w:pStyle w:val="Normal"/>
        <w:autoSpaceDE w:val="false"/>
        <w:rPr>
          <w:b/>
          <w:bCs/>
          <w:color w:val="000000"/>
        </w:rPr>
      </w:pPr>
      <w:r>
        <w:rPr>
          <w:b/>
          <w:bCs/>
          <w:color w:val="000000"/>
        </w:rPr>
      </w:r>
    </w:p>
    <w:p>
      <w:pPr>
        <w:pStyle w:val="Normal"/>
        <w:autoSpaceDE w:val="false"/>
        <w:rPr>
          <w:b/>
          <w:bCs/>
          <w:color w:val="000000"/>
        </w:rPr>
      </w:pPr>
      <w:r>
        <w:rPr>
          <w:b/>
          <w:bCs/>
          <w:color w:val="000000"/>
        </w:rPr>
      </w:r>
    </w:p>
    <w:p>
      <w:pPr>
        <w:pStyle w:val="Normal"/>
        <w:autoSpaceDE w:val="false"/>
        <w:rPr>
          <w:b/>
          <w:bCs/>
          <w:color w:val="000000"/>
        </w:rPr>
      </w:pPr>
      <w:r>
        <w:rPr>
          <w:b/>
          <w:bCs/>
          <w:color w:val="000000"/>
        </w:rPr>
      </w:r>
    </w:p>
    <w:p>
      <w:pPr>
        <w:pStyle w:val="Normal"/>
        <w:autoSpaceDE w:val="false"/>
        <w:rPr>
          <w:rStyle w:val="EmailStyle24"/>
          <w:rFonts w:ascii="Times New Roman" w:hAnsi="Times New Roman" w:cs="Times New Roman"/>
          <w:sz w:val="24"/>
        </w:rPr>
      </w:pPr>
      <w:r>
        <w:rPr>
          <w:rFonts w:cs="Times New Roman"/>
          <w:color w:val="000000"/>
        </w:rPr>
      </w:r>
    </w:p>
    <w:p>
      <w:pPr>
        <w:pStyle w:val="Normal"/>
        <w:rPr>
          <w:rStyle w:val="EmailStyle24"/>
          <w:rFonts w:ascii="Times New Roman" w:hAnsi="Times New Roman" w:cs="Times New Roman"/>
          <w:sz w:val="24"/>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rPr>
  </w:style>
  <w:style w:type="paragraph" w:styleId="Heading2">
    <w:name w:val="heading 2"/>
    <w:basedOn w:val="Normal"/>
    <w:next w:val="Normal"/>
    <w:qFormat/>
    <w:pPr>
      <w:keepNext w:val="true"/>
      <w:numPr>
        <w:ilvl w:val="1"/>
        <w:numId w:val="1"/>
      </w:numPr>
      <w:autoSpaceDE w:val="false"/>
      <w:outlineLvl w:val="1"/>
    </w:pPr>
    <w:rPr>
      <w:rFonts w:eastAsia="Arial Unicode MS"/>
      <w:b/>
      <w:bCs/>
      <w:color w:val="0000FF"/>
      <w:u w:val="single"/>
    </w:rPr>
  </w:style>
  <w:style w:type="paragraph" w:styleId="Heading3">
    <w:name w:val="heading 3"/>
    <w:basedOn w:val="Normal"/>
    <w:next w:val="Normal"/>
    <w:qFormat/>
    <w:pPr>
      <w:keepNext w:val="true"/>
      <w:numPr>
        <w:ilvl w:val="2"/>
        <w:numId w:val="1"/>
      </w:numPr>
      <w:spacing w:lineRule="atLeast" w:line="240"/>
      <w:outlineLvl w:val="2"/>
    </w:pPr>
    <w:rPr>
      <w:b/>
      <w:bCs/>
      <w:color w:val="0000FF"/>
      <w:sz w:val="28"/>
      <w:szCs w:val="28"/>
    </w:rPr>
  </w:style>
  <w:style w:type="paragraph" w:styleId="Heading4">
    <w:name w:val="heading 4"/>
    <w:basedOn w:val="Normal"/>
    <w:next w:val="Normal"/>
    <w:qFormat/>
    <w:pPr>
      <w:keepNext w:val="true"/>
      <w:numPr>
        <w:ilvl w:val="3"/>
        <w:numId w:val="1"/>
      </w:numPr>
      <w:autoSpaceDE w:val="false"/>
      <w:outlineLvl w:val="3"/>
    </w:pPr>
    <w:rPr>
      <w:b/>
      <w:bCs/>
      <w:color w:val="000000"/>
    </w:rPr>
  </w:style>
  <w:style w:type="paragraph" w:styleId="Heading5">
    <w:name w:val="heading 5"/>
    <w:basedOn w:val="Normal"/>
    <w:next w:val="Normal"/>
    <w:qFormat/>
    <w:pPr>
      <w:keepNext w:val="true"/>
      <w:numPr>
        <w:ilvl w:val="4"/>
        <w:numId w:val="1"/>
      </w:numPr>
      <w:outlineLvl w:val="4"/>
    </w:pPr>
    <w:rPr>
      <w:rFonts w:cs="Arial"/>
      <w:b/>
      <w:bCs/>
      <w:szCs w:val="20"/>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character" w:styleId="DefaultParagraphFont">
    <w:name w:val="Default Paragraph Font"/>
    <w:qFormat/>
    <w:rPr/>
  </w:style>
  <w:style w:type="character" w:styleId="EmailStyle24">
    <w:name w:val="EmailStyle24"/>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cs="Arial"/>
      <w:b/>
      <w:bCs/>
      <w:color w:val="0000FF"/>
      <w:sz w:val="28"/>
      <w:szCs w:val="20"/>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2001-08-10T10:10:00Z</dcterms:created>
  <dc:creator>mgottsp</dc:creator>
  <dc:description/>
  <dc:language>en-CA</dc:language>
  <cp:lastModifiedBy>mgottsp</cp:lastModifiedBy>
  <cp:lastPrinted>2001-08-10T07:36:00Z</cp:lastPrinted>
  <dcterms:modified xsi:type="dcterms:W3CDTF">2001-08-10T10:10:00Z</dcterms:modified>
  <cp:revision>2</cp:revision>
  <dc:subject/>
  <dc:title>ETS Planning Weekly Report</dc:title>
</cp:coreProperties>
</file>