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autoSpaceDE w:val="true"/>
        <w:ind w:hanging="0" w:start="0"/>
        <w:rPr>
          <w:rFonts w:eastAsia="Times New Roman"/>
        </w:rPr>
      </w:pPr>
      <w:r>
        <w:rPr>
          <w:rFonts w:eastAsia="Times New Roman"/>
        </w:rPr>
        <w:t>ETS Planning Weekly Report</w:t>
      </w:r>
    </w:p>
    <w:p>
      <w:pPr>
        <w:pStyle w:val="Normal"/>
        <w:spacing w:lineRule="atLeast" w:line="240"/>
        <w:rPr>
          <w:b/>
          <w:bCs/>
          <w:color w:val="0000FF"/>
          <w:sz w:val="28"/>
        </w:rPr>
      </w:pPr>
      <w:r>
        <w:rPr>
          <w:b/>
          <w:bCs/>
          <w:color w:val="0000FF"/>
          <w:sz w:val="28"/>
        </w:rPr>
        <w:t>Week Ending August 2, 2001</w:t>
      </w:r>
    </w:p>
    <w:p>
      <w:pPr>
        <w:pStyle w:val="Normal"/>
        <w:spacing w:lineRule="atLeast" w:line="240"/>
        <w:rPr>
          <w:b/>
          <w:bCs/>
          <w:color w:val="0000FF"/>
          <w:sz w:val="28"/>
        </w:rPr>
      </w:pPr>
      <w:r>
        <w:rPr>
          <w:b/>
          <w:bCs/>
          <w:color w:val="0000FF"/>
          <w:sz w:val="28"/>
        </w:rPr>
      </w:r>
    </w:p>
    <w:p>
      <w:pPr>
        <w:pStyle w:val="Normal"/>
        <w:spacing w:lineRule="atLeast" w:line="240"/>
        <w:rPr>
          <w:b/>
          <w:bCs/>
          <w:color w:val="0000FF"/>
        </w:rPr>
      </w:pPr>
      <w:r>
        <w:rPr>
          <w:b/>
          <w:bCs/>
          <w:color w:val="0000FF"/>
        </w:rPr>
      </w:r>
    </w:p>
    <w:p>
      <w:pPr>
        <w:pStyle w:val="Normal"/>
        <w:spacing w:lineRule="atLeast" w:line="240"/>
        <w:rPr>
          <w:color w:val="000000"/>
          <w:sz w:val="28"/>
        </w:rPr>
      </w:pPr>
      <w:r>
        <w:rPr>
          <w:b/>
          <w:bCs/>
          <w:color w:val="0000FF"/>
          <w:sz w:val="28"/>
        </w:rPr>
        <w:t>HOUSTON PLANNING TEAM</w:t>
      </w:r>
    </w:p>
    <w:p>
      <w:pPr>
        <w:pStyle w:val="Heading2"/>
        <w:ind w:hanging="0" w:start="0"/>
        <w:rPr>
          <w:sz w:val="28"/>
        </w:rPr>
      </w:pPr>
      <w:r>
        <w:rPr>
          <w:bCs w:val="false"/>
          <w:sz w:val="28"/>
        </w:rPr>
        <w:t>Florida Gas Transmission, Transwestern Pipeline, NNG South &amp; EOTT</w:t>
      </w:r>
    </w:p>
    <w:p>
      <w:pPr>
        <w:pStyle w:val="Normal"/>
        <w:rPr>
          <w:szCs w:val="20"/>
        </w:rPr>
      </w:pPr>
      <w:r>
        <w:rPr>
          <w:b/>
          <w:bCs/>
          <w:szCs w:val="20"/>
        </w:rPr>
        <w:t>Egan Hub Partners - Interconnect</w:t>
      </w:r>
    </w:p>
    <w:p>
      <w:pPr>
        <w:pStyle w:val="Normal"/>
        <w:rPr>
          <w:szCs w:val="20"/>
        </w:rPr>
      </w:pPr>
      <w:r>
        <w:rPr>
          <w:szCs w:val="20"/>
        </w:rPr>
        <w:t>Working with Marketing/Legal to finalize the Reimbursement Agreement for the interconnect facilities.</w:t>
      </w:r>
    </w:p>
    <w:p>
      <w:pPr>
        <w:pStyle w:val="Normal"/>
        <w:rPr>
          <w:b/>
          <w:bCs/>
          <w:szCs w:val="20"/>
        </w:rPr>
      </w:pPr>
      <w:r>
        <w:rPr>
          <w:b/>
          <w:bCs/>
          <w:szCs w:val="20"/>
        </w:rPr>
        <w:t> </w:t>
      </w:r>
    </w:p>
    <w:p>
      <w:pPr>
        <w:pStyle w:val="Normal"/>
        <w:rPr>
          <w:szCs w:val="20"/>
        </w:rPr>
      </w:pPr>
      <w:r>
        <w:rPr>
          <w:b/>
          <w:bCs/>
          <w:szCs w:val="20"/>
        </w:rPr>
        <w:t>**Williams - Choctaw Storage I/C</w:t>
      </w:r>
    </w:p>
    <w:p>
      <w:pPr>
        <w:pStyle w:val="Normal"/>
        <w:rPr>
          <w:szCs w:val="20"/>
        </w:rPr>
      </w:pPr>
      <w:r>
        <w:rPr>
          <w:szCs w:val="20"/>
        </w:rPr>
        <w:t>Provided a Level A cost estimate to Marketing for a 1.5-mile - 10" lateral, M&amp;R, &amp; EFM to deliver/receive up to 90 MMcf/d on the Chachoula Lateral.  An option for compression was also included.</w:t>
      </w:r>
    </w:p>
    <w:p>
      <w:pPr>
        <w:pStyle w:val="Normal"/>
        <w:rPr>
          <w:szCs w:val="20"/>
        </w:rPr>
      </w:pPr>
      <w:r>
        <w:rPr>
          <w:szCs w:val="20"/>
        </w:rPr>
        <w:t> </w:t>
      </w:r>
    </w:p>
    <w:p>
      <w:pPr>
        <w:pStyle w:val="Normal"/>
        <w:rPr>
          <w:szCs w:val="20"/>
        </w:rPr>
      </w:pPr>
      <w:r>
        <w:rPr>
          <w:b/>
          <w:bCs/>
          <w:szCs w:val="20"/>
        </w:rPr>
        <w:t>**Acadian - W. Baton Rouge</w:t>
      </w:r>
    </w:p>
    <w:p>
      <w:pPr>
        <w:pStyle w:val="Normal"/>
        <w:rPr>
          <w:szCs w:val="20"/>
        </w:rPr>
      </w:pPr>
      <w:r>
        <w:rPr>
          <w:szCs w:val="20"/>
        </w:rPr>
        <w:t>Provided a Level A cost estimate to Marketing including two options to provide additional station flexibility.  Option # 1 includes modifying the existing meter station to allow Bi-Directional flow up to 30,000 MMBtu/d.  Option # 2 includes upgrading the station for 50 MMBtu/d of bi-directional capacity.</w:t>
      </w:r>
    </w:p>
    <w:p>
      <w:pPr>
        <w:pStyle w:val="Normal"/>
        <w:rPr>
          <w:szCs w:val="20"/>
        </w:rPr>
      </w:pPr>
      <w:r>
        <w:rPr>
          <w:szCs w:val="20"/>
        </w:rPr>
        <w:t> </w:t>
      </w:r>
    </w:p>
    <w:p>
      <w:pPr>
        <w:pStyle w:val="Normal"/>
        <w:rPr>
          <w:b/>
          <w:bCs/>
          <w:szCs w:val="20"/>
        </w:rPr>
      </w:pPr>
      <w:r>
        <w:rPr>
          <w:b/>
          <w:bCs/>
          <w:szCs w:val="20"/>
        </w:rPr>
        <w:t>Inglis Lateral Odorization</w:t>
      </w:r>
    </w:p>
    <w:p>
      <w:pPr>
        <w:pStyle w:val="Normal"/>
        <w:rPr>
          <w:szCs w:val="20"/>
        </w:rPr>
      </w:pPr>
      <w:r>
        <w:rPr>
          <w:szCs w:val="20"/>
        </w:rPr>
        <w:t xml:space="preserve">Assisted Operations in developing a plan to add odorization at the West Leg/Inglis Lateral take off. </w:t>
      </w:r>
    </w:p>
    <w:p>
      <w:pPr>
        <w:pStyle w:val="Normal"/>
        <w:rPr>
          <w:b/>
          <w:bCs/>
          <w:szCs w:val="20"/>
        </w:rPr>
      </w:pPr>
      <w:r>
        <w:rPr>
          <w:b/>
          <w:bCs/>
          <w:szCs w:val="20"/>
        </w:rPr>
        <w:t> </w:t>
      </w:r>
    </w:p>
    <w:p>
      <w:pPr>
        <w:pStyle w:val="Normal"/>
        <w:rPr>
          <w:b/>
          <w:bCs/>
          <w:szCs w:val="20"/>
        </w:rPr>
      </w:pPr>
      <w:r>
        <w:rPr>
          <w:b/>
          <w:bCs/>
          <w:szCs w:val="20"/>
        </w:rPr>
        <w:t>Florida Natural Growers (FNG)</w:t>
      </w:r>
    </w:p>
    <w:p>
      <w:pPr>
        <w:pStyle w:val="Normal"/>
        <w:rPr>
          <w:szCs w:val="20"/>
        </w:rPr>
      </w:pPr>
      <w:r>
        <w:rPr>
          <w:szCs w:val="20"/>
        </w:rPr>
        <w:t xml:space="preserve">Planning provided a Level A cost estimate to Marketing for a 4" tap, 100' of 4" connection piping and EFM to deliver up to 6,000 MMBtu/d to FNG's Bartow Plant.  This will be a CUC bypass.  Issued a Restricted Level C Release for environmental permitting for the project.  </w:t>
      </w:r>
    </w:p>
    <w:p>
      <w:pPr>
        <w:pStyle w:val="Normal"/>
        <w:rPr>
          <w:szCs w:val="20"/>
        </w:rPr>
      </w:pPr>
      <w:r>
        <w:rPr>
          <w:szCs w:val="20"/>
        </w:rPr>
        <w:t> </w:t>
      </w:r>
    </w:p>
    <w:p>
      <w:pPr>
        <w:pStyle w:val="Normal"/>
        <w:rPr>
          <w:szCs w:val="20"/>
        </w:rPr>
      </w:pPr>
      <w:r>
        <w:rPr>
          <w:b/>
          <w:bCs/>
          <w:szCs w:val="20"/>
        </w:rPr>
        <w:t>**Gulfstream - Interconnects</w:t>
      </w:r>
    </w:p>
    <w:p>
      <w:pPr>
        <w:pStyle w:val="Normal"/>
        <w:rPr>
          <w:szCs w:val="20"/>
        </w:rPr>
      </w:pPr>
      <w:r>
        <w:rPr>
          <w:szCs w:val="20"/>
        </w:rPr>
        <w:t>Working with Marketing to finalize the Reimbursement and OBA Agreements for the Hardee &amp; Osceola Interconnects.</w:t>
      </w:r>
    </w:p>
    <w:p>
      <w:pPr>
        <w:pStyle w:val="Normal"/>
        <w:rPr>
          <w:szCs w:val="20"/>
        </w:rPr>
      </w:pPr>
      <w:r>
        <w:rPr>
          <w:szCs w:val="20"/>
        </w:rPr>
        <w:t> </w:t>
      </w:r>
    </w:p>
    <w:p>
      <w:pPr>
        <w:pStyle w:val="Normal"/>
        <w:rPr>
          <w:szCs w:val="20"/>
        </w:rPr>
      </w:pPr>
      <w:r>
        <w:rPr>
          <w:b/>
          <w:bCs/>
          <w:szCs w:val="20"/>
        </w:rPr>
        <w:t>NUI - Pioneer Gate Station</w:t>
      </w:r>
    </w:p>
    <w:p>
      <w:pPr>
        <w:pStyle w:val="Normal"/>
        <w:rPr>
          <w:szCs w:val="20"/>
        </w:rPr>
      </w:pPr>
      <w:r>
        <w:rPr>
          <w:szCs w:val="20"/>
        </w:rPr>
        <w:t>Working with Engineering to finalize the design of metering facilities.  Also, Planning is in the process of redlining the drawings to send to Dresser for corrections.</w:t>
      </w:r>
    </w:p>
    <w:p>
      <w:pPr>
        <w:pStyle w:val="Normal"/>
        <w:rPr>
          <w:szCs w:val="20"/>
        </w:rPr>
      </w:pPr>
      <w:r>
        <w:rPr>
          <w:szCs w:val="20"/>
        </w:rPr>
        <w:t> </w:t>
      </w:r>
    </w:p>
    <w:p>
      <w:pPr>
        <w:pStyle w:val="Normal"/>
        <w:rPr>
          <w:b/>
          <w:bCs/>
          <w:szCs w:val="20"/>
        </w:rPr>
      </w:pPr>
      <w:r>
        <w:rPr>
          <w:b/>
          <w:bCs/>
          <w:szCs w:val="20"/>
        </w:rPr>
        <w:t>Calypso Pipeline</w:t>
      </w:r>
    </w:p>
    <w:p>
      <w:pPr>
        <w:pStyle w:val="Normal"/>
        <w:rPr>
          <w:szCs w:val="20"/>
        </w:rPr>
      </w:pPr>
      <w:r>
        <w:rPr>
          <w:szCs w:val="20"/>
        </w:rPr>
        <w:t>Met with Enron Global LNG to discuss various gas interchangeability issues FGT might experience with the proposed interconnect.</w:t>
      </w:r>
    </w:p>
    <w:p>
      <w:pPr>
        <w:pStyle w:val="Normal"/>
        <w:rPr>
          <w:szCs w:val="20"/>
        </w:rPr>
      </w:pPr>
      <w:r>
        <w:rPr>
          <w:szCs w:val="20"/>
        </w:rPr>
        <w:t> </w:t>
      </w:r>
    </w:p>
    <w:p>
      <w:pPr>
        <w:pStyle w:val="Normal"/>
        <w:rPr>
          <w:b/>
          <w:bCs/>
          <w:szCs w:val="20"/>
        </w:rPr>
      </w:pPr>
      <w:r>
        <w:rPr>
          <w:b/>
          <w:bCs/>
          <w:szCs w:val="20"/>
        </w:rPr>
        <w:t>**Phase V</w:t>
      </w:r>
    </w:p>
    <w:p>
      <w:pPr>
        <w:pStyle w:val="Normal"/>
        <w:rPr>
          <w:szCs w:val="20"/>
        </w:rPr>
      </w:pPr>
      <w:r>
        <w:rPr>
          <w:szCs w:val="20"/>
        </w:rPr>
        <w:t>FGT received the FERC certificate to proceed with the Phase V expansion effective July 27, 2001. FGT expects to receive the order to construct in 30 days.</w:t>
      </w:r>
    </w:p>
    <w:p>
      <w:pPr>
        <w:pStyle w:val="Normal"/>
        <w:rPr>
          <w:szCs w:val="20"/>
        </w:rPr>
      </w:pPr>
      <w:r>
        <w:rPr>
          <w:szCs w:val="20"/>
        </w:rPr>
        <w:t> </w:t>
      </w:r>
    </w:p>
    <w:p>
      <w:pPr>
        <w:pStyle w:val="Normal"/>
        <w:rPr>
          <w:szCs w:val="20"/>
        </w:rPr>
      </w:pPr>
      <w:r>
        <w:rPr>
          <w:szCs w:val="20"/>
        </w:rPr>
        <w:t>Planning attended two meetings for the upcoming Phase V installations.  One was to coordinate downtime for pipeline and compressor station upgrades and additions, and the other was a review of facilities for new compressor stations 13A and 44.  Other new station reviews still have to be completed.</w:t>
      </w:r>
    </w:p>
    <w:p>
      <w:pPr>
        <w:pStyle w:val="Normal"/>
        <w:rPr>
          <w:szCs w:val="20"/>
        </w:rPr>
      </w:pPr>
      <w:r>
        <w:rPr>
          <w:szCs w:val="20"/>
        </w:rPr>
        <w:t> </w:t>
      </w:r>
    </w:p>
    <w:p>
      <w:pPr>
        <w:pStyle w:val="Normal"/>
        <w:rPr>
          <w:b/>
          <w:bCs/>
          <w:szCs w:val="20"/>
        </w:rPr>
      </w:pPr>
      <w:r>
        <w:rPr>
          <w:b/>
          <w:bCs/>
          <w:szCs w:val="20"/>
        </w:rPr>
        <w:t>**Phase VI</w:t>
      </w:r>
    </w:p>
    <w:p>
      <w:pPr>
        <w:pStyle w:val="Normal"/>
        <w:rPr>
          <w:szCs w:val="20"/>
        </w:rPr>
      </w:pPr>
      <w:r>
        <w:rPr>
          <w:szCs w:val="20"/>
        </w:rPr>
        <w:t>Several flow study models with varying facilities and gas heating values were run to ascertain Phase VI projected costs, how the Phase V horsepower installations fit with the proposed Phase VI requirements, and what adjustments must be made to the proposed FERC filing.</w:t>
      </w:r>
    </w:p>
    <w:p>
      <w:pPr>
        <w:pStyle w:val="Normal"/>
        <w:rPr>
          <w:szCs w:val="20"/>
        </w:rPr>
      </w:pPr>
      <w:r>
        <w:rPr>
          <w:szCs w:val="20"/>
        </w:rPr>
        <w:t> </w:t>
      </w:r>
    </w:p>
    <w:p>
      <w:pPr>
        <w:pStyle w:val="Heading3"/>
        <w:ind w:hanging="0" w:start="0"/>
        <w:rPr>
          <w:rFonts w:eastAsia="Times New Roman"/>
        </w:rPr>
      </w:pPr>
      <w:r>
        <w:rPr>
          <w:rFonts w:eastAsia="Times New Roman"/>
        </w:rPr>
        <w:t>CAS</w:t>
      </w:r>
    </w:p>
    <w:p>
      <w:pPr>
        <w:pStyle w:val="Normal"/>
        <w:rPr>
          <w:szCs w:val="20"/>
        </w:rPr>
      </w:pPr>
      <w:r>
        <w:rPr>
          <w:szCs w:val="20"/>
        </w:rPr>
        <w:t>Attended a meeting to schedule FGT's installation and conversion to the Capacity Analysis System.  Due to other business, implementation was deferred to the second quarter of 2002, but data must be gathered and analyzed in advance.</w:t>
      </w:r>
    </w:p>
    <w:p>
      <w:pPr>
        <w:pStyle w:val="Normal"/>
        <w:rPr>
          <w:szCs w:val="20"/>
        </w:rPr>
      </w:pPr>
      <w:r>
        <w:rPr>
          <w:szCs w:val="20"/>
        </w:rPr>
        <w:t> </w:t>
      </w:r>
    </w:p>
    <w:p>
      <w:pPr>
        <w:pStyle w:val="Heading3"/>
        <w:ind w:hanging="0" w:start="0"/>
        <w:rPr/>
      </w:pPr>
      <w:r>
        <w:rPr/>
        <w:t>West Texas Leg Capacity </w:t>
      </w:r>
    </w:p>
    <w:p>
      <w:pPr>
        <w:pStyle w:val="Heading3"/>
        <w:ind w:hanging="0" w:start="0"/>
        <w:rPr/>
      </w:pPr>
      <w:r>
        <w:rPr>
          <w:b w:val="false"/>
          <w:bCs w:val="false"/>
        </w:rPr>
        <w:t>Capacity of WT-2 flowing south, based on receiving gas from NNG-Halley, (1040 psig pressure at the discharge side of the WT-2 Compressor Station and 975-995 psig current operating pressures at the TW/ Valero Ward County interconnect) is 505 MMcf/d. This is assuming that the valve-208-B is closed and that TW would be able to receive up to 100 MMcf/d from NNG at the existing TW/ NNG Halley interconnect. If valve 208-B is open and the 24” and 30” laterals are looped, TW cannot receive gas from NNG-Halley or NGPL-Winkler, but WT</w:t>
      </w:r>
      <w:r>
        <w:rPr/>
        <w:t>-</w:t>
      </w:r>
      <w:r>
        <w:rPr>
          <w:b w:val="false"/>
          <w:bCs w:val="false"/>
        </w:rPr>
        <w:t xml:space="preserve">2 can handle up to 550 MMcf/d during the summer seasons flowing south. </w:t>
      </w:r>
    </w:p>
    <w:p>
      <w:pPr>
        <w:pStyle w:val="Normal"/>
        <w:rPr>
          <w:szCs w:val="20"/>
        </w:rPr>
      </w:pPr>
      <w:r>
        <w:rPr>
          <w:szCs w:val="20"/>
        </w:rPr>
        <w:t> </w:t>
      </w:r>
    </w:p>
    <w:p>
      <w:pPr>
        <w:pStyle w:val="Heading3"/>
        <w:ind w:hanging="0" w:start="0"/>
        <w:rPr>
          <w:rFonts w:eastAsia="Times New Roman"/>
        </w:rPr>
      </w:pPr>
      <w:r>
        <w:rPr>
          <w:rFonts w:eastAsia="Times New Roman"/>
        </w:rPr>
        <w:t>**TW mainline &amp; Sun Devil pipeline</w:t>
      </w:r>
    </w:p>
    <w:p>
      <w:pPr>
        <w:pStyle w:val="Normal"/>
        <w:rPr>
          <w:szCs w:val="20"/>
        </w:rPr>
      </w:pPr>
      <w:r>
        <w:rPr>
          <w:szCs w:val="20"/>
        </w:rPr>
        <w:t>Provided a level “A” cost estimate for six scenarios (1A, 1B, 2A, 2B, 3A and 3B) to increase the capacity of TW mainline system by 50 MMcf/d, 60, 560, 565, 660 and 730 MMcf/d. This was sent to ETS Business Development on 8-1-2001.The Red Rock expansion model was used as the base case to conduct flow studies for this project.</w:t>
      </w:r>
    </w:p>
    <w:p>
      <w:pPr>
        <w:pStyle w:val="Normal"/>
        <w:rPr>
          <w:szCs w:val="20"/>
        </w:rPr>
      </w:pPr>
      <w:r>
        <w:rPr>
          <w:szCs w:val="20"/>
        </w:rPr>
        <w:t> </w:t>
      </w:r>
    </w:p>
    <w:p>
      <w:pPr>
        <w:pStyle w:val="Normal"/>
        <w:rPr>
          <w:szCs w:val="20"/>
        </w:rPr>
      </w:pPr>
      <w:r>
        <w:rPr>
          <w:b/>
          <w:bCs/>
          <w:szCs w:val="20"/>
        </w:rPr>
        <w:t>EOTT</w:t>
      </w:r>
    </w:p>
    <w:p>
      <w:pPr>
        <w:pStyle w:val="Normal"/>
        <w:rPr>
          <w:szCs w:val="20"/>
        </w:rPr>
      </w:pPr>
      <w:r>
        <w:rPr>
          <w:szCs w:val="20"/>
        </w:rPr>
        <w:t>Torch – Development of a cost estimate to tie-in gas from Torch's gathering system to the North Coles Levee plant is still ongoing.</w:t>
      </w:r>
    </w:p>
    <w:p>
      <w:pPr>
        <w:pStyle w:val="Normal"/>
        <w:rPr>
          <w:szCs w:val="20"/>
        </w:rPr>
      </w:pPr>
      <w:r>
        <w:rPr>
          <w:szCs w:val="20"/>
        </w:rPr>
        <w:t> </w:t>
      </w:r>
    </w:p>
    <w:p>
      <w:pPr>
        <w:pStyle w:val="Normal"/>
        <w:rPr>
          <w:szCs w:val="20"/>
        </w:rPr>
      </w:pPr>
      <w:r>
        <w:rPr>
          <w:b/>
          <w:bCs/>
          <w:szCs w:val="20"/>
        </w:rPr>
        <w:t>NNG</w:t>
      </w:r>
    </w:p>
    <w:p>
      <w:pPr>
        <w:pStyle w:val="Normal"/>
        <w:rPr>
          <w:rStyle w:val="emailstyle16"/>
          <w:rFonts w:ascii="Times New Roman" w:hAnsi="Times New Roman" w:cs="Times New Roman"/>
          <w:b/>
          <w:bCs/>
          <w:sz w:val="24"/>
        </w:rPr>
      </w:pPr>
      <w:r>
        <w:rPr>
          <w:szCs w:val="20"/>
        </w:rPr>
        <w:t>Beaver Co. #11 - the Level B estimate for facility modifications to accommodate an increase in flow rate from Duke has been received and sent to marketing.</w:t>
      </w:r>
    </w:p>
    <w:p>
      <w:pPr>
        <w:pStyle w:val="Normal"/>
        <w:rPr/>
      </w:pPr>
      <w:r>
        <w:rPr>
          <w:color w:val="000000"/>
        </w:rPr>
        <w:t> </w:t>
      </w:r>
    </w:p>
    <w:p>
      <w:pPr>
        <w:pStyle w:val="Heading3"/>
        <w:spacing w:lineRule="atLeast" w:line="240"/>
        <w:ind w:hanging="0" w:start="0"/>
        <w:rPr>
          <w:rFonts w:eastAsia="Times New Roman"/>
          <w:szCs w:val="24"/>
        </w:rPr>
      </w:pPr>
      <w:r>
        <w:rPr>
          <w:rFonts w:eastAsia="Times New Roman"/>
          <w:szCs w:val="24"/>
        </w:rPr>
        <w:t>Miscellaneous</w:t>
      </w:r>
    </w:p>
    <w:p>
      <w:pPr>
        <w:pStyle w:val="Normal"/>
        <w:rPr>
          <w:rFonts w:eastAsia="Times New Roman"/>
          <w:b/>
          <w:bCs/>
          <w:szCs w:val="20"/>
        </w:rPr>
      </w:pPr>
      <w:r>
        <w:rPr>
          <w:rFonts w:eastAsia="Times New Roman"/>
          <w:b/>
          <w:bCs/>
          <w:szCs w:val="20"/>
        </w:rPr>
      </w:r>
    </w:p>
    <w:p>
      <w:pPr>
        <w:pStyle w:val="Normal"/>
        <w:rPr>
          <w:b/>
          <w:bCs/>
          <w:color w:val="FF0000"/>
          <w:szCs w:val="20"/>
        </w:rPr>
      </w:pPr>
      <w:r>
        <w:rPr>
          <w:b/>
          <w:bCs/>
          <w:color w:val="FF0000"/>
          <w:szCs w:val="20"/>
        </w:rPr>
        <w:t>***Tom Parker retired effective July 31, 2001, with 41+ years of service***</w:t>
      </w:r>
    </w:p>
    <w:p>
      <w:pPr>
        <w:pStyle w:val="Normal"/>
        <w:rPr>
          <w:b/>
          <w:bCs/>
          <w:color w:val="FF0000"/>
          <w:szCs w:val="20"/>
        </w:rPr>
      </w:pPr>
      <w:r>
        <w:rPr>
          <w:b/>
          <w:bCs/>
          <w:color w:val="FF0000"/>
          <w:szCs w:val="20"/>
        </w:rPr>
        <w:t xml:space="preserve">       </w:t>
      </w:r>
      <w:r>
        <w:rPr>
          <w:b/>
          <w:bCs/>
          <w:color w:val="FF0000"/>
          <w:szCs w:val="20"/>
        </w:rPr>
        <w:t>HE WILL BE MISSED</w:t>
      </w:r>
    </w:p>
    <w:p>
      <w:pPr>
        <w:pStyle w:val="Normal"/>
        <w:spacing w:lineRule="atLeast" w:line="240"/>
        <w:rPr>
          <w:b/>
          <w:bCs/>
          <w:color w:val="FF0000"/>
          <w:szCs w:val="20"/>
        </w:rPr>
      </w:pPr>
      <w:r>
        <w:rPr>
          <w:b/>
          <w:bCs/>
          <w:color w:val="FF0000"/>
          <w:szCs w:val="20"/>
        </w:rPr>
      </w:r>
    </w:p>
    <w:p>
      <w:pPr>
        <w:pStyle w:val="Normal"/>
        <w:spacing w:lineRule="atLeast" w:line="240"/>
        <w:rPr>
          <w:b/>
          <w:bCs/>
          <w:color w:val="0000FF"/>
          <w:sz w:val="28"/>
        </w:rPr>
      </w:pPr>
      <w:r>
        <w:rPr>
          <w:b/>
          <w:bCs/>
          <w:color w:val="0000FF"/>
          <w:sz w:val="28"/>
        </w:rPr>
        <w:t>OMAHA PLANNING TEAM</w:t>
      </w:r>
    </w:p>
    <w:p>
      <w:pPr>
        <w:pStyle w:val="Normal"/>
        <w:rPr>
          <w:b/>
          <w:bCs/>
          <w:color w:val="0000FF"/>
          <w:sz w:val="28"/>
          <w:u w:val="single"/>
        </w:rPr>
      </w:pPr>
      <w:r>
        <w:rPr>
          <w:b/>
          <w:bCs/>
          <w:color w:val="0000FF"/>
          <w:sz w:val="28"/>
          <w:u w:val="single"/>
        </w:rPr>
        <w:t>Northern Natural Gas, Northern Border P/L &amp; Midwestern Gas Trans.</w:t>
      </w:r>
    </w:p>
    <w:p>
      <w:pPr>
        <w:pStyle w:val="Normal"/>
        <w:rPr>
          <w:szCs w:val="20"/>
        </w:rPr>
      </w:pPr>
      <w:r>
        <w:rPr>
          <w:b/>
          <w:bCs/>
          <w:szCs w:val="20"/>
        </w:rPr>
        <w:t>**NBPL Alaska Case</w:t>
      </w:r>
    </w:p>
    <w:p>
      <w:pPr>
        <w:pStyle w:val="Normal"/>
        <w:rPr>
          <w:szCs w:val="20"/>
        </w:rPr>
      </w:pPr>
      <w:r>
        <w:rPr>
          <w:szCs w:val="20"/>
        </w:rPr>
        <w:t xml:space="preserve">The hydraulic design of the 3 BCFD pipeline is done.  Currently working to get a realistic estimate of the cost to build that type of pipeline, since it is such a radical shift in design for us (Enron).  Purchasing is contacting mills to get an estimate of material costs and mill capacity for such a large project.  </w:t>
      </w:r>
    </w:p>
    <w:p>
      <w:pPr>
        <w:pStyle w:val="Normal"/>
        <w:rPr>
          <w:szCs w:val="20"/>
        </w:rPr>
      </w:pPr>
      <w:r>
        <w:rPr>
          <w:szCs w:val="20"/>
        </w:rPr>
        <w:t> </w:t>
      </w:r>
    </w:p>
    <w:p>
      <w:pPr>
        <w:pStyle w:val="Normal"/>
        <w:rPr>
          <w:b/>
          <w:bCs/>
          <w:szCs w:val="20"/>
        </w:rPr>
      </w:pPr>
      <w:r>
        <w:rPr>
          <w:b/>
          <w:bCs/>
          <w:szCs w:val="20"/>
        </w:rPr>
        <w:t>NBPL Harper to Manhattan South Volume Shift</w:t>
      </w:r>
    </w:p>
    <w:p>
      <w:pPr>
        <w:pStyle w:val="Normal"/>
        <w:rPr>
          <w:szCs w:val="20"/>
        </w:rPr>
      </w:pPr>
      <w:r>
        <w:rPr>
          <w:szCs w:val="20"/>
        </w:rPr>
        <w:t xml:space="preserve">Provided a cost estimate for horsepower additions at CS16 and CS19 and some cooling at CS17.   The estimates were given to Marketing on Friday, July 27th. </w:t>
      </w:r>
    </w:p>
    <w:p>
      <w:pPr>
        <w:pStyle w:val="Normal"/>
        <w:rPr>
          <w:szCs w:val="20"/>
        </w:rPr>
      </w:pPr>
      <w:r>
        <w:rPr>
          <w:szCs w:val="20"/>
        </w:rPr>
        <w:t> </w:t>
      </w:r>
    </w:p>
    <w:p>
      <w:pPr>
        <w:pStyle w:val="Normal"/>
        <w:rPr>
          <w:b/>
          <w:bCs/>
          <w:szCs w:val="20"/>
        </w:rPr>
      </w:pPr>
      <w:r>
        <w:rPr>
          <w:b/>
          <w:bCs/>
          <w:szCs w:val="20"/>
        </w:rPr>
        <w:t>**Volunteer Pipeline</w:t>
      </w:r>
    </w:p>
    <w:p>
      <w:pPr>
        <w:pStyle w:val="Normal"/>
        <w:rPr>
          <w:szCs w:val="20"/>
        </w:rPr>
      </w:pPr>
      <w:r>
        <w:rPr>
          <w:szCs w:val="20"/>
        </w:rPr>
        <w:t xml:space="preserve">Marketing has asked Planning to look at the proposed Volunteer pipeline design.   The current request is how do backhauls on MGT affect our delivery pressures to Volunteer.  </w:t>
      </w:r>
    </w:p>
    <w:p>
      <w:pPr>
        <w:pStyle w:val="Normal"/>
        <w:rPr>
          <w:szCs w:val="20"/>
        </w:rPr>
      </w:pPr>
      <w:r>
        <w:rPr>
          <w:szCs w:val="20"/>
        </w:rPr>
        <w:t> </w:t>
      </w:r>
    </w:p>
    <w:p>
      <w:pPr>
        <w:pStyle w:val="Heading4"/>
        <w:ind w:hanging="0" w:start="0"/>
        <w:jc w:val="both"/>
        <w:rPr>
          <w:rFonts w:ascii="Times New Roman" w:hAnsi="Times New Roman" w:cs="Times New Roman"/>
          <w:b/>
          <w:bCs/>
          <w:sz w:val="24"/>
          <w:szCs w:val="20"/>
        </w:rPr>
      </w:pPr>
      <w:r>
        <w:rPr>
          <w:rFonts w:cs="Times New Roman" w:ascii="Times New Roman" w:hAnsi="Times New Roman"/>
          <w:b/>
          <w:bCs/>
          <w:sz w:val="24"/>
          <w:szCs w:val="20"/>
        </w:rPr>
        <w:t>MidAm Power</w:t>
      </w:r>
    </w:p>
    <w:p>
      <w:pPr>
        <w:pStyle w:val="Normal"/>
        <w:rPr>
          <w:szCs w:val="20"/>
        </w:rPr>
      </w:pPr>
      <w:r>
        <w:rPr>
          <w:szCs w:val="20"/>
        </w:rPr>
        <w:t>Efforts continue to gain competitive and market growth information.  Analysis of latest competitive information embedded into the rate structure.  Reviewed information on receipt point concerns with the Planning team and reviewed receipt point preference with Gas Control</w:t>
      </w:r>
    </w:p>
    <w:p>
      <w:pPr>
        <w:pStyle w:val="Normal"/>
        <w:rPr>
          <w:szCs w:val="20"/>
        </w:rPr>
      </w:pPr>
      <w:r>
        <w:rPr>
          <w:szCs w:val="20"/>
        </w:rPr>
        <w:t> </w:t>
      </w:r>
    </w:p>
    <w:p>
      <w:pPr>
        <w:pStyle w:val="Heading7"/>
        <w:ind w:hanging="0" w:start="0"/>
        <w:rPr>
          <w:color w:val="000000"/>
          <w:szCs w:val="20"/>
        </w:rPr>
      </w:pPr>
      <w:r>
        <w:rPr>
          <w:color w:val="000000"/>
          <w:szCs w:val="20"/>
        </w:rPr>
        <w:t>Superior Water Power &amp; Light Power Plant</w:t>
      </w:r>
    </w:p>
    <w:p>
      <w:pPr>
        <w:pStyle w:val="Normal"/>
        <w:rPr>
          <w:szCs w:val="20"/>
        </w:rPr>
      </w:pPr>
      <w:r>
        <w:rPr>
          <w:color w:val="000000"/>
          <w:szCs w:val="20"/>
        </w:rPr>
        <w:t>The review of the request for service to their power plant has been completed.  A new delivery will be required from the Marquette Branch line at an estimated cost of $265,000.  The customer will build from their current connection with Great Lakes to our delivery point.</w:t>
      </w:r>
    </w:p>
    <w:p>
      <w:pPr>
        <w:pStyle w:val="Normal"/>
        <w:jc w:val="both"/>
        <w:rPr>
          <w:szCs w:val="20"/>
        </w:rPr>
      </w:pPr>
      <w:r>
        <w:rPr>
          <w:szCs w:val="20"/>
        </w:rPr>
        <w:t> </w:t>
      </w:r>
    </w:p>
    <w:p>
      <w:pPr>
        <w:pStyle w:val="Normal"/>
        <w:rPr>
          <w:b/>
          <w:bCs/>
          <w:szCs w:val="20"/>
        </w:rPr>
      </w:pPr>
      <w:r>
        <w:rPr>
          <w:b/>
          <w:bCs/>
          <w:szCs w:val="20"/>
        </w:rPr>
        <w:t>**Skylemetry Project Authorizations</w:t>
      </w:r>
    </w:p>
    <w:p>
      <w:pPr>
        <w:pStyle w:val="Normal"/>
        <w:rPr>
          <w:szCs w:val="20"/>
        </w:rPr>
      </w:pPr>
      <w:r>
        <w:rPr>
          <w:szCs w:val="20"/>
        </w:rPr>
        <w:t xml:space="preserve">Researching Property Accounting line/station numbers for one hundred and eleven locations with existing measurement in order for Property Accounting to unitize the Skylemetry AMR-6 as they are installed.  Working with Operations Teams in Carlton, Waterloo, Ogden, Farmington, Owatonna and the Minneapolis Administration Team to identify the locations of farm taps and industrial customers.  </w:t>
      </w:r>
    </w:p>
    <w:p>
      <w:pPr>
        <w:pStyle w:val="Normal"/>
        <w:jc w:val="both"/>
        <w:rPr>
          <w:b/>
          <w:bCs/>
          <w:szCs w:val="20"/>
        </w:rPr>
      </w:pPr>
      <w:r>
        <w:rPr>
          <w:b/>
          <w:bCs/>
          <w:szCs w:val="20"/>
        </w:rPr>
        <w:t> </w:t>
      </w:r>
    </w:p>
    <w:p>
      <w:pPr>
        <w:pStyle w:val="Heading3"/>
        <w:ind w:hanging="0" w:start="0"/>
        <w:rPr>
          <w:rFonts w:eastAsia="Times New Roman"/>
        </w:rPr>
      </w:pPr>
      <w:r>
        <w:rPr>
          <w:rFonts w:eastAsia="Times New Roman"/>
        </w:rPr>
        <w:t>**Project Max</w:t>
      </w:r>
    </w:p>
    <w:p>
      <w:pPr>
        <w:pStyle w:val="Normal"/>
        <w:rPr>
          <w:szCs w:val="20"/>
        </w:rPr>
      </w:pPr>
      <w:r>
        <w:rPr>
          <w:szCs w:val="20"/>
        </w:rPr>
        <w:t xml:space="preserve">Continuing to analyze TBS and branch line capacities for proposed increases.   Evaluating several options for the St Cloud line, including loop, modifications at the Alexandria compressor, a new Viking interconnect, and changing the proration factor of part of the branch line to a mainline factor.    </w:t>
      </w:r>
    </w:p>
    <w:p>
      <w:pPr>
        <w:pStyle w:val="Normal"/>
        <w:rPr>
          <w:szCs w:val="20"/>
        </w:rPr>
      </w:pPr>
      <w:r>
        <w:rPr>
          <w:szCs w:val="20"/>
        </w:rPr>
      </w:r>
    </w:p>
    <w:p>
      <w:pPr>
        <w:pStyle w:val="Normal"/>
        <w:rPr>
          <w:szCs w:val="20"/>
        </w:rPr>
      </w:pPr>
      <w:r>
        <w:rPr>
          <w:szCs w:val="20"/>
        </w:rPr>
        <w:t xml:space="preserve">Mainline analysis has started and initial results look positive, in light of the impact of the White Paper ideas.   </w:t>
      </w:r>
    </w:p>
    <w:p>
      <w:pPr>
        <w:pStyle w:val="Normal"/>
        <w:rPr>
          <w:szCs w:val="20"/>
        </w:rPr>
      </w:pPr>
      <w:r>
        <w:rPr>
          <w:szCs w:val="20"/>
        </w:rPr>
      </w:r>
    </w:p>
    <w:p>
      <w:pPr>
        <w:pStyle w:val="Normal"/>
        <w:rPr>
          <w:b/>
          <w:bCs/>
          <w:szCs w:val="20"/>
        </w:rPr>
      </w:pPr>
      <w:r>
        <w:rPr>
          <w:b/>
          <w:bCs/>
          <w:szCs w:val="20"/>
        </w:rPr>
      </w:r>
    </w:p>
    <w:p>
      <w:pPr>
        <w:pStyle w:val="Normal"/>
        <w:rPr>
          <w:b/>
          <w:bCs/>
          <w:szCs w:val="20"/>
        </w:rPr>
      </w:pPr>
      <w:r>
        <w:rPr>
          <w:b/>
          <w:bCs/>
          <w:szCs w:val="20"/>
        </w:rPr>
      </w:r>
    </w:p>
    <w:p>
      <w:pPr>
        <w:pStyle w:val="Normal"/>
        <w:rPr>
          <w:szCs w:val="20"/>
        </w:rPr>
      </w:pPr>
      <w:r>
        <w:rPr>
          <w:b/>
          <w:bCs/>
          <w:szCs w:val="20"/>
        </w:rPr>
        <w:t>**OPPD Cass County</w:t>
      </w:r>
    </w:p>
    <w:p>
      <w:pPr>
        <w:pStyle w:val="Normal"/>
        <w:rPr>
          <w:szCs w:val="20"/>
        </w:rPr>
      </w:pPr>
      <w:r>
        <w:rPr>
          <w:szCs w:val="20"/>
        </w:rPr>
        <w:t>Responded to several requests from E&amp;C on the Scope of the facilities for the OPPD Cass County TBS and pipelines.  E&amp;C is preparing a turnkey bid for EAMR to present to OPPD as an alternative to NNG constructing and owning the facilities. NNG will, at a minimum, construct, own, and operate the taps and valves on the mainline.</w:t>
      </w:r>
    </w:p>
    <w:p>
      <w:pPr>
        <w:pStyle w:val="Normal"/>
        <w:jc w:val="both"/>
        <w:rPr>
          <w:szCs w:val="20"/>
        </w:rPr>
      </w:pPr>
      <w:r>
        <w:rPr>
          <w:szCs w:val="20"/>
        </w:rPr>
        <w:t> </w:t>
      </w:r>
    </w:p>
    <w:p>
      <w:pPr>
        <w:pStyle w:val="Normal"/>
        <w:rPr>
          <w:b/>
          <w:bCs/>
          <w:szCs w:val="20"/>
        </w:rPr>
      </w:pPr>
      <w:r>
        <w:rPr>
          <w:b/>
          <w:bCs/>
          <w:szCs w:val="20"/>
        </w:rPr>
        <w:t>**Spraberry Station (In support of Houston Team)</w:t>
      </w:r>
    </w:p>
    <w:p>
      <w:pPr>
        <w:pStyle w:val="Normal"/>
        <w:rPr>
          <w:szCs w:val="20"/>
        </w:rPr>
      </w:pPr>
      <w:r>
        <w:rPr>
          <w:szCs w:val="20"/>
        </w:rPr>
        <w:t xml:space="preserve">A brief analysis of horsepower utilization was provided to Marketing and Operations for the Spraberry Station in the Permian Region.  The analysis to the field was to possibly abandon units #11 and #12 and one of either units #6, #7, or #8.  There may be some investments required for valving with this proposed abandonment.  </w:t>
      </w:r>
    </w:p>
    <w:p>
      <w:pPr>
        <w:pStyle w:val="Normal"/>
        <w:rPr>
          <w:szCs w:val="20"/>
        </w:rPr>
      </w:pPr>
      <w:r>
        <w:rPr>
          <w:szCs w:val="20"/>
        </w:rPr>
        <w:t> </w:t>
      </w:r>
    </w:p>
    <w:p>
      <w:pPr>
        <w:pStyle w:val="Normal"/>
        <w:rPr>
          <w:szCs w:val="20"/>
        </w:rPr>
      </w:pPr>
      <w:r>
        <w:rPr>
          <w:szCs w:val="20"/>
        </w:rPr>
      </w:r>
    </w:p>
    <w:p>
      <w:pPr>
        <w:pStyle w:val="Normal"/>
        <w:rPr>
          <w:b/>
          <w:bCs/>
          <w:color w:val="0000FF"/>
          <w:u w:val="single"/>
        </w:rPr>
      </w:pPr>
      <w:r>
        <w:rPr>
          <w:b/>
          <w:bCs/>
          <w:color w:val="0000FF"/>
          <w:u w:val="single"/>
        </w:rPr>
        <w:t> </w:t>
      </w:r>
    </w:p>
    <w:p>
      <w:pPr>
        <w:pStyle w:val="Normal"/>
        <w:rPr>
          <w:b/>
          <w:bCs/>
          <w:color w:val="0000FF"/>
          <w:u w:val="single"/>
        </w:rPr>
      </w:pPr>
      <w:r>
        <w:rPr>
          <w:b/>
          <w:bCs/>
          <w:color w:val="0000FF"/>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eastAsia="Arial Unicode MS"/>
      <w:b/>
      <w:bCs/>
      <w:color w:val="0000FF"/>
      <w:sz w:val="28"/>
    </w:rPr>
  </w:style>
  <w:style w:type="paragraph" w:styleId="Heading2">
    <w:name w:val="heading 2"/>
    <w:basedOn w:val="Normal"/>
    <w:next w:val="Normal"/>
    <w:qFormat/>
    <w:pPr>
      <w:keepNext w:val="true"/>
      <w:numPr>
        <w:ilvl w:val="1"/>
        <w:numId w:val="1"/>
      </w:numPr>
      <w:autoSpaceDE w:val="false"/>
      <w:outlineLvl w:val="1"/>
    </w:pPr>
    <w:rPr>
      <w:rFonts w:eastAsia="Arial Unicode MS"/>
      <w:b/>
      <w:bCs/>
      <w:color w:val="0000FF"/>
      <w:u w:val="single"/>
    </w:rPr>
  </w:style>
  <w:style w:type="paragraph" w:styleId="Heading3">
    <w:name w:val="heading 3"/>
    <w:basedOn w:val="Normal"/>
    <w:next w:val="Normal"/>
    <w:qFormat/>
    <w:pPr>
      <w:keepNext w:val="true"/>
      <w:numPr>
        <w:ilvl w:val="2"/>
        <w:numId w:val="1"/>
      </w:numPr>
      <w:outlineLvl w:val="2"/>
    </w:pPr>
    <w:rPr>
      <w:rFonts w:eastAsia="Arial Unicode MS"/>
      <w:b/>
      <w:bCs/>
      <w:szCs w:val="20"/>
    </w:rPr>
  </w:style>
  <w:style w:type="paragraph" w:styleId="Heading4">
    <w:name w:val="heading 4"/>
    <w:basedOn w:val="Normal"/>
    <w:next w:val="Normal"/>
    <w:qFormat/>
    <w:pPr>
      <w:numPr>
        <w:ilvl w:val="3"/>
        <w:numId w:val="1"/>
      </w:numPr>
      <w:autoSpaceDE w:val="false"/>
      <w:outlineLvl w:val="3"/>
    </w:pPr>
    <w:rPr>
      <w:rFonts w:ascii="Arial" w:hAnsi="Arial" w:eastAsia="Arial Unicode MS" w:cs="Arial"/>
      <w:sz w:val="20"/>
    </w:rPr>
  </w:style>
  <w:style w:type="paragraph" w:styleId="Heading7">
    <w:name w:val="heading 7"/>
    <w:basedOn w:val="Normal"/>
    <w:next w:val="Normal"/>
    <w:qFormat/>
    <w:pPr>
      <w:keepNext w:val="true"/>
      <w:numPr>
        <w:ilvl w:val="6"/>
        <w:numId w:val="1"/>
      </w:numPr>
      <w:tabs>
        <w:tab w:val="clear" w:pos="720"/>
        <w:tab w:val="left" w:pos="3420" w:leader="none"/>
      </w:tabs>
      <w:autoSpaceDE w:val="false"/>
      <w:spacing w:lineRule="atLeast" w:line="240"/>
      <w:outlineLvl w:val="6"/>
    </w:pPr>
    <w:rPr>
      <w:b/>
      <w:bCs/>
      <w:color w:val="000000"/>
    </w:rPr>
  </w:style>
  <w:style w:type="character" w:styleId="DefaultParagraphFont">
    <w:name w:val="Default Paragraph Font"/>
    <w:qFormat/>
    <w:rPr/>
  </w:style>
  <w:style w:type="character" w:styleId="emailstyle16">
    <w:name w:val="emailstyle16"/>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2001-08-02T16:46:00Z</dcterms:created>
  <dc:creator>mgottsp</dc:creator>
  <dc:description/>
  <dc:language>en-CA</dc:language>
  <cp:lastModifiedBy>mgottsp</cp:lastModifiedBy>
  <cp:lastPrinted>2001-08-02T14:10:00Z</cp:lastPrinted>
  <dcterms:modified xsi:type="dcterms:W3CDTF">2001-08-02T16:46:00Z</dcterms:modified>
  <cp:revision>2</cp:revision>
  <dc:subject/>
  <dc:title>ETS Planning Weekly Report</dc:title>
</cp:coreProperties>
</file>