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bCs/>
          <w:color w:val="0000FF"/>
          <w:sz w:val="28"/>
        </w:rPr>
      </w:pPr>
      <w:r>
        <w:rPr>
          <w:b/>
          <w:bCs/>
          <w:color w:val="0000FF"/>
          <w:sz w:val="28"/>
        </w:rPr>
        <w:t>ETS Planning Weekly Report</w:t>
      </w:r>
    </w:p>
    <w:p>
      <w:pPr>
        <w:pStyle w:val="Heading1"/>
        <w:ind w:hanging="0" w:start="0"/>
        <w:rPr>
          <w:bCs w:val="false"/>
        </w:rPr>
      </w:pPr>
      <w:r>
        <w:rPr>
          <w:bCs w:val="false"/>
        </w:rPr>
        <w:t>Week Ending July 27, 2001</w:t>
      </w:r>
    </w:p>
    <w:p>
      <w:pPr>
        <w:pStyle w:val="Normal"/>
        <w:spacing w:lineRule="atLeast" w:line="240"/>
        <w:rPr>
          <w:b/>
          <w:bCs/>
          <w:color w:val="0000FF"/>
          <w:sz w:val="28"/>
        </w:rPr>
      </w:pPr>
      <w:r>
        <w:rPr>
          <w:b/>
          <w:bCs/>
          <w:color w:val="0000FF"/>
          <w:sz w:val="28"/>
        </w:rPr>
        <w:t> </w:t>
      </w:r>
    </w:p>
    <w:p>
      <w:pPr>
        <w:pStyle w:val="Normal"/>
        <w:spacing w:lineRule="atLeast" w:line="240"/>
        <w:rPr>
          <w:color w:val="000000"/>
          <w:sz w:val="28"/>
        </w:rPr>
      </w:pPr>
      <w:r>
        <w:rPr>
          <w:b/>
          <w:bCs/>
          <w:color w:val="0000FF"/>
          <w:sz w:val="28"/>
        </w:rPr>
        <w:t>HOUSTON PLANNING TEAM</w:t>
      </w:r>
    </w:p>
    <w:p>
      <w:pPr>
        <w:pStyle w:val="Heading2"/>
        <w:ind w:hanging="0" w:start="0"/>
        <w:rPr>
          <w:sz w:val="28"/>
        </w:rPr>
      </w:pPr>
      <w:r>
        <w:rPr>
          <w:bCs w:val="false"/>
          <w:sz w:val="28"/>
        </w:rPr>
        <w:t>Florida Gas Transmission, Transwestern Pipeline, NNG South &amp; EOTT</w:t>
      </w:r>
    </w:p>
    <w:p>
      <w:pPr>
        <w:pStyle w:val="Normal"/>
        <w:rPr>
          <w:b/>
          <w:bCs/>
          <w:szCs w:val="20"/>
        </w:rPr>
      </w:pPr>
      <w:r>
        <w:rPr>
          <w:b/>
          <w:bCs/>
          <w:szCs w:val="20"/>
        </w:rPr>
        <w:t>TGM Exploration</w:t>
      </w:r>
    </w:p>
    <w:p>
      <w:pPr>
        <w:pStyle w:val="BodyText3"/>
        <w:autoSpaceDE w:val="true"/>
        <w:rPr>
          <w:sz w:val="24"/>
        </w:rPr>
      </w:pPr>
      <w:r>
        <w:rPr>
          <w:sz w:val="24"/>
        </w:rPr>
        <w:t xml:space="preserve">Planning issued a Level A cost estimate for a potential well connect for TGM Exploration.  The tap will be located on the FGT Mainline at Mile Post 88.7 in Pearl River County, MS.  The facilities consist of a 3" tap, 100 feet of 3" connection piping, and will use the existing EFM from Endevco Pearl River.  The volume is expected to be 4,000 MMBtu/d. </w:t>
      </w:r>
    </w:p>
    <w:p>
      <w:pPr>
        <w:pStyle w:val="Normal"/>
        <w:rPr>
          <w:b/>
          <w:bCs/>
          <w:szCs w:val="20"/>
        </w:rPr>
      </w:pPr>
      <w:r>
        <w:rPr>
          <w:b/>
          <w:bCs/>
          <w:szCs w:val="20"/>
        </w:rPr>
        <w:t> </w:t>
      </w:r>
    </w:p>
    <w:p>
      <w:pPr>
        <w:pStyle w:val="Normal"/>
        <w:rPr>
          <w:b/>
          <w:bCs/>
          <w:szCs w:val="20"/>
        </w:rPr>
      </w:pPr>
      <w:r>
        <w:rPr>
          <w:b/>
          <w:bCs/>
          <w:szCs w:val="20"/>
        </w:rPr>
        <w:t>Panama City Lateral</w:t>
      </w:r>
    </w:p>
    <w:p>
      <w:pPr>
        <w:pStyle w:val="Normal"/>
        <w:rPr>
          <w:szCs w:val="20"/>
        </w:rPr>
      </w:pPr>
      <w:r>
        <w:rPr>
          <w:szCs w:val="20"/>
        </w:rPr>
        <w:t>A Level B cost estimate was requested for 5.5 miles of 6" line from the proposed Smith Plant Lateral into Panama City in the event that an alternate supply for the city is required.</w:t>
      </w:r>
    </w:p>
    <w:p>
      <w:pPr>
        <w:pStyle w:val="Normal"/>
        <w:rPr>
          <w:szCs w:val="20"/>
        </w:rPr>
      </w:pPr>
      <w:r>
        <w:rPr>
          <w:szCs w:val="20"/>
        </w:rPr>
        <w:t> </w:t>
      </w:r>
    </w:p>
    <w:p>
      <w:pPr>
        <w:pStyle w:val="Normal"/>
        <w:rPr>
          <w:b/>
          <w:bCs/>
          <w:szCs w:val="20"/>
        </w:rPr>
      </w:pPr>
      <w:r>
        <w:rPr>
          <w:b/>
          <w:bCs/>
          <w:szCs w:val="20"/>
        </w:rPr>
        <w:t>**Gulfstream</w:t>
      </w:r>
    </w:p>
    <w:p>
      <w:pPr>
        <w:pStyle w:val="Normal"/>
        <w:rPr>
          <w:szCs w:val="20"/>
        </w:rPr>
      </w:pPr>
      <w:r>
        <w:rPr>
          <w:szCs w:val="20"/>
        </w:rPr>
        <w:t xml:space="preserve">Business Development, Planning, and Legal met with representatives from Gulfstream to discuss the proposed interconnects. Planning continues to assist in the development of the interconnect agreements.  </w:t>
      </w:r>
    </w:p>
    <w:p>
      <w:pPr>
        <w:pStyle w:val="Normal"/>
        <w:rPr>
          <w:szCs w:val="20"/>
        </w:rPr>
      </w:pPr>
      <w:r>
        <w:rPr>
          <w:szCs w:val="20"/>
        </w:rPr>
        <w:t> </w:t>
      </w:r>
    </w:p>
    <w:p>
      <w:pPr>
        <w:pStyle w:val="Normal"/>
        <w:rPr>
          <w:b/>
          <w:bCs/>
          <w:szCs w:val="20"/>
        </w:rPr>
      </w:pPr>
      <w:r>
        <w:rPr>
          <w:b/>
          <w:bCs/>
          <w:szCs w:val="20"/>
        </w:rPr>
        <w:t>**CUC Acadia</w:t>
      </w:r>
    </w:p>
    <w:p>
      <w:pPr>
        <w:pStyle w:val="Normal"/>
        <w:rPr>
          <w:szCs w:val="20"/>
        </w:rPr>
      </w:pPr>
      <w:r>
        <w:rPr>
          <w:szCs w:val="20"/>
        </w:rPr>
        <w:t>Planning received the Level B cost estimate for the tap, connection piping and EFM for the revised station location.  The estimate was sent to Marketing.</w:t>
      </w:r>
    </w:p>
    <w:p>
      <w:pPr>
        <w:pStyle w:val="Normal"/>
        <w:rPr>
          <w:szCs w:val="20"/>
        </w:rPr>
      </w:pPr>
      <w:r>
        <w:rPr>
          <w:szCs w:val="20"/>
        </w:rPr>
        <w:t> </w:t>
      </w:r>
    </w:p>
    <w:p>
      <w:pPr>
        <w:pStyle w:val="Normal"/>
        <w:rPr>
          <w:b/>
          <w:bCs/>
          <w:szCs w:val="20"/>
        </w:rPr>
      </w:pPr>
      <w:r>
        <w:rPr>
          <w:b/>
          <w:bCs/>
          <w:szCs w:val="20"/>
        </w:rPr>
        <w:t>**TECO/PGS Ft Myers</w:t>
      </w:r>
    </w:p>
    <w:p>
      <w:pPr>
        <w:pStyle w:val="Normal"/>
        <w:rPr>
          <w:szCs w:val="20"/>
        </w:rPr>
      </w:pPr>
      <w:r>
        <w:rPr>
          <w:szCs w:val="20"/>
        </w:rPr>
        <w:t>Planning received the Level B cost estimate for the tap, connection piping and EFM for the revised station location.  The estimate was sent to Marketing.</w:t>
      </w:r>
    </w:p>
    <w:p>
      <w:pPr>
        <w:pStyle w:val="Normal"/>
        <w:rPr>
          <w:b/>
          <w:bCs/>
          <w:szCs w:val="20"/>
        </w:rPr>
      </w:pPr>
      <w:r>
        <w:rPr>
          <w:b/>
          <w:bCs/>
          <w:szCs w:val="20"/>
        </w:rPr>
        <w:t> </w:t>
      </w:r>
    </w:p>
    <w:p>
      <w:pPr>
        <w:pStyle w:val="Normal"/>
        <w:rPr>
          <w:b/>
          <w:bCs/>
          <w:szCs w:val="20"/>
        </w:rPr>
      </w:pPr>
      <w:r>
        <w:rPr>
          <w:b/>
          <w:bCs/>
          <w:szCs w:val="20"/>
        </w:rPr>
        <w:t>Pratt Whitney</w:t>
      </w:r>
    </w:p>
    <w:p>
      <w:pPr>
        <w:pStyle w:val="Normal"/>
        <w:rPr>
          <w:szCs w:val="20"/>
        </w:rPr>
      </w:pPr>
      <w:r>
        <w:rPr>
          <w:szCs w:val="20"/>
        </w:rPr>
        <w:t xml:space="preserve">Planning issued a Level A cost estimate for 12.4 miles of 8" pipeline loop on the existing Pratt Whitney Lateral and a new measurement and regulation station to deliver incremental volumes up to 1.1MMcf/h at 550 psig to the Pratt Whitney plant.  The estimated cost is $6,450,000 not including income tax gross up. </w:t>
      </w:r>
    </w:p>
    <w:p>
      <w:pPr>
        <w:pStyle w:val="Normal"/>
        <w:rPr>
          <w:rFonts w:ascii="Arial" w:hAnsi="Arial" w:cs="Arial"/>
          <w:b/>
          <w:bCs/>
          <w:sz w:val="20"/>
          <w:szCs w:val="20"/>
        </w:rPr>
      </w:pPr>
      <w:r>
        <w:rPr>
          <w:rFonts w:cs="Arial" w:ascii="Arial" w:hAnsi="Arial"/>
          <w:b/>
          <w:bCs/>
          <w:sz w:val="20"/>
          <w:szCs w:val="20"/>
        </w:rPr>
        <w:t> </w:t>
      </w:r>
    </w:p>
    <w:p>
      <w:pPr>
        <w:pStyle w:val="Normal"/>
        <w:rPr>
          <w:b/>
          <w:bCs/>
          <w:szCs w:val="20"/>
        </w:rPr>
      </w:pPr>
      <w:r>
        <w:rPr>
          <w:b/>
          <w:bCs/>
          <w:szCs w:val="20"/>
        </w:rPr>
        <w:t>**FPU</w:t>
      </w:r>
    </w:p>
    <w:p>
      <w:pPr>
        <w:pStyle w:val="Normal"/>
        <w:rPr>
          <w:szCs w:val="20"/>
        </w:rPr>
      </w:pPr>
      <w:r>
        <w:rPr>
          <w:szCs w:val="20"/>
        </w:rPr>
        <w:t xml:space="preserve">Planning issued Level C Releases on the following NUI projects:  Montenay, Flying Foods, Pioneer, and the Titusville CNG Filling Station. </w:t>
      </w:r>
    </w:p>
    <w:p>
      <w:pPr>
        <w:pStyle w:val="Normal"/>
        <w:rPr>
          <w:b/>
          <w:bCs/>
          <w:szCs w:val="20"/>
        </w:rPr>
      </w:pPr>
      <w:r>
        <w:rPr>
          <w:b/>
          <w:bCs/>
          <w:szCs w:val="20"/>
        </w:rPr>
        <w:t> </w:t>
      </w:r>
    </w:p>
    <w:p>
      <w:pPr>
        <w:pStyle w:val="Normal"/>
        <w:rPr>
          <w:b/>
          <w:bCs/>
          <w:szCs w:val="20"/>
        </w:rPr>
      </w:pPr>
      <w:r>
        <w:rPr>
          <w:b/>
          <w:bCs/>
          <w:szCs w:val="20"/>
        </w:rPr>
        <w:t>**Phase VI</w:t>
      </w:r>
    </w:p>
    <w:p>
      <w:pPr>
        <w:pStyle w:val="Normal"/>
        <w:rPr>
          <w:szCs w:val="20"/>
        </w:rPr>
      </w:pPr>
      <w:r>
        <w:rPr>
          <w:szCs w:val="20"/>
        </w:rPr>
        <w:t>All of the latest flow studies are being redone with adjusted conditions using a 1032 Btu factor, with and without Sta. 31, and including the AGA flow formulas.</w:t>
      </w:r>
    </w:p>
    <w:p>
      <w:pPr>
        <w:pStyle w:val="Normal"/>
        <w:rPr>
          <w:rStyle w:val="emailstyle16"/>
          <w:rFonts w:ascii="Times New Roman" w:hAnsi="Times New Roman" w:cs="Times New Roman"/>
          <w:b/>
          <w:bCs/>
          <w:sz w:val="24"/>
        </w:rPr>
      </w:pPr>
      <w:r>
        <w:rPr>
          <w:rStyle w:val="emailstyle16"/>
          <w:rFonts w:cs="Times New Roman"/>
          <w:b/>
          <w:bCs/>
          <w:sz w:val="24"/>
          <w:szCs w:val="24"/>
        </w:rPr>
        <w:t> </w:t>
      </w:r>
    </w:p>
    <w:p>
      <w:pPr>
        <w:pStyle w:val="Normal"/>
        <w:rPr/>
      </w:pPr>
      <w:r>
        <w:rPr>
          <w:color w:val="000000"/>
        </w:rPr>
        <w:t> </w:t>
      </w:r>
    </w:p>
    <w:p>
      <w:pPr>
        <w:pStyle w:val="Normal"/>
        <w:rPr>
          <w:rStyle w:val="EmailStyle34"/>
          <w:rFonts w:ascii="Times New Roman" w:hAnsi="Times New Roman" w:cs="Times New Roman"/>
          <w:b/>
          <w:bCs/>
          <w:sz w:val="24"/>
        </w:rPr>
      </w:pPr>
      <w:r>
        <w:rPr>
          <w:rFonts w:cs="Times New Roman"/>
          <w:color w:val="000000"/>
        </w:rPr>
      </w:r>
    </w:p>
    <w:p>
      <w:pPr>
        <w:pStyle w:val="Normal"/>
        <w:rPr>
          <w:rStyle w:val="EmailStyle34"/>
          <w:rFonts w:ascii="Times New Roman" w:hAnsi="Times New Roman" w:cs="Times New Roman"/>
          <w:b/>
          <w:bCs/>
          <w:sz w:val="24"/>
        </w:rPr>
      </w:pPr>
      <w:r>
        <w:rPr/>
      </w:r>
    </w:p>
    <w:p>
      <w:pPr>
        <w:pStyle w:val="Normal"/>
        <w:rPr/>
      </w:pPr>
      <w:r>
        <w:rPr>
          <w:rStyle w:val="EmailStyle34"/>
          <w:rFonts w:cs="Times New Roman"/>
          <w:b/>
          <w:bCs/>
          <w:sz w:val="24"/>
        </w:rPr>
        <w:t>**TW Red Rock Expansion</w:t>
      </w:r>
    </w:p>
    <w:p>
      <w:pPr>
        <w:pStyle w:val="Normal"/>
        <w:rPr>
          <w:rStyle w:val="EmailStyle32"/>
          <w:rFonts w:ascii="Times New Roman" w:hAnsi="Times New Roman" w:cs="Times New Roman"/>
          <w:sz w:val="24"/>
        </w:rPr>
      </w:pPr>
      <w:r>
        <w:rPr>
          <w:rStyle w:val="EmailStyle34"/>
          <w:rFonts w:cs="Times New Roman"/>
          <w:sz w:val="24"/>
        </w:rPr>
        <w:t>Delivery of three units to the US is slated for February 2002; approximately 30 days to follow before arriving on site.  Installation sequence scheduled is CS2, 1, then 3.  Side valve assembly installations are scheduled for October ’01, March and April ’02; volume impacts of the required outages have been provided to Engineering and Marketing for financial effect.</w:t>
      </w:r>
    </w:p>
    <w:p>
      <w:pPr>
        <w:pStyle w:val="Normal"/>
        <w:rPr>
          <w:rStyle w:val="EmailStyle36"/>
          <w:rFonts w:ascii="Times New Roman" w:hAnsi="Times New Roman" w:cs="Times New Roman"/>
          <w:sz w:val="24"/>
        </w:rPr>
      </w:pPr>
      <w:r>
        <w:rPr/>
      </w:r>
    </w:p>
    <w:p>
      <w:pPr>
        <w:pStyle w:val="Heading3"/>
        <w:ind w:hanging="0" w:start="0"/>
        <w:rPr/>
      </w:pPr>
      <w:r>
        <w:rPr/>
        <w:t>**TW MAOP upgrade on Mainline/Loop Line from CS1-5 and San Juan Lateral</w:t>
      </w:r>
    </w:p>
    <w:p>
      <w:pPr>
        <w:pStyle w:val="Normal"/>
        <w:rPr/>
      </w:pPr>
      <w:r>
        <w:rPr>
          <w:rStyle w:val="EmailStyle36"/>
          <w:rFonts w:cs="Times New Roman"/>
          <w:color w:val="000000"/>
          <w:sz w:val="24"/>
        </w:rPr>
        <w:t xml:space="preserve">Provided capacity upgrades and general costs for required facilities relating to MAOP uprates from 72% to 80% SMYS to Enron’s pipeline safety group.  A draft letter is being prepared by pipeline safety for the Department of Transportation to consider the proposal for uprating.  </w:t>
      </w:r>
    </w:p>
    <w:p>
      <w:pPr>
        <w:pStyle w:val="Normal"/>
        <w:rPr>
          <w:rStyle w:val="EmailStyle36"/>
          <w:rFonts w:ascii="Times New Roman" w:hAnsi="Times New Roman" w:cs="Times New Roman"/>
          <w:sz w:val="24"/>
        </w:rPr>
      </w:pPr>
      <w:r>
        <w:rPr/>
      </w:r>
    </w:p>
    <w:p>
      <w:pPr>
        <w:pStyle w:val="Normal"/>
        <w:rPr/>
      </w:pPr>
      <w:r>
        <w:rPr>
          <w:rStyle w:val="EmailStyle32"/>
          <w:rFonts w:cs="Times New Roman"/>
          <w:b/>
          <w:bCs/>
          <w:sz w:val="24"/>
        </w:rPr>
        <w:t>NNG Beaver Dehydration Facilities</w:t>
      </w:r>
    </w:p>
    <w:p>
      <w:pPr>
        <w:pStyle w:val="Normal"/>
        <w:rPr/>
      </w:pPr>
      <w:r>
        <w:rPr>
          <w:rStyle w:val="EmailStyle32"/>
          <w:rFonts w:cs="Times New Roman"/>
          <w:sz w:val="24"/>
        </w:rPr>
        <w:t>Resolving capacity issues on Beaver Southeast system.  Beaver SE 24” is flowing approximately 140 MMcfd with about 25# pressure drop across dehy system.  Dehy packing material consultant indicated that something is wrong as indicative of conditions but would have to do a detailed discovery to determine.  Operations elected to continue operating as is as long as inlet conditions remain stable (140-145 MMcfd, 300 psig inlet, and not more than 30# dP) and until damage consultant can perform analysis and/or bead change out can be done.</w:t>
      </w:r>
    </w:p>
    <w:p>
      <w:pPr>
        <w:pStyle w:val="Normal"/>
        <w:rPr>
          <w:rStyle w:val="EmailStyle32"/>
          <w:rFonts w:ascii="Times New Roman" w:hAnsi="Times New Roman" w:cs="Times New Roman"/>
          <w:sz w:val="24"/>
        </w:rPr>
      </w:pPr>
      <w:r>
        <w:rPr/>
      </w:r>
    </w:p>
    <w:p>
      <w:pPr>
        <w:pStyle w:val="Normal"/>
        <w:rPr>
          <w:rStyle w:val="EmailStyle32"/>
          <w:rFonts w:ascii="Times New Roman" w:hAnsi="Times New Roman" w:cs="Times New Roman"/>
          <w:sz w:val="24"/>
        </w:rPr>
      </w:pPr>
      <w:r>
        <w:rPr/>
      </w:r>
    </w:p>
    <w:p>
      <w:pPr>
        <w:pStyle w:val="Normal"/>
        <w:spacing w:lineRule="atLeast" w:line="240"/>
        <w:rPr>
          <w:rStyle w:val="EmailStyle32"/>
          <w:rFonts w:ascii="Times New Roman" w:hAnsi="Times New Roman" w:cs="Times New Roman"/>
          <w:b/>
          <w:bCs/>
          <w:color w:val="0000FF"/>
          <w:sz w:val="24"/>
        </w:rPr>
      </w:pPr>
      <w:r>
        <w:rPr/>
      </w:r>
    </w:p>
    <w:p>
      <w:pPr>
        <w:pStyle w:val="Normal"/>
        <w:spacing w:lineRule="atLeast" w:line="240"/>
        <w:rPr>
          <w:b/>
          <w:bCs/>
          <w:color w:val="0000FF"/>
        </w:rPr>
      </w:pPr>
      <w:r>
        <w:rPr>
          <w:b/>
          <w:bCs/>
          <w:color w:val="0000FF"/>
        </w:rPr>
      </w:r>
    </w:p>
    <w:p>
      <w:pPr>
        <w:pStyle w:val="Heading1"/>
        <w:autoSpaceDE w:val="true"/>
        <w:ind w:hanging="0" w:start="0"/>
        <w:rPr>
          <w:rFonts w:eastAsia="Times New Roman"/>
        </w:rPr>
      </w:pPr>
      <w:r>
        <w:rPr>
          <w:rFonts w:eastAsia="Times New Roman"/>
        </w:rPr>
        <w:t>OMAHA PLANNING TEAM</w:t>
      </w:r>
    </w:p>
    <w:p>
      <w:pPr>
        <w:pStyle w:val="Normal"/>
        <w:rPr>
          <w:b/>
          <w:bCs/>
          <w:color w:val="0000FF"/>
          <w:sz w:val="28"/>
          <w:u w:val="single"/>
        </w:rPr>
      </w:pPr>
      <w:r>
        <w:rPr>
          <w:b/>
          <w:bCs/>
          <w:color w:val="0000FF"/>
          <w:sz w:val="28"/>
          <w:u w:val="single"/>
        </w:rPr>
        <w:t>Northern Natural Gas, Northern Border P/L &amp; Midwestern Gas Trans.</w:t>
      </w:r>
    </w:p>
    <w:p>
      <w:pPr>
        <w:pStyle w:val="Heading5"/>
        <w:ind w:hanging="0" w:start="0"/>
        <w:rPr>
          <w:b w:val="false"/>
          <w:bCs w:val="false"/>
          <w:color w:val="0000FF"/>
          <w:sz w:val="28"/>
          <w:u w:val="single"/>
        </w:rPr>
      </w:pPr>
      <w:r>
        <w:rPr>
          <w:b w:val="false"/>
          <w:bCs w:val="false"/>
          <w:color w:val="0000FF"/>
          <w:sz w:val="28"/>
          <w:u w:val="single"/>
        </w:rPr>
      </w:r>
    </w:p>
    <w:p>
      <w:pPr>
        <w:pStyle w:val="Normal"/>
        <w:rPr>
          <w:b/>
          <w:bCs/>
        </w:rPr>
      </w:pPr>
      <w:r>
        <w:rPr>
          <w:b/>
          <w:bCs/>
        </w:rPr>
        <w:t>**NBPL Alaska Case</w:t>
      </w:r>
    </w:p>
    <w:p>
      <w:pPr>
        <w:pStyle w:val="Normal"/>
        <w:rPr/>
      </w:pPr>
      <w:r>
        <w:rPr/>
        <w:t xml:space="preserve">Participated in a teleconference with Transcanada to discuss various Alaska gas pipeline designs.   There is currently a request for a 3 BCFD pipeline design and cost estimate.  </w:t>
      </w:r>
      <w:r>
        <w:rPr>
          <w:u w:val="single"/>
        </w:rPr>
        <w:t>This will most likely be a 2050 psig MAOP and either 42" or 48" diameter pipe.</w:t>
      </w:r>
      <w:r>
        <w:rPr/>
        <w:t xml:space="preserve">   Numbers need to be finalized and back to Marketing by the first week of August.  </w:t>
      </w:r>
    </w:p>
    <w:p>
      <w:pPr>
        <w:pStyle w:val="Normal"/>
        <w:rPr/>
      </w:pPr>
      <w:r>
        <w:rPr/>
        <w:t> </w:t>
      </w:r>
    </w:p>
    <w:p>
      <w:pPr>
        <w:pStyle w:val="Heading6"/>
        <w:ind w:hanging="0" w:start="0"/>
        <w:rPr>
          <w:bCs w:val="false"/>
        </w:rPr>
      </w:pPr>
      <w:r>
        <w:rPr>
          <w:bCs w:val="false"/>
        </w:rPr>
        <w:t>NBPL Harper to Manhattan South Volume Shift</w:t>
      </w:r>
    </w:p>
    <w:p>
      <w:pPr>
        <w:pStyle w:val="Normal"/>
        <w:rPr/>
      </w:pPr>
      <w:r>
        <w:rPr/>
        <w:t xml:space="preserve">Marketing has requested a cost estimate for horsepower additions at CS16 and CS19 and some cooling at CS17.   These are based upon some work done earlier by NBPL personnel.  The estimate needs to be done by Friday, July 27th. </w:t>
      </w:r>
    </w:p>
    <w:p>
      <w:pPr>
        <w:pStyle w:val="Normal"/>
        <w:rPr/>
      </w:pPr>
      <w:r>
        <w:rPr/>
        <w:t> </w:t>
      </w:r>
    </w:p>
    <w:p>
      <w:pPr>
        <w:pStyle w:val="Normal"/>
        <w:rPr>
          <w:b/>
          <w:bCs/>
        </w:rPr>
      </w:pPr>
      <w:r>
        <w:rPr>
          <w:b/>
          <w:bCs/>
        </w:rPr>
        <w:t>**NNG Project Max</w:t>
      </w:r>
    </w:p>
    <w:p>
      <w:pPr>
        <w:pStyle w:val="Normal"/>
        <w:rPr/>
      </w:pPr>
      <w:r>
        <w:rPr/>
        <w:t xml:space="preserve">Branch line analysis has started.  Various solutions to design constraints are being proposed in order to maximize the capabilities of the system.   Mainline analysis should start in a few days.   </w:t>
      </w:r>
    </w:p>
    <w:p>
      <w:pPr>
        <w:pStyle w:val="Normal"/>
        <w:rPr/>
      </w:pPr>
      <w:r>
        <w:rPr/>
        <w:t> </w:t>
      </w:r>
    </w:p>
    <w:p>
      <w:pPr>
        <w:pStyle w:val="Normal"/>
        <w:rPr/>
      </w:pPr>
      <w:r>
        <w:rPr/>
        <w:t> </w:t>
      </w:r>
    </w:p>
    <w:p>
      <w:pPr>
        <w:pStyle w:val="Normal"/>
        <w:rPr/>
      </w:pPr>
      <w:r>
        <w:rPr/>
      </w:r>
    </w:p>
    <w:p>
      <w:pPr>
        <w:pStyle w:val="Normal"/>
        <w:rPr>
          <w:b/>
          <w:bCs/>
        </w:rPr>
      </w:pPr>
      <w:r>
        <w:rPr>
          <w:b/>
          <w:bCs/>
        </w:rPr>
        <w:t>**East Leg Open Season</w:t>
      </w:r>
    </w:p>
    <w:p>
      <w:pPr>
        <w:pStyle w:val="Normal"/>
        <w:rPr/>
      </w:pPr>
      <w:r>
        <w:rPr/>
        <w:t>The East Leg Open Season for 2001 bids were received by Marketing.  Met with Marketing to review.</w:t>
      </w:r>
    </w:p>
    <w:p>
      <w:pPr>
        <w:pStyle w:val="Normal"/>
        <w:rPr/>
      </w:pPr>
      <w:r>
        <w:rPr/>
        <w:t> </w:t>
      </w:r>
    </w:p>
    <w:p>
      <w:pPr>
        <w:pStyle w:val="Heading6"/>
        <w:ind w:hanging="0" w:start="0"/>
        <w:rPr>
          <w:bCs w:val="false"/>
        </w:rPr>
      </w:pPr>
      <w:r>
        <w:rPr>
          <w:bCs w:val="false"/>
        </w:rPr>
        <w:t>NSP LNG Utilization</w:t>
      </w:r>
    </w:p>
    <w:p>
      <w:pPr>
        <w:pStyle w:val="Normal"/>
        <w:rPr/>
      </w:pPr>
      <w:r>
        <w:rPr/>
        <w:t xml:space="preserve">Working with Marketing on utilization of up to 60,000 MMBTUD of LNG service on the low-pressure side of Rosemount Y (St Paul #1P).  </w:t>
      </w:r>
    </w:p>
    <w:p>
      <w:pPr>
        <w:pStyle w:val="Heading5"/>
        <w:ind w:hanging="0" w:start="0"/>
        <w:rPr>
          <w:bCs w:val="false"/>
        </w:rPr>
      </w:pPr>
      <w:r>
        <w:rPr>
          <w:bCs w:val="false"/>
        </w:rPr>
      </w:r>
    </w:p>
    <w:p>
      <w:pPr>
        <w:pStyle w:val="Normal"/>
        <w:rPr>
          <w:b/>
          <w:bCs/>
        </w:rPr>
      </w:pPr>
      <w:r>
        <w:rPr>
          <w:b/>
          <w:bCs/>
        </w:rPr>
        <w:t>**MUD Meeting</w:t>
      </w:r>
    </w:p>
    <w:p>
      <w:pPr>
        <w:pStyle w:val="Normal"/>
        <w:rPr/>
      </w:pPr>
      <w:r>
        <w:rPr/>
        <w:t>Met with NNG Marketing and MUD to discuss facilities and cost for a tap and valve for MUD to serve the OPPD Cass County power plant load.  The cost is $510,000 including tax gross-up.</w:t>
      </w:r>
    </w:p>
    <w:p>
      <w:pPr>
        <w:pStyle w:val="Normal"/>
        <w:rPr/>
      </w:pPr>
      <w:r>
        <w:rPr/>
        <w:t> </w:t>
      </w:r>
    </w:p>
    <w:p>
      <w:pPr>
        <w:pStyle w:val="Heading6"/>
        <w:ind w:hanging="0" w:start="0"/>
        <w:rPr>
          <w:bCs w:val="false"/>
        </w:rPr>
      </w:pPr>
      <w:r>
        <w:rPr>
          <w:bCs w:val="false"/>
        </w:rPr>
        <w:t>**MIDAM Power</w:t>
      </w:r>
    </w:p>
    <w:p>
      <w:pPr>
        <w:pStyle w:val="Normal"/>
        <w:rPr/>
      </w:pPr>
      <w:r>
        <w:rPr/>
        <w:t>Evaluating design options, construction timing issues, competitive threat analysis to meet both the 96 MMcf/d case and the 180 MMcf/d cases 2005 (summer).  Working with the Field Teams, Regional Management, Corrosion Specialists, Gas Control, EAMR, Planning, and Marketing to evaluate this project.</w:t>
      </w:r>
    </w:p>
    <w:p>
      <w:pPr>
        <w:pStyle w:val="Normal"/>
        <w:rPr/>
      </w:pPr>
      <w:r>
        <w:rPr/>
        <w:t> </w:t>
      </w:r>
    </w:p>
    <w:p>
      <w:pPr>
        <w:pStyle w:val="Normal"/>
        <w:rPr>
          <w:b/>
          <w:bCs/>
        </w:rPr>
      </w:pPr>
      <w:r>
        <w:rPr>
          <w:b/>
          <w:bCs/>
        </w:rPr>
        <w:t>**Beatrice-Trailblazer</w:t>
      </w:r>
    </w:p>
    <w:p>
      <w:pPr>
        <w:pStyle w:val="Normal"/>
        <w:rPr/>
      </w:pPr>
      <w:r>
        <w:rPr/>
        <w:t>Flow schematics of the Beatrice Station were prepared and distributed on the requirements to flow:</w:t>
      </w:r>
    </w:p>
    <w:p>
      <w:pPr>
        <w:pStyle w:val="Normal"/>
        <w:rPr/>
      </w:pPr>
      <w:r>
        <w:rPr/>
        <w:t>1) 400 MMCF/D from Trailblazer to NNG at Beatrice</w:t>
      </w:r>
    </w:p>
    <w:p>
      <w:pPr>
        <w:pStyle w:val="Normal"/>
        <w:rPr/>
      </w:pPr>
      <w:r>
        <w:rPr/>
        <w:t>2) 450 MMCF/D from Trailblazer to NNG at Beatrice</w:t>
      </w:r>
    </w:p>
    <w:p>
      <w:pPr>
        <w:pStyle w:val="Normal"/>
        <w:rPr/>
      </w:pPr>
      <w:r>
        <w:rPr/>
        <w:t>Reg Affairs and Legal are reviewing the flow schematics.  The increase flow from Trailblazer will lower the volume from Demarc but the total peak day volume through Beatrice Station will remain the same.</w:t>
      </w:r>
    </w:p>
    <w:p>
      <w:pPr>
        <w:pStyle w:val="Normal"/>
        <w:rPr/>
      </w:pPr>
      <w:r>
        <w:rPr/>
        <w:t> </w:t>
      </w:r>
    </w:p>
    <w:p>
      <w:pPr>
        <w:pStyle w:val="Heading6"/>
        <w:ind w:hanging="0" w:start="0"/>
        <w:rPr>
          <w:bCs w:val="false"/>
        </w:rPr>
      </w:pPr>
      <w:r>
        <w:rPr>
          <w:bCs w:val="false"/>
        </w:rPr>
        <w:t>CAS</w:t>
      </w:r>
    </w:p>
    <w:p>
      <w:pPr>
        <w:pStyle w:val="Normal"/>
        <w:rPr/>
      </w:pPr>
      <w:r>
        <w:rPr/>
        <w:t>Working with IT group to modify CAS to allow receipt backhauls and delivery backhauls as options on the "Analysis" screen.  Currently the only options for evaluating path capacities are either receipt or delivery.  IT is also progressing on the previously mentioned issue of revising the receipt/delivery calculation to include the impact of receipt point realignments.</w:t>
      </w:r>
    </w:p>
    <w:p>
      <w:pPr>
        <w:pStyle w:val="Normal"/>
        <w:rPr/>
      </w:pPr>
      <w:r>
        <w:rPr/>
        <w:t> </w:t>
      </w:r>
    </w:p>
    <w:p>
      <w:pPr>
        <w:pStyle w:val="Heading6"/>
        <w:ind w:hanging="0" w:start="0"/>
        <w:rPr>
          <w:bCs w:val="false"/>
        </w:rPr>
      </w:pPr>
      <w:r>
        <w:rPr>
          <w:bCs w:val="false"/>
        </w:rPr>
        <w:t>KDHE</w:t>
      </w:r>
    </w:p>
    <w:p>
      <w:pPr>
        <w:pStyle w:val="Normal"/>
        <w:rPr/>
      </w:pPr>
      <w:r>
        <w:rPr/>
        <w:t>Reviewed the final industry comments offered to the KDHE regarding their proposed rules and regulations for bedded salt storage.  There were 47 major and 17 minor changes put forward.</w:t>
      </w:r>
    </w:p>
    <w:p>
      <w:pPr>
        <w:pStyle w:val="Normal"/>
        <w:rPr>
          <w:b/>
          <w:bCs/>
        </w:rPr>
      </w:pPr>
      <w:r>
        <w:rPr>
          <w:b/>
          <w:bCs/>
        </w:rPr>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eastAsia="Arial Unicode MS"/>
      <w:b/>
      <w:bCs/>
      <w:color w:val="0000FF"/>
      <w:sz w:val="28"/>
    </w:rPr>
  </w:style>
  <w:style w:type="paragraph" w:styleId="Heading2">
    <w:name w:val="heading 2"/>
    <w:basedOn w:val="Normal"/>
    <w:next w:val="Normal"/>
    <w:qFormat/>
    <w:pPr>
      <w:keepNext w:val="true"/>
      <w:numPr>
        <w:ilvl w:val="1"/>
        <w:numId w:val="1"/>
      </w:numPr>
      <w:autoSpaceDE w:val="false"/>
      <w:outlineLvl w:val="1"/>
    </w:pPr>
    <w:rPr>
      <w:rFonts w:eastAsia="Arial Unicode MS"/>
      <w:b/>
      <w:bCs/>
      <w:color w:val="0000FF"/>
      <w:u w:val="single"/>
    </w:rPr>
  </w:style>
  <w:style w:type="paragraph" w:styleId="Heading3">
    <w:name w:val="heading 3"/>
    <w:basedOn w:val="Normal"/>
    <w:next w:val="Normal"/>
    <w:qFormat/>
    <w:pPr>
      <w:keepNext w:val="true"/>
      <w:numPr>
        <w:ilvl w:val="2"/>
        <w:numId w:val="1"/>
      </w:numPr>
      <w:outlineLvl w:val="2"/>
    </w:pPr>
    <w:rPr>
      <w:b/>
      <w:bCs/>
      <w:color w:val="000000"/>
    </w:rPr>
  </w:style>
  <w:style w:type="paragraph" w:styleId="Heading5">
    <w:name w:val="heading 5"/>
    <w:basedOn w:val="Normal"/>
    <w:next w:val="Normal"/>
    <w:qFormat/>
    <w:pPr>
      <w:keepNext w:val="true"/>
      <w:numPr>
        <w:ilvl w:val="4"/>
        <w:numId w:val="1"/>
      </w:numPr>
      <w:outlineLvl w:val="4"/>
    </w:pPr>
    <w:rPr>
      <w:rFonts w:eastAsia="Arial Unicode MS"/>
      <w:b/>
      <w:bCs/>
      <w:u w:val="single"/>
    </w:rPr>
  </w:style>
  <w:style w:type="paragraph" w:styleId="Heading6">
    <w:name w:val="heading 6"/>
    <w:basedOn w:val="Normal"/>
    <w:next w:val="Normal"/>
    <w:qFormat/>
    <w:pPr>
      <w:keepNext w:val="true"/>
      <w:numPr>
        <w:ilvl w:val="5"/>
        <w:numId w:val="1"/>
      </w:numPr>
      <w:outlineLvl w:val="5"/>
    </w:pPr>
    <w:rPr>
      <w:rFonts w:eastAsia="Arial Unicode MS"/>
      <w:b/>
      <w:bCs/>
    </w:rPr>
  </w:style>
  <w:style w:type="character" w:styleId="DefaultParagraphFont">
    <w:name w:val="Default Paragraph Font"/>
    <w:qFormat/>
    <w:rPr/>
  </w:style>
  <w:style w:type="character" w:styleId="EmailStyle32">
    <w:name w:val="EmailStyle32"/>
    <w:basedOn w:val="DefaultParagraphFont"/>
    <w:qFormat/>
    <w:rPr>
      <w:rFonts w:ascii="Arial" w:hAnsi="Arial" w:cs="Arial"/>
      <w:color w:val="000000"/>
      <w:sz w:val="20"/>
      <w:szCs w:val="20"/>
    </w:rPr>
  </w:style>
  <w:style w:type="character" w:styleId="EmailStyle34">
    <w:name w:val="EmailStyle34"/>
    <w:basedOn w:val="DefaultParagraphFont"/>
    <w:qFormat/>
    <w:rPr>
      <w:rFonts w:ascii="Arial" w:hAnsi="Arial" w:cs="Arial"/>
      <w:color w:val="000000"/>
      <w:sz w:val="20"/>
      <w:szCs w:val="20"/>
    </w:rPr>
  </w:style>
  <w:style w:type="character" w:styleId="EmailStyle36">
    <w:name w:val="EmailStyle36"/>
    <w:basedOn w:val="DefaultParagraphFont"/>
    <w:qFormat/>
    <w:rPr>
      <w:rFonts w:ascii="Arial" w:hAnsi="Arial" w:cs="Arial"/>
      <w:color w:val="993366"/>
      <w:sz w:val="20"/>
      <w:szCs w:val="20"/>
    </w:rPr>
  </w:style>
  <w:style w:type="character" w:styleId="emailstyle16">
    <w:name w:val="emailstyle16"/>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autoSpaceDE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2001-07-27T09:35:00Z</dcterms:created>
  <dc:creator>mgottsp</dc:creator>
  <dc:description/>
  <dc:language>en-CA</dc:language>
  <cp:lastModifiedBy>mgottsp</cp:lastModifiedBy>
  <cp:lastPrinted>2001-07-27T06:53:00Z</cp:lastPrinted>
  <dcterms:modified xsi:type="dcterms:W3CDTF">2001-07-27T09:35:00Z</dcterms:modified>
  <cp:revision>2</cp:revision>
  <dc:subject/>
  <dc:title>ETS Planning Weekly Report</dc:title>
</cp:coreProperties>
</file>