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bCs/>
          <w:color w:val="0000FF"/>
          <w:sz w:val="28"/>
        </w:rPr>
      </w:pPr>
      <w:r>
        <w:rPr>
          <w:b/>
          <w:bCs/>
          <w:color w:val="0000FF"/>
          <w:sz w:val="28"/>
        </w:rPr>
        <w:t>ETS Planning Weekly Report</w:t>
      </w:r>
    </w:p>
    <w:p>
      <w:pPr>
        <w:pStyle w:val="Heading1"/>
        <w:ind w:hanging="0" w:start="0"/>
        <w:rPr>
          <w:bCs w:val="false"/>
        </w:rPr>
      </w:pPr>
      <w:r>
        <w:rPr>
          <w:bCs w:val="false"/>
        </w:rPr>
        <w:t>Week Ending July 20, 2001</w:t>
      </w:r>
    </w:p>
    <w:p>
      <w:pPr>
        <w:pStyle w:val="Normal"/>
        <w:spacing w:lineRule="atLeast" w:line="240"/>
        <w:rPr>
          <w:b/>
          <w:bCs/>
          <w:color w:val="0000FF"/>
        </w:rPr>
      </w:pPr>
      <w:r>
        <w:rPr>
          <w:b/>
          <w:bCs/>
          <w:color w:val="0000FF"/>
        </w:rPr>
      </w:r>
    </w:p>
    <w:p>
      <w:pPr>
        <w:pStyle w:val="Normal"/>
        <w:spacing w:lineRule="atLeast" w:line="240"/>
        <w:rPr>
          <w:color w:val="000000"/>
        </w:rPr>
      </w:pPr>
      <w:r>
        <w:rPr>
          <w:b/>
          <w:bCs/>
          <w:color w:val="0000FF"/>
        </w:rPr>
        <w:t>HOUSTON PLANNING TEAM</w:t>
      </w:r>
    </w:p>
    <w:p>
      <w:pPr>
        <w:pStyle w:val="Heading2"/>
        <w:ind w:hanging="0" w:start="0"/>
        <w:rPr>
          <w:bCs w:val="false"/>
        </w:rPr>
      </w:pPr>
      <w:r>
        <w:rPr>
          <w:bCs w:val="false"/>
        </w:rPr>
        <w:t>Florida Gas Transmission, Transwestern Pipeline, NNG South &amp; EOTT</w:t>
      </w:r>
    </w:p>
    <w:p>
      <w:pPr>
        <w:pStyle w:val="Normal"/>
        <w:rPr>
          <w:rStyle w:val="emailstyle16"/>
          <w:rFonts w:ascii="Times New Roman" w:hAnsi="Times New Roman" w:cs="Times New Roman"/>
          <w:b/>
          <w:bCs/>
          <w:sz w:val="24"/>
        </w:rPr>
      </w:pPr>
      <w:r>
        <w:rPr>
          <w:rFonts w:cs="Times New Roman"/>
        </w:rPr>
      </w:r>
    </w:p>
    <w:p>
      <w:pPr>
        <w:pStyle w:val="Heading5"/>
        <w:ind w:hanging="0" w:start="0"/>
        <w:rPr>
          <w:szCs w:val="20"/>
        </w:rPr>
      </w:pPr>
      <w:r>
        <w:rPr/>
        <w:t>FLORIDA GAS TRANSMISSION</w:t>
      </w:r>
    </w:p>
    <w:p>
      <w:pPr>
        <w:pStyle w:val="Normal"/>
        <w:rPr>
          <w:szCs w:val="20"/>
        </w:rPr>
      </w:pPr>
      <w:r>
        <w:rPr>
          <w:b/>
          <w:bCs/>
          <w:szCs w:val="20"/>
        </w:rPr>
        <w:t>Abandon 2 to MOPS</w:t>
      </w:r>
    </w:p>
    <w:p>
      <w:pPr>
        <w:pStyle w:val="Normal"/>
        <w:rPr>
          <w:szCs w:val="20"/>
        </w:rPr>
      </w:pPr>
      <w:r>
        <w:rPr>
          <w:szCs w:val="20"/>
        </w:rPr>
        <w:t>Planning met with Shoreline Gas Inc. regarding their interest in the 70 miles of 20" pipeline.  Shoreline will be contacting FGT with a level of interest in the next few weeks.</w:t>
      </w:r>
    </w:p>
    <w:p>
      <w:pPr>
        <w:pStyle w:val="Normal"/>
        <w:rPr>
          <w:szCs w:val="20"/>
        </w:rPr>
      </w:pPr>
      <w:r>
        <w:rPr>
          <w:szCs w:val="20"/>
        </w:rPr>
      </w:r>
    </w:p>
    <w:p>
      <w:pPr>
        <w:pStyle w:val="Normal"/>
        <w:rPr>
          <w:b/>
          <w:bCs/>
          <w:szCs w:val="20"/>
        </w:rPr>
      </w:pPr>
      <w:r>
        <w:rPr>
          <w:b/>
          <w:bCs/>
          <w:szCs w:val="20"/>
        </w:rPr>
        <w:t>ANR Krotz Springs</w:t>
      </w:r>
    </w:p>
    <w:p>
      <w:pPr>
        <w:pStyle w:val="Normal"/>
        <w:rPr>
          <w:szCs w:val="20"/>
        </w:rPr>
      </w:pPr>
      <w:r>
        <w:rPr>
          <w:szCs w:val="20"/>
        </w:rPr>
        <w:t>Received ANR's proposed cost estimate to install 200 &amp; 300 MMcf/d interconnect facilities.  Reviewed both estimates which appeared a little low compared to Enron's Engineering past projects.  ANR has a vested interest in keeping the cost down since they will be paying half the costs.  Comments were sent back to Marketing.</w:t>
      </w:r>
    </w:p>
    <w:p>
      <w:pPr>
        <w:pStyle w:val="Normal"/>
        <w:rPr>
          <w:szCs w:val="20"/>
        </w:rPr>
      </w:pPr>
      <w:r>
        <w:rPr>
          <w:szCs w:val="20"/>
        </w:rPr>
      </w:r>
    </w:p>
    <w:p>
      <w:pPr>
        <w:pStyle w:val="Normal"/>
        <w:rPr>
          <w:szCs w:val="20"/>
        </w:rPr>
      </w:pPr>
      <w:r>
        <w:rPr>
          <w:b/>
          <w:bCs/>
          <w:szCs w:val="20"/>
        </w:rPr>
        <w:t>**NUI - Pioneer Gate Station</w:t>
      </w:r>
    </w:p>
    <w:p>
      <w:pPr>
        <w:pStyle w:val="Normal"/>
        <w:rPr>
          <w:szCs w:val="20"/>
        </w:rPr>
      </w:pPr>
      <w:r>
        <w:rPr>
          <w:szCs w:val="20"/>
        </w:rPr>
        <w:t>This project scope includes installing 2 - 8" taps, 100' of 12" lateral, and EFM to supply NUI with gas.  Planning is working with Marketing to finalize the Level C release for the project.</w:t>
      </w:r>
    </w:p>
    <w:p>
      <w:pPr>
        <w:pStyle w:val="Normal"/>
        <w:rPr>
          <w:szCs w:val="20"/>
        </w:rPr>
      </w:pPr>
      <w:r>
        <w:rPr>
          <w:szCs w:val="20"/>
        </w:rPr>
      </w:r>
    </w:p>
    <w:p>
      <w:pPr>
        <w:pStyle w:val="Normal"/>
        <w:rPr>
          <w:szCs w:val="20"/>
        </w:rPr>
      </w:pPr>
      <w:r>
        <w:rPr>
          <w:b/>
          <w:bCs/>
          <w:szCs w:val="20"/>
        </w:rPr>
        <w:t>**ENA - Deerfield Beach</w:t>
      </w:r>
    </w:p>
    <w:p>
      <w:pPr>
        <w:pStyle w:val="Normal"/>
        <w:rPr>
          <w:szCs w:val="20"/>
        </w:rPr>
      </w:pPr>
      <w:r>
        <w:rPr>
          <w:szCs w:val="20"/>
        </w:rPr>
        <w:t>This project scope includes installing 12" &amp; 8" taps, 100' of 16" lateral, and EFM to supply ENA with gas at their proposed Deerfield Beach power plant.  Planning is working with ENA to finalize the tap location and revise the existing Level B estimate.</w:t>
      </w:r>
    </w:p>
    <w:p>
      <w:pPr>
        <w:pStyle w:val="Normal"/>
        <w:rPr>
          <w:szCs w:val="20"/>
        </w:rPr>
      </w:pPr>
      <w:r>
        <w:rPr>
          <w:szCs w:val="20"/>
        </w:rPr>
      </w:r>
    </w:p>
    <w:p>
      <w:pPr>
        <w:pStyle w:val="Normal"/>
        <w:rPr>
          <w:szCs w:val="20"/>
        </w:rPr>
      </w:pPr>
      <w:r>
        <w:rPr>
          <w:b/>
          <w:bCs/>
          <w:szCs w:val="20"/>
        </w:rPr>
        <w:t>**Phase V</w:t>
      </w:r>
    </w:p>
    <w:p>
      <w:pPr>
        <w:pStyle w:val="Normal"/>
        <w:rPr>
          <w:szCs w:val="20"/>
        </w:rPr>
      </w:pPr>
      <w:r>
        <w:rPr>
          <w:szCs w:val="20"/>
        </w:rPr>
        <w:t>Analyses are continuing on determining the necessity of constructing Compressor Station 31 in Phase V, considering all of the changed factors since Phase V was initially designed.  Also, consideration is being given to the effects on future expansions.</w:t>
      </w:r>
    </w:p>
    <w:p>
      <w:pPr>
        <w:pStyle w:val="Normal"/>
        <w:rPr>
          <w:szCs w:val="20"/>
        </w:rPr>
      </w:pPr>
      <w:r>
        <w:rPr>
          <w:szCs w:val="20"/>
        </w:rPr>
      </w:r>
    </w:p>
    <w:p>
      <w:pPr>
        <w:pStyle w:val="Heading1"/>
        <w:ind w:hanging="0" w:start="0"/>
        <w:rPr>
          <w:color w:val="000000"/>
          <w:sz w:val="24"/>
        </w:rPr>
      </w:pPr>
      <w:r>
        <w:rPr>
          <w:color w:val="000000"/>
          <w:sz w:val="24"/>
        </w:rPr>
        <w:t>ALABAMA ELECTRIC COOPERATIVE</w:t>
      </w:r>
    </w:p>
    <w:p>
      <w:pPr>
        <w:pStyle w:val="Normal"/>
        <w:rPr/>
      </w:pPr>
      <w:r>
        <w:rPr/>
        <w:t>A Level A cost estimate was prepared for Market Development for the costs to transport 200 MMMBtu/d from Destin Pipeline to Alabama Electric Cooperative, a distance of 89.8 miles in Mississippi and Alabama.</w:t>
      </w:r>
    </w:p>
    <w:p>
      <w:pPr>
        <w:pStyle w:val="Normal"/>
        <w:rPr>
          <w:b/>
          <w:bCs/>
        </w:rPr>
      </w:pPr>
      <w:r>
        <w:rPr>
          <w:b/>
          <w:bCs/>
        </w:rPr>
      </w:r>
    </w:p>
    <w:p>
      <w:pPr>
        <w:pStyle w:val="Heading5"/>
        <w:ind w:hanging="0" w:start="0"/>
        <w:rPr>
          <w:szCs w:val="20"/>
        </w:rPr>
      </w:pPr>
      <w:r>
        <w:rPr/>
        <w:t>EOTT</w:t>
      </w:r>
    </w:p>
    <w:p>
      <w:pPr>
        <w:pStyle w:val="Normal"/>
        <w:rPr>
          <w:szCs w:val="20"/>
        </w:rPr>
      </w:pPr>
      <w:r>
        <w:rPr>
          <w:b/>
          <w:bCs/>
          <w:szCs w:val="20"/>
        </w:rPr>
        <w:t>B.P. - Holt Ranch Connect - EOTT</w:t>
      </w:r>
    </w:p>
    <w:p>
      <w:pPr>
        <w:pStyle w:val="BodyText3"/>
        <w:rPr>
          <w:sz w:val="24"/>
        </w:rPr>
      </w:pPr>
      <w:r>
        <w:rPr>
          <w:sz w:val="24"/>
        </w:rPr>
        <w:t>This project scope includes connecting a production tank battery with approximately 1300' of 4" pipeline.  Planning has requested a Level B cost estimate from Engineering.</w:t>
      </w:r>
    </w:p>
    <w:p>
      <w:pPr>
        <w:pStyle w:val="Normal"/>
        <w:rPr>
          <w:sz w:val="24"/>
          <w:szCs w:val="20"/>
        </w:rPr>
      </w:pPr>
      <w:r>
        <w:rPr>
          <w:sz w:val="24"/>
          <w:szCs w:val="20"/>
        </w:rPr>
      </w:r>
    </w:p>
    <w:p>
      <w:pPr>
        <w:pStyle w:val="Normal"/>
        <w:rPr>
          <w:szCs w:val="20"/>
        </w:rPr>
      </w:pPr>
      <w:r>
        <w:rPr>
          <w:b/>
          <w:bCs/>
          <w:szCs w:val="20"/>
        </w:rPr>
        <w:t>System-Wide Optimization Effort - EOTT</w:t>
      </w:r>
    </w:p>
    <w:p>
      <w:pPr>
        <w:pStyle w:val="Normal"/>
        <w:rPr>
          <w:szCs w:val="20"/>
        </w:rPr>
      </w:pPr>
      <w:r>
        <w:rPr>
          <w:szCs w:val="20"/>
        </w:rPr>
        <w:t>Planning met with Optimization to discuss that group’s efforts on the EOTT pipeline system.</w:t>
      </w:r>
    </w:p>
    <w:p>
      <w:pPr>
        <w:pStyle w:val="Normal"/>
        <w:rPr>
          <w:szCs w:val="20"/>
        </w:rPr>
      </w:pPr>
      <w:r>
        <w:rPr>
          <w:szCs w:val="20"/>
        </w:rPr>
      </w:r>
    </w:p>
    <w:p>
      <w:pPr>
        <w:pStyle w:val="Heading5"/>
        <w:ind w:hanging="0" w:start="0"/>
        <w:rPr>
          <w:szCs w:val="20"/>
        </w:rPr>
      </w:pPr>
      <w:r>
        <w:rPr/>
        <w:t>TRANSWESTERN PIPELINE</w:t>
      </w:r>
    </w:p>
    <w:p>
      <w:pPr>
        <w:pStyle w:val="Normal"/>
        <w:rPr/>
      </w:pPr>
      <w:r>
        <w:rPr>
          <w:rStyle w:val="EmailStyle28"/>
          <w:rFonts w:cs="Times New Roman"/>
          <w:b/>
          <w:bCs/>
        </w:rPr>
        <w:t>**TW West Texas Lateral Capacity South of CS WT2</w:t>
      </w:r>
    </w:p>
    <w:p>
      <w:pPr>
        <w:pStyle w:val="Normal"/>
        <w:rPr/>
      </w:pPr>
      <w:r>
        <w:rPr>
          <w:rStyle w:val="EmailStyle28"/>
          <w:rFonts w:cs="Times New Roman"/>
          <w:b/>
          <w:bCs/>
        </w:rPr>
        <w:t>Meeting with Marketing and Gas Control to explore capacity strategies to determine delivery capacities south of WT2 that will allow firm receipts at NNG Halley.  Anticipating delivery of results this week.</w:t>
      </w:r>
    </w:p>
    <w:p>
      <w:pPr>
        <w:pStyle w:val="Normal"/>
        <w:rPr>
          <w:rStyle w:val="EmailStyle28"/>
          <w:rFonts w:ascii="Times New Roman" w:hAnsi="Times New Roman" w:cs="Times New Roman"/>
          <w:b/>
          <w:bCs/>
        </w:rPr>
      </w:pPr>
      <w:r>
        <w:rPr/>
      </w:r>
    </w:p>
    <w:p>
      <w:pPr>
        <w:pStyle w:val="Heading6"/>
        <w:ind w:hanging="0" w:start="0"/>
        <w:rPr/>
      </w:pPr>
      <w:r>
        <w:rPr/>
        <w:t>NNG Beaver Dehydration Facilities</w:t>
      </w:r>
    </w:p>
    <w:p>
      <w:pPr>
        <w:pStyle w:val="BodyText2"/>
        <w:rPr/>
      </w:pPr>
      <w:r>
        <w:rPr/>
        <w:t>Exploring capacity issues on Beaver Southeast system.  CAS sustainable capacity of this system is listed as 80 DTH but is currently flowing 140-150 MMcfd.  High end capacity of the Beaver Southeast dehydration facilities is between 90-100 MMcfd and the balance is being cracked over to the Northwest dehy facilities.  Meeting with Marketing and Regulatory today to discuss issues further.</w:t>
      </w:r>
    </w:p>
    <w:p>
      <w:pPr>
        <w:pStyle w:val="Normal"/>
        <w:rPr>
          <w:rStyle w:val="EmailStyle28"/>
          <w:rFonts w:ascii="Times New Roman" w:hAnsi="Times New Roman" w:cs="Times New Roman"/>
          <w:b/>
          <w:bCs/>
        </w:rPr>
      </w:pPr>
      <w:r>
        <w:rPr>
          <w:rFonts w:cs="Times New Roman"/>
        </w:rPr>
      </w:r>
    </w:p>
    <w:p>
      <w:pPr>
        <w:pStyle w:val="Normal"/>
        <w:rPr/>
      </w:pPr>
      <w:r>
        <w:rPr>
          <w:rStyle w:val="EmailStyle28"/>
          <w:rFonts w:cs="Times New Roman"/>
          <w:b/>
          <w:bCs/>
          <w:sz w:val="24"/>
        </w:rPr>
        <w:t>EOTT - Torch</w:t>
      </w:r>
    </w:p>
    <w:p>
      <w:pPr>
        <w:pStyle w:val="BodyText"/>
        <w:autoSpaceDE w:val="true"/>
        <w:rPr/>
      </w:pPr>
      <w:r>
        <w:rPr>
          <w:szCs w:val="20"/>
        </w:rPr>
        <w:t>Marketing has requested an estimate for a 3-6 mile section of pipeline to connect 10 MMcfd of gas from Torch’s facilities to Line 219. The scope of work also includes the addition of an amine treatment facility to the North Coles Levee plant in order to remove high levels of carbon dioxide and nitrogen.  This is required so that their gas can meet SoCal’s pipeline specifications.</w:t>
      </w:r>
    </w:p>
    <w:p>
      <w:pPr>
        <w:pStyle w:val="Normal"/>
        <w:rPr>
          <w:rStyle w:val="EmailStyle28"/>
          <w:rFonts w:ascii="Times New Roman" w:hAnsi="Times New Roman" w:cs="Times New Roman"/>
          <w:b/>
          <w:bCs/>
        </w:rPr>
      </w:pPr>
      <w:r>
        <w:rPr>
          <w:rFonts w:cs="Times New Roman"/>
          <w:szCs w:val="20"/>
        </w:rPr>
      </w:r>
    </w:p>
    <w:p>
      <w:pPr>
        <w:pStyle w:val="Normal"/>
        <w:autoSpaceDE w:val="false"/>
        <w:rPr/>
      </w:pPr>
      <w:r>
        <w:rPr>
          <w:b/>
          <w:bCs/>
          <w:color w:val="000000"/>
        </w:rPr>
        <w:t>TW Dashboard</w:t>
      </w:r>
    </w:p>
    <w:p>
      <w:pPr>
        <w:pStyle w:val="BodyText"/>
        <w:rPr/>
      </w:pPr>
      <w:r>
        <w:rPr/>
        <w:t xml:space="preserve">The Dashboard package was rolled to production the first of the week, FP finished the Lat/Long identification for the remaining points and the IT folks updated the map.  </w:t>
      </w:r>
    </w:p>
    <w:p>
      <w:pPr>
        <w:pStyle w:val="Normal"/>
        <w:tabs>
          <w:tab w:val="clear" w:pos="720"/>
          <w:tab w:val="left" w:pos="3420" w:leader="none"/>
        </w:tabs>
        <w:autoSpaceDE w:val="false"/>
        <w:spacing w:lineRule="atLeast" w:line="240"/>
        <w:rPr>
          <w:b/>
          <w:bCs/>
          <w:color w:val="000000"/>
        </w:rPr>
      </w:pPr>
      <w:r>
        <w:rPr>
          <w:b/>
          <w:bCs/>
          <w:color w:val="000000"/>
        </w:rPr>
      </w:r>
    </w:p>
    <w:p>
      <w:pPr>
        <w:pStyle w:val="Heading7"/>
        <w:ind w:hanging="0" w:start="0"/>
        <w:rPr/>
      </w:pPr>
      <w:r>
        <w:rPr/>
        <w:t>CAS</w:t>
      </w:r>
    </w:p>
    <w:p>
      <w:pPr>
        <w:pStyle w:val="BodyText"/>
        <w:rPr/>
      </w:pPr>
      <w:r>
        <w:rPr/>
        <w:t>Internal CAS reporting functions have a few bugs that are being addressed and will be corrected this week.  The Operational allocation process was rolled to production mid-week.  Gas Control and FP worked between daily cycles to correct all point &amp; group relationships to ensure realistic scheduled volumes.</w:t>
      </w:r>
    </w:p>
    <w:p>
      <w:pPr>
        <w:pStyle w:val="Normal"/>
        <w:rPr>
          <w:rStyle w:val="EmailStyle28"/>
        </w:rPr>
      </w:pPr>
      <w:r>
        <w:rPr/>
      </w:r>
    </w:p>
    <w:p>
      <w:pPr>
        <w:pStyle w:val="Normal"/>
        <w:rPr>
          <w:rStyle w:val="EmailStyle28"/>
          <w:b/>
          <w:bCs/>
        </w:rPr>
      </w:pPr>
      <w:r>
        <w:rPr/>
      </w:r>
    </w:p>
    <w:p>
      <w:pPr>
        <w:pStyle w:val="Heading5"/>
        <w:ind w:hanging="0" w:start="0"/>
        <w:rPr/>
      </w:pPr>
      <w:r>
        <w:rPr>
          <w:szCs w:val="20"/>
        </w:rPr>
        <w:t>Other</w:t>
      </w:r>
    </w:p>
    <w:p>
      <w:pPr>
        <w:pStyle w:val="Normal"/>
        <w:rPr>
          <w:szCs w:val="20"/>
        </w:rPr>
      </w:pPr>
      <w:r>
        <w:rPr>
          <w:b/>
          <w:bCs/>
          <w:szCs w:val="20"/>
        </w:rPr>
        <w:t>Timberline Estimating</w:t>
      </w:r>
    </w:p>
    <w:p>
      <w:pPr>
        <w:pStyle w:val="Normal"/>
        <w:rPr>
          <w:szCs w:val="20"/>
        </w:rPr>
      </w:pPr>
      <w:r>
        <w:rPr>
          <w:szCs w:val="20"/>
        </w:rPr>
        <w:t>Planning is complete with installation of the latest Timberline database for equipment and labor rates.  This database will provide the Planning department with the most current cost for pipeline and facility installations.</w:t>
      </w:r>
    </w:p>
    <w:p>
      <w:pPr>
        <w:pStyle w:val="Normal"/>
        <w:rPr>
          <w:color w:val="000000"/>
          <w:szCs w:val="20"/>
        </w:rPr>
      </w:pPr>
      <w:r>
        <w:rPr>
          <w:color w:val="000000"/>
          <w:szCs w:val="20"/>
        </w:rPr>
      </w:r>
    </w:p>
    <w:p>
      <w:pPr>
        <w:pStyle w:val="Normal"/>
        <w:rPr>
          <w:color w:val="000000"/>
        </w:rPr>
      </w:pPr>
      <w:r>
        <w:rPr>
          <w:color w:val="000000"/>
        </w:rPr>
      </w:r>
    </w:p>
    <w:p>
      <w:pPr>
        <w:pStyle w:val="Normal"/>
        <w:spacing w:lineRule="atLeast" w:line="240"/>
        <w:rPr>
          <w:b/>
          <w:bCs/>
          <w:color w:val="0000FF"/>
        </w:rPr>
      </w:pPr>
      <w:r>
        <w:rPr>
          <w:b/>
          <w:bCs/>
          <w:color w:val="0000FF"/>
        </w:rPr>
        <w:t>OMAHA PLANNING TEAM</w:t>
      </w:r>
    </w:p>
    <w:p>
      <w:pPr>
        <w:pStyle w:val="Normal"/>
        <w:rPr>
          <w:b/>
          <w:bCs/>
          <w:color w:val="0000FF"/>
          <w:u w:val="single"/>
        </w:rPr>
      </w:pPr>
      <w:r>
        <w:rPr>
          <w:b/>
          <w:bCs/>
          <w:color w:val="0000FF"/>
          <w:u w:val="single"/>
        </w:rPr>
        <w:t>Northern Natural Gas, Northern Border P/L &amp; Midwestern Gas Trans.</w:t>
      </w:r>
    </w:p>
    <w:p>
      <w:pPr>
        <w:pStyle w:val="Normal"/>
        <w:rPr>
          <w:b/>
          <w:bCs/>
          <w:color w:val="0000FF"/>
          <w:u w:val="single"/>
        </w:rPr>
      </w:pPr>
      <w:r>
        <w:rPr>
          <w:b/>
          <w:bCs/>
          <w:color w:val="0000FF"/>
          <w:u w:val="single"/>
        </w:rPr>
      </w:r>
    </w:p>
    <w:p>
      <w:pPr>
        <w:pStyle w:val="Heading5"/>
        <w:ind w:hanging="0" w:start="0"/>
        <w:rPr>
          <w:szCs w:val="20"/>
        </w:rPr>
      </w:pPr>
      <w:r>
        <w:rPr>
          <w:szCs w:val="20"/>
        </w:rPr>
        <w:t>Northern Natural Gas</w:t>
      </w:r>
    </w:p>
    <w:p>
      <w:pPr>
        <w:pStyle w:val="Normal"/>
        <w:rPr>
          <w:b/>
          <w:bCs/>
          <w:szCs w:val="20"/>
        </w:rPr>
      </w:pPr>
      <w:r>
        <w:rPr>
          <w:b/>
          <w:bCs/>
          <w:szCs w:val="20"/>
        </w:rPr>
        <w:t>**Project Max</w:t>
      </w:r>
    </w:p>
    <w:p>
      <w:pPr>
        <w:pStyle w:val="Normal"/>
        <w:rPr>
          <w:szCs w:val="20"/>
        </w:rPr>
      </w:pPr>
      <w:r>
        <w:rPr>
          <w:szCs w:val="20"/>
        </w:rPr>
        <w:t xml:space="preserve">Most of the 19 new TBS's have been located or a location estimated.  Branch line analysis assignments have been made.  Data upload spreadsheets are being constructed.  Marketing's priorities are Willmar (year 1 is done), Des Moines B line (under way), and then the rest of the lines by early August.  </w:t>
      </w:r>
    </w:p>
    <w:p>
      <w:pPr>
        <w:pStyle w:val="Normal"/>
        <w:rPr>
          <w:szCs w:val="20"/>
        </w:rPr>
      </w:pPr>
      <w:r>
        <w:rPr>
          <w:szCs w:val="20"/>
        </w:rPr>
      </w:r>
    </w:p>
    <w:p>
      <w:pPr>
        <w:pStyle w:val="Normal"/>
        <w:rPr>
          <w:szCs w:val="20"/>
        </w:rPr>
      </w:pPr>
      <w:r>
        <w:rPr>
          <w:szCs w:val="20"/>
        </w:rPr>
        <w:t>Started Gregg modeling work on several branch lines that will see additional peak day loads as part of this project.</w:t>
      </w:r>
    </w:p>
    <w:p>
      <w:pPr>
        <w:pStyle w:val="Normal"/>
        <w:rPr>
          <w:b/>
          <w:bCs/>
          <w:szCs w:val="20"/>
        </w:rPr>
      </w:pPr>
      <w:r>
        <w:rPr>
          <w:b/>
          <w:bCs/>
          <w:szCs w:val="20"/>
        </w:rPr>
      </w:r>
    </w:p>
    <w:p>
      <w:pPr>
        <w:pStyle w:val="Normal"/>
        <w:spacing w:lineRule="atLeast" w:line="240"/>
        <w:rPr>
          <w:b/>
          <w:bCs/>
          <w:color w:val="000000"/>
          <w:szCs w:val="20"/>
        </w:rPr>
      </w:pPr>
      <w:r>
        <w:rPr>
          <w:b/>
          <w:bCs/>
          <w:color w:val="000000"/>
          <w:szCs w:val="20"/>
        </w:rPr>
        <w:t>Willmar Branch Line</w:t>
      </w:r>
    </w:p>
    <w:p>
      <w:pPr>
        <w:pStyle w:val="Normal"/>
        <w:spacing w:lineRule="atLeast" w:line="240"/>
        <w:rPr>
          <w:color w:val="000000"/>
          <w:szCs w:val="20"/>
        </w:rPr>
      </w:pPr>
      <w:r>
        <w:rPr>
          <w:color w:val="000000"/>
          <w:szCs w:val="20"/>
        </w:rPr>
        <w:t xml:space="preserve">The proposed new TBS’s on the Willmar line have been located and placed on the model.  Realignments to Darwin for 200 MMBTUD and to Marystown for 1,400 MMBTUD will be approved for the 2001 heating season only along with the incremental volumes.  The realigned volumes will be requested for Project Max, as incremental volumes, in 2002.  The analysis for the 2001 volumes has been completed and I have started on the analysis for volumes that start in 2002 and beyond. </w:t>
      </w:r>
    </w:p>
    <w:p>
      <w:pPr>
        <w:pStyle w:val="Normal"/>
        <w:spacing w:lineRule="atLeast" w:line="240"/>
        <w:rPr>
          <w:color w:val="000000"/>
          <w:szCs w:val="20"/>
        </w:rPr>
      </w:pPr>
      <w:r>
        <w:rPr>
          <w:color w:val="000000"/>
          <w:szCs w:val="20"/>
        </w:rPr>
      </w:r>
    </w:p>
    <w:p>
      <w:pPr>
        <w:pStyle w:val="Heading2"/>
        <w:ind w:hanging="0" w:start="0"/>
        <w:rPr>
          <w:color w:val="000000"/>
          <w:szCs w:val="20"/>
          <w:u w:val="none"/>
        </w:rPr>
      </w:pPr>
      <w:r>
        <w:rPr>
          <w:color w:val="000000"/>
          <w:szCs w:val="20"/>
          <w:u w:val="none"/>
        </w:rPr>
        <w:t>**KDHE Draft Regulations</w:t>
      </w:r>
    </w:p>
    <w:p>
      <w:pPr>
        <w:pStyle w:val="Normal"/>
        <w:rPr>
          <w:szCs w:val="20"/>
        </w:rPr>
      </w:pPr>
      <w:r>
        <w:rPr>
          <w:szCs w:val="20"/>
        </w:rPr>
        <w:t>Assisted with the development of comments and concerns on the proposed rules and regulations for salt bed gas storage in Kansas.  Also participated in the conference call to develop industry comments with representatives from other companies including Williams and El Paso.  After a thorough review of the 46-page draft it’s clear that significant changes will have to be made in the regulations if for salt bed storage to be economically viable.</w:t>
      </w:r>
    </w:p>
    <w:p>
      <w:pPr>
        <w:pStyle w:val="Normal"/>
        <w:rPr>
          <w:szCs w:val="20"/>
        </w:rPr>
      </w:pPr>
      <w:r>
        <w:rPr>
          <w:szCs w:val="20"/>
        </w:rPr>
      </w:r>
    </w:p>
    <w:p>
      <w:pPr>
        <w:pStyle w:val="Heading2"/>
        <w:ind w:hanging="0" w:start="0"/>
        <w:jc w:val="both"/>
        <w:rPr>
          <w:color w:val="000000"/>
          <w:szCs w:val="20"/>
          <w:u w:val="none"/>
        </w:rPr>
      </w:pPr>
      <w:r>
        <w:rPr>
          <w:color w:val="000000"/>
          <w:szCs w:val="20"/>
          <w:u w:val="none"/>
        </w:rPr>
        <w:t>TBS Abandonments - Negaunee Team</w:t>
      </w:r>
    </w:p>
    <w:p>
      <w:pPr>
        <w:pStyle w:val="Normal"/>
        <w:jc w:val="both"/>
        <w:rPr>
          <w:szCs w:val="20"/>
        </w:rPr>
      </w:pPr>
      <w:r>
        <w:rPr>
          <w:szCs w:val="20"/>
        </w:rPr>
        <w:t xml:space="preserve">The Negaunee Team requested assistance with the possible abandonment of five TBS, which were constructed for some of the mines in Michigan.  Checking with Marketing, Certificates, Right of Way, and the Economic Analysis Team for information. </w:t>
      </w:r>
    </w:p>
    <w:p>
      <w:pPr>
        <w:pStyle w:val="Normal"/>
        <w:jc w:val="both"/>
        <w:rPr>
          <w:szCs w:val="20"/>
        </w:rPr>
      </w:pPr>
      <w:r>
        <w:rPr>
          <w:szCs w:val="20"/>
        </w:rPr>
      </w:r>
    </w:p>
    <w:p>
      <w:pPr>
        <w:pStyle w:val="Heading2"/>
        <w:ind w:hanging="0" w:start="0"/>
        <w:rPr>
          <w:color w:val="000000"/>
          <w:szCs w:val="20"/>
          <w:u w:val="none"/>
        </w:rPr>
      </w:pPr>
      <w:r>
        <w:rPr>
          <w:color w:val="000000"/>
          <w:szCs w:val="20"/>
          <w:u w:val="none"/>
        </w:rPr>
        <w:t>JPOWER</w:t>
      </w:r>
    </w:p>
    <w:p>
      <w:pPr>
        <w:pStyle w:val="Normal"/>
        <w:rPr>
          <w:szCs w:val="20"/>
        </w:rPr>
      </w:pPr>
      <w:r>
        <w:rPr>
          <w:szCs w:val="20"/>
        </w:rPr>
        <w:t xml:space="preserve">Working with the Minneapolis Marketing office and JPOWER, a power developer in Minnesota, in siting peakers and combined cycle generation.  </w:t>
      </w:r>
    </w:p>
    <w:p>
      <w:pPr>
        <w:pStyle w:val="Normal"/>
        <w:rPr>
          <w:szCs w:val="20"/>
        </w:rPr>
      </w:pPr>
      <w:r>
        <w:rPr>
          <w:szCs w:val="20"/>
        </w:rPr>
      </w:r>
    </w:p>
    <w:p>
      <w:pPr>
        <w:pStyle w:val="Heading2"/>
        <w:ind w:hanging="0" w:start="0"/>
        <w:rPr>
          <w:color w:val="000000"/>
          <w:szCs w:val="20"/>
          <w:u w:val="none"/>
        </w:rPr>
      </w:pPr>
      <w:r>
        <w:rPr>
          <w:color w:val="000000"/>
          <w:szCs w:val="20"/>
          <w:u w:val="none"/>
        </w:rPr>
        <w:t>**MIDAM Power</w:t>
      </w:r>
    </w:p>
    <w:p>
      <w:pPr>
        <w:pStyle w:val="Normal"/>
        <w:rPr>
          <w:szCs w:val="20"/>
        </w:rPr>
      </w:pPr>
      <w:r>
        <w:rPr>
          <w:szCs w:val="20"/>
        </w:rPr>
        <w:t>Investigating design options to meet a 2003 96 mmcf/d summer load off the Des Moines B line.  Pursuing capital cost analysis for 2005 year round firm 96 mmcf/d load.  Researching mainline, branch line, lateral path location, and competitive threat analysis.</w:t>
      </w:r>
    </w:p>
    <w:p>
      <w:pPr>
        <w:pStyle w:val="Normal"/>
        <w:rPr>
          <w:szCs w:val="20"/>
        </w:rPr>
      </w:pPr>
      <w:r>
        <w:rPr>
          <w:szCs w:val="20"/>
        </w:rPr>
      </w:r>
    </w:p>
    <w:p>
      <w:pPr>
        <w:pStyle w:val="Heading2"/>
        <w:ind w:hanging="0" w:start="0"/>
        <w:rPr>
          <w:color w:val="000000"/>
          <w:szCs w:val="20"/>
          <w:u w:val="none"/>
        </w:rPr>
      </w:pPr>
      <w:r>
        <w:rPr>
          <w:color w:val="000000"/>
          <w:szCs w:val="20"/>
          <w:u w:val="none"/>
        </w:rPr>
        <w:t xml:space="preserve">**CAS </w:t>
      </w:r>
    </w:p>
    <w:p>
      <w:pPr>
        <w:pStyle w:val="Normal"/>
        <w:rPr>
          <w:szCs w:val="20"/>
        </w:rPr>
      </w:pPr>
      <w:r>
        <w:rPr>
          <w:szCs w:val="20"/>
        </w:rPr>
        <w:t xml:space="preserve">Received notice from IT that a fix for the realignment issue discovered a couple weeks ago has been written and will be made available for testing in the "model office" environment by the first week of August.  The problem involved omission of recalculation of the Receipt/Delivery adjustment for realignment requests, which erroneously allowed the system to automatically approve a request to move receipt volumes from Carlton to Ventura.  </w:t>
      </w:r>
    </w:p>
    <w:p>
      <w:pPr>
        <w:pStyle w:val="Normal"/>
        <w:rPr>
          <w:b/>
          <w:bCs/>
          <w:szCs w:val="20"/>
        </w:rPr>
      </w:pPr>
      <w:r>
        <w:rPr>
          <w:b/>
          <w:bCs/>
          <w:szCs w:val="20"/>
        </w:rPr>
      </w:r>
    </w:p>
    <w:p>
      <w:pPr>
        <w:pStyle w:val="Normal"/>
        <w:rPr>
          <w:b/>
          <w:bCs/>
          <w:szCs w:val="20"/>
        </w:rPr>
      </w:pPr>
      <w:r>
        <w:rPr>
          <w:b/>
          <w:bCs/>
          <w:szCs w:val="20"/>
        </w:rPr>
        <w:t>Northern Border Pipe Line</w:t>
      </w:r>
    </w:p>
    <w:p>
      <w:pPr>
        <w:pStyle w:val="Normal"/>
        <w:rPr>
          <w:szCs w:val="20"/>
        </w:rPr>
      </w:pPr>
      <w:r>
        <w:rPr>
          <w:b/>
          <w:bCs/>
          <w:szCs w:val="20"/>
        </w:rPr>
        <w:t>**NBPL Alaska Case</w:t>
      </w:r>
    </w:p>
    <w:p>
      <w:pPr>
        <w:pStyle w:val="Normal"/>
        <w:rPr>
          <w:szCs w:val="20"/>
        </w:rPr>
      </w:pPr>
      <w:r>
        <w:rPr>
          <w:szCs w:val="20"/>
        </w:rPr>
        <w:t>Provided an estimate of the facilities required to build an Alliance-style high pressure pipeline.  Still researching better cost information since this is such a different style of pipeline (1750 psig MAOP and ANSI 900# fittings for a 42" pipe)</w:t>
      </w:r>
    </w:p>
    <w:p>
      <w:pPr>
        <w:pStyle w:val="Normal"/>
        <w:rPr>
          <w:b/>
          <w:bCs/>
          <w:szCs w:val="20"/>
        </w:rPr>
      </w:pPr>
      <w:r>
        <w:rPr>
          <w:b/>
          <w:bCs/>
          <w:szCs w:val="20"/>
        </w:rPr>
      </w:r>
    </w:p>
    <w:p>
      <w:pPr>
        <w:pStyle w:val="Heading5"/>
        <w:ind w:hanging="0" w:start="0"/>
        <w:rPr>
          <w:szCs w:val="20"/>
        </w:rPr>
      </w:pPr>
      <w:r>
        <w:rPr>
          <w:szCs w:val="20"/>
        </w:rPr>
        <w:t>Midwestern Gas Transmission</w:t>
      </w:r>
    </w:p>
    <w:p>
      <w:pPr>
        <w:pStyle w:val="Normal"/>
        <w:rPr>
          <w:szCs w:val="20"/>
        </w:rPr>
      </w:pPr>
      <w:r>
        <w:rPr>
          <w:b/>
          <w:bCs/>
          <w:szCs w:val="20"/>
        </w:rPr>
        <w:t>**Midwestern Pipeline Estimate</w:t>
      </w:r>
    </w:p>
    <w:p>
      <w:pPr>
        <w:pStyle w:val="Normal"/>
        <w:rPr>
          <w:szCs w:val="20"/>
        </w:rPr>
      </w:pPr>
      <w:r>
        <w:rPr>
          <w:szCs w:val="20"/>
        </w:rPr>
        <w:t xml:space="preserve">Provided an estimate to NPNG Marketing for 10 MMcf/d receipt interconnect with West Tennessee Exploration Kentucky.  There is a meeting planned for later this month to standardize interconnect facilities for NBPL/MGT after which we may re-estimate this project.  </w:t>
      </w:r>
    </w:p>
    <w:p>
      <w:pPr>
        <w:pStyle w:val="Normal"/>
        <w:rPr>
          <w:b/>
          <w:bCs/>
          <w:szCs w:val="20"/>
        </w:rPr>
      </w:pPr>
      <w:r>
        <w:rPr>
          <w:b/>
          <w:bCs/>
          <w:szCs w:val="20"/>
        </w:rPr>
      </w:r>
    </w:p>
    <w:p>
      <w:pPr>
        <w:pStyle w:val="Heading5"/>
        <w:ind w:hanging="0" w:start="0"/>
        <w:rPr>
          <w:szCs w:val="20"/>
        </w:rPr>
      </w:pPr>
      <w:r>
        <w:rPr>
          <w:szCs w:val="20"/>
        </w:rPr>
        <w:t>Other</w:t>
      </w:r>
    </w:p>
    <w:p>
      <w:pPr>
        <w:pStyle w:val="Heading3"/>
        <w:ind w:hanging="0" w:start="0"/>
        <w:rPr/>
      </w:pPr>
      <w:r>
        <w:rPr/>
        <w:t>Gregg Training</w:t>
      </w:r>
    </w:p>
    <w:p>
      <w:pPr>
        <w:pStyle w:val="Normal"/>
        <w:rPr>
          <w:szCs w:val="20"/>
        </w:rPr>
      </w:pPr>
      <w:r>
        <w:rPr>
          <w:szCs w:val="20"/>
        </w:rPr>
        <w:t xml:space="preserve">Provided introductory training on the Gregg Winflow package to Dan Dobbins and Maurice Gilbert.  </w:t>
      </w:r>
    </w:p>
    <w:p>
      <w:pPr>
        <w:pStyle w:val="Normal"/>
        <w:jc w:val="both"/>
        <w:rPr>
          <w:szCs w:val="20"/>
        </w:rPr>
      </w:pPr>
      <w:r>
        <w:rPr>
          <w:szCs w:val="20"/>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b/>
      <w:bCs/>
      <w:color w:val="0000FF"/>
      <w:sz w:val="28"/>
    </w:rPr>
  </w:style>
  <w:style w:type="paragraph" w:styleId="Heading2">
    <w:name w:val="heading 2"/>
    <w:basedOn w:val="Normal"/>
    <w:next w:val="Normal"/>
    <w:qFormat/>
    <w:pPr>
      <w:keepNext w:val="true"/>
      <w:numPr>
        <w:ilvl w:val="1"/>
        <w:numId w:val="1"/>
      </w:numPr>
      <w:autoSpaceDE w:val="false"/>
      <w:outlineLvl w:val="1"/>
    </w:pPr>
    <w:rPr>
      <w:b/>
      <w:bCs/>
      <w:color w:val="0000FF"/>
      <w:u w:val="single"/>
    </w:rPr>
  </w:style>
  <w:style w:type="paragraph" w:styleId="Heading3">
    <w:name w:val="heading 3"/>
    <w:basedOn w:val="Normal"/>
    <w:next w:val="Normal"/>
    <w:qFormat/>
    <w:pPr>
      <w:keepNext w:val="true"/>
      <w:numPr>
        <w:ilvl w:val="2"/>
        <w:numId w:val="1"/>
      </w:numPr>
      <w:outlineLvl w:val="2"/>
    </w:pPr>
    <w:rPr>
      <w:b/>
      <w:bCs/>
      <w:szCs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tabs>
        <w:tab w:val="clear" w:pos="720"/>
        <w:tab w:val="left" w:pos="3420" w:leader="none"/>
      </w:tabs>
      <w:autoSpaceDE w:val="false"/>
      <w:spacing w:lineRule="atLeast" w:line="240"/>
      <w:outlineLvl w:val="6"/>
    </w:pPr>
    <w:rPr>
      <w:b/>
      <w:bCs/>
      <w:color w:val="000000"/>
    </w:rPr>
  </w:style>
  <w:style w:type="character" w:styleId="DefaultParagraphFont">
    <w:name w:val="Default Paragraph Font"/>
    <w:qFormat/>
    <w:rPr/>
  </w:style>
  <w:style w:type="character" w:styleId="emailstyle16">
    <w:name w:val="emailstyle16"/>
    <w:basedOn w:val="DefaultParagraphFont"/>
    <w:qFormat/>
    <w:rPr>
      <w:rFonts w:ascii="Arial" w:hAnsi="Arial" w:cs="Arial"/>
      <w:color w:val="000000"/>
      <w:sz w:val="20"/>
      <w:szCs w:val="20"/>
    </w:rPr>
  </w:style>
  <w:style w:type="character" w:styleId="EmailStyle28">
    <w:name w:val="EmailStyle28"/>
    <w:basedOn w:val="DefaultParagraphFont"/>
    <w:qFormat/>
    <w:rPr>
      <w:rFonts w:ascii="Arial" w:hAnsi="Arial" w:cs="Arial"/>
      <w:color w:val="000000"/>
      <w:sz w:val="20"/>
      <w:szCs w:val="20"/>
    </w:rPr>
  </w:style>
  <w:style w:type="character" w:styleId="EmailStyle30">
    <w:name w:val="EmailStyle3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autoSpaceDE w:val="false"/>
    </w:pPr>
    <w:rPr>
      <w:sz w:val="20"/>
      <w:szCs w:val="20"/>
    </w:rPr>
  </w:style>
  <w:style w:type="paragraph" w:styleId="BodyText2">
    <w:name w:val="Body Text 2"/>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2001-07-20T10:10:00Z</dcterms:created>
  <dc:creator>mgottsp</dc:creator>
  <dc:description/>
  <dc:language>en-CA</dc:language>
  <cp:lastModifiedBy>mgottsp</cp:lastModifiedBy>
  <cp:lastPrinted>2001-07-20T06:53:00Z</cp:lastPrinted>
  <dcterms:modified xsi:type="dcterms:W3CDTF">2001-07-20T10:10:00Z</dcterms:modified>
  <cp:revision>2</cp:revision>
  <dc:subject/>
  <dc:title>ETS Planning Weekly Report</dc:title>
</cp:coreProperties>
</file>