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rPr>
          <w:b/>
          <w:bCs/>
          <w:color w:val="0000FF"/>
          <w:sz w:val="28"/>
        </w:rPr>
      </w:pPr>
      <w:r>
        <w:rPr>
          <w:b/>
          <w:bCs/>
          <w:color w:val="0000FF"/>
          <w:sz w:val="28"/>
        </w:rPr>
        <w:t>ETS Planning Weekly Report</w:t>
      </w:r>
    </w:p>
    <w:p>
      <w:pPr>
        <w:pStyle w:val="Heading1"/>
        <w:ind w:hanging="0" w:start="0"/>
        <w:rPr/>
      </w:pPr>
      <w:r>
        <w:rPr/>
        <w:t>Week Ending July 13, 2001</w:t>
      </w:r>
    </w:p>
    <w:p>
      <w:pPr>
        <w:pStyle w:val="Normal"/>
        <w:autoSpaceDE w:val="false"/>
        <w:spacing w:lineRule="atLeast" w:line="240"/>
        <w:rPr>
          <w:b/>
          <w:bCs/>
          <w:color w:val="0000FF"/>
        </w:rPr>
      </w:pPr>
      <w:r>
        <w:rPr>
          <w:b/>
          <w:bCs/>
          <w:color w:val="0000FF"/>
        </w:rPr>
      </w:r>
    </w:p>
    <w:p>
      <w:pPr>
        <w:pStyle w:val="Normal"/>
        <w:autoSpaceDE w:val="false"/>
        <w:spacing w:lineRule="atLeast" w:line="240"/>
        <w:rPr>
          <w:color w:val="000000"/>
        </w:rPr>
      </w:pPr>
      <w:r>
        <w:rPr>
          <w:b/>
          <w:bCs/>
          <w:color w:val="0000FF"/>
        </w:rPr>
        <w:t>HOUSTON PLANNING TEAM</w:t>
      </w:r>
    </w:p>
    <w:p>
      <w:pPr>
        <w:pStyle w:val="Heading2"/>
        <w:ind w:hanging="0" w:start="0"/>
        <w:rPr/>
      </w:pPr>
      <w:r>
        <w:rPr/>
        <w:t>Florida Gas Transmission, Transwestern Pipeline &amp; NNG South End</w:t>
      </w:r>
    </w:p>
    <w:p>
      <w:pPr>
        <w:pStyle w:val="Normal"/>
        <w:rPr>
          <w:rStyle w:val="EmailStyle22"/>
          <w:rFonts w:ascii="Times New Roman" w:hAnsi="Times New Roman" w:cs="Times New Roman"/>
          <w:b/>
          <w:bCs/>
          <w:sz w:val="24"/>
        </w:rPr>
      </w:pPr>
      <w:r>
        <w:rPr>
          <w:rFonts w:cs="Times New Roman"/>
        </w:rPr>
      </w:r>
    </w:p>
    <w:p>
      <w:pPr>
        <w:pStyle w:val="Normal"/>
        <w:rPr/>
      </w:pPr>
      <w:r>
        <w:rPr>
          <w:rStyle w:val="EmailStyle22"/>
          <w:rFonts w:cs="Times New Roman"/>
          <w:b/>
          <w:bCs/>
          <w:sz w:val="24"/>
        </w:rPr>
        <w:t>FGT Station 8 Unit Replacement</w:t>
      </w:r>
    </w:p>
    <w:p>
      <w:pPr>
        <w:pStyle w:val="Normal"/>
        <w:rPr/>
      </w:pPr>
      <w:r>
        <w:rPr>
          <w:rStyle w:val="EmailStyle22"/>
          <w:rFonts w:cs="Times New Roman"/>
          <w:sz w:val="24"/>
        </w:rPr>
        <w:t>Evaluating the purchase of a new centrifugal unit as a replacement for unit 805 as an alternative to the relocation of unit 201 (a reciprocating unit) to this site.</w:t>
      </w:r>
    </w:p>
    <w:p>
      <w:pPr>
        <w:pStyle w:val="Normal"/>
        <w:rPr>
          <w:rStyle w:val="EmailStyle22"/>
          <w:rFonts w:ascii="Times New Roman" w:hAnsi="Times New Roman" w:cs="Times New Roman"/>
          <w:sz w:val="24"/>
        </w:rPr>
      </w:pPr>
      <w:r>
        <w:rPr/>
      </w:r>
    </w:p>
    <w:p>
      <w:pPr>
        <w:pStyle w:val="Normal"/>
        <w:autoSpaceDE w:val="false"/>
        <w:rPr/>
      </w:pPr>
      <w:r>
        <w:rPr>
          <w:b/>
          <w:bCs/>
        </w:rPr>
        <w:t>ENA Ft Pierce</w:t>
      </w:r>
    </w:p>
    <w:p>
      <w:pPr>
        <w:pStyle w:val="Normal"/>
        <w:autoSpaceDE w:val="false"/>
        <w:rPr/>
      </w:pPr>
      <w:r>
        <w:rPr/>
        <w:t>Planning received and reviewed the Revised Level B Cost estimate from E&amp;C for the Ft. Pierce power plant lateral and meter station.  The estimate was sent to the Business Development Team.</w:t>
      </w:r>
    </w:p>
    <w:p>
      <w:pPr>
        <w:pStyle w:val="Normal"/>
        <w:autoSpaceDE w:val="false"/>
        <w:rPr/>
      </w:pPr>
      <w:r>
        <w:rPr/>
      </w:r>
    </w:p>
    <w:p>
      <w:pPr>
        <w:pStyle w:val="Normal"/>
        <w:autoSpaceDE w:val="false"/>
        <w:rPr>
          <w:b/>
          <w:bCs/>
        </w:rPr>
      </w:pPr>
      <w:r>
        <w:rPr>
          <w:b/>
          <w:bCs/>
        </w:rPr>
        <w:t xml:space="preserve">ENA Midway  </w:t>
      </w:r>
    </w:p>
    <w:p>
      <w:pPr>
        <w:pStyle w:val="Normal"/>
        <w:autoSpaceDE w:val="false"/>
        <w:rPr/>
      </w:pPr>
      <w:r>
        <w:rPr/>
        <w:t>Planning received and reviewed the Revised Level B Cost estimates (2) from E&amp;C for the Midway power plant laterals.  The estimates were sent to the Business Development Team.</w:t>
      </w:r>
    </w:p>
    <w:p>
      <w:pPr>
        <w:pStyle w:val="Normal"/>
        <w:autoSpaceDE w:val="false"/>
        <w:rPr/>
      </w:pPr>
      <w:r>
        <w:rPr/>
      </w:r>
    </w:p>
    <w:p>
      <w:pPr>
        <w:pStyle w:val="Normal"/>
        <w:autoSpaceDE w:val="false"/>
        <w:rPr>
          <w:b/>
          <w:bCs/>
        </w:rPr>
      </w:pPr>
      <w:r>
        <w:rPr>
          <w:b/>
          <w:bCs/>
        </w:rPr>
        <w:t>FPL Turkey Point</w:t>
      </w:r>
    </w:p>
    <w:p>
      <w:pPr>
        <w:pStyle w:val="Normal"/>
        <w:autoSpaceDE w:val="false"/>
        <w:rPr/>
      </w:pPr>
      <w:r>
        <w:rPr/>
        <w:t xml:space="preserve">Planning assisted Gas Control and Operations in understanding the regulator swing/failure issues at the FPL Turkey Point Plant. Operations believes the failures are being caused by the control swings from FPL's oil/gas equipment. FPL conducted an equipment test with Operations Thursday.  The FPL unit went down during the test due to FPL Operator.     </w:t>
      </w:r>
    </w:p>
    <w:p>
      <w:pPr>
        <w:pStyle w:val="Normal"/>
        <w:autoSpaceDE w:val="false"/>
        <w:rPr>
          <w:b/>
          <w:bCs/>
        </w:rPr>
      </w:pPr>
      <w:r>
        <w:rPr>
          <w:b/>
          <w:bCs/>
        </w:rPr>
      </w:r>
    </w:p>
    <w:p>
      <w:pPr>
        <w:pStyle w:val="Normal"/>
        <w:autoSpaceDE w:val="false"/>
        <w:rPr>
          <w:b/>
          <w:bCs/>
        </w:rPr>
      </w:pPr>
      <w:r>
        <w:rPr>
          <w:b/>
          <w:bCs/>
        </w:rPr>
        <w:t>**Phase VI</w:t>
      </w:r>
    </w:p>
    <w:p>
      <w:pPr>
        <w:pStyle w:val="Normal"/>
        <w:autoSpaceDE w:val="false"/>
        <w:rPr/>
      </w:pPr>
      <w:r>
        <w:rPr/>
        <w:t>All design data sheets for possible Phase VI pipe and compression requirements were prepared and distributed.  Level B costs were requested, and "Restricted" Level C releases were issued for cost estimating and environmental permitting.</w:t>
      </w:r>
    </w:p>
    <w:p>
      <w:pPr>
        <w:pStyle w:val="Normal"/>
        <w:autoSpaceDE w:val="false"/>
        <w:rPr/>
      </w:pPr>
      <w:r>
        <w:rPr/>
      </w:r>
    </w:p>
    <w:p>
      <w:pPr>
        <w:pStyle w:val="Normal"/>
        <w:autoSpaceDE w:val="false"/>
        <w:rPr>
          <w:b/>
          <w:bCs/>
        </w:rPr>
      </w:pPr>
      <w:r>
        <w:rPr>
          <w:b/>
          <w:bCs/>
        </w:rPr>
        <w:t>**Miscellaneous</w:t>
      </w:r>
    </w:p>
    <w:p>
      <w:pPr>
        <w:pStyle w:val="Normal"/>
        <w:autoSpaceDE w:val="false"/>
        <w:rPr/>
      </w:pPr>
      <w:r>
        <w:rPr/>
        <w:t xml:space="preserve">Planning met with E&amp;C to discuss the ETS Project Procedures. E&amp;C is proposing to adjust the Level B Cost estimate range to +/- 15% without doing actual environmental and ROW due diligence and +/- 10% with physical due diligence. E&amp;C indicated the +/- 10 estimate would increase in cost. The customer can then choose between the two.   </w:t>
      </w:r>
    </w:p>
    <w:p>
      <w:pPr>
        <w:pStyle w:val="Normal"/>
        <w:tabs>
          <w:tab w:val="clear" w:pos="720"/>
          <w:tab w:val="left" w:pos="3420" w:leader="none"/>
        </w:tabs>
        <w:autoSpaceDE w:val="false"/>
        <w:spacing w:lineRule="atLeast" w:line="240"/>
        <w:rPr>
          <w:b/>
          <w:bCs/>
          <w:color w:val="000000"/>
        </w:rPr>
      </w:pPr>
      <w:r>
        <w:rPr>
          <w:b/>
          <w:bCs/>
          <w:color w:val="000000"/>
        </w:rPr>
      </w:r>
    </w:p>
    <w:p>
      <w:pPr>
        <w:pStyle w:val="Normal"/>
        <w:rPr/>
      </w:pPr>
      <w:r>
        <w:rPr>
          <w:rStyle w:val="EmailStyle22"/>
          <w:rFonts w:cs="Times New Roman"/>
          <w:b/>
          <w:bCs/>
          <w:sz w:val="24"/>
        </w:rPr>
        <w:t>ENA Flagstaff Interconnect</w:t>
      </w:r>
    </w:p>
    <w:p>
      <w:pPr>
        <w:pStyle w:val="Normal"/>
        <w:rPr/>
      </w:pPr>
      <w:r>
        <w:rPr>
          <w:rStyle w:val="EmailStyle22"/>
          <w:rFonts w:cs="Times New Roman"/>
          <w:sz w:val="24"/>
        </w:rPr>
        <w:t>Reviewing the lateral capacity of 6” Flagstaff Lateral.  ENA desires an I/C at end of lateral for 12-15 MMcfd to supply electric power.  Capacity of lateral must also support Citizens’ load.</w:t>
      </w:r>
    </w:p>
    <w:p>
      <w:pPr>
        <w:pStyle w:val="Normal"/>
        <w:rPr>
          <w:rStyle w:val="EmailStyle22"/>
          <w:rFonts w:ascii="Times New Roman" w:hAnsi="Times New Roman" w:cs="Times New Roman"/>
          <w:sz w:val="24"/>
        </w:rPr>
      </w:pPr>
      <w:r>
        <w:rPr/>
      </w:r>
    </w:p>
    <w:p>
      <w:pPr>
        <w:pStyle w:val="Normal"/>
        <w:rPr/>
      </w:pPr>
      <w:r>
        <w:rPr>
          <w:rStyle w:val="EmailStyle22"/>
          <w:rFonts w:cs="Times New Roman"/>
          <w:b/>
          <w:bCs/>
          <w:sz w:val="24"/>
        </w:rPr>
        <w:t>**TW Red Rock Expansion</w:t>
      </w:r>
    </w:p>
    <w:p>
      <w:pPr>
        <w:pStyle w:val="Normal"/>
        <w:rPr/>
      </w:pPr>
      <w:r>
        <w:rPr>
          <w:rStyle w:val="EmailStyle22"/>
          <w:rFonts w:cs="Times New Roman"/>
          <w:sz w:val="24"/>
        </w:rPr>
        <w:t>FERC Draft Order certificates were received for the project.  Final order to be issued pending small items of additional requests for information.</w:t>
      </w:r>
    </w:p>
    <w:p>
      <w:pPr>
        <w:pStyle w:val="Normal"/>
        <w:tabs>
          <w:tab w:val="clear" w:pos="720"/>
          <w:tab w:val="left" w:pos="3420" w:leader="none"/>
        </w:tabs>
        <w:autoSpaceDE w:val="false"/>
        <w:spacing w:lineRule="atLeast" w:line="240"/>
        <w:rPr>
          <w:rStyle w:val="EmailStyle22"/>
          <w:rFonts w:ascii="Times New Roman" w:hAnsi="Times New Roman" w:cs="Times New Roman"/>
          <w:b/>
          <w:bCs/>
          <w:color w:val="000000"/>
          <w:sz w:val="24"/>
        </w:rPr>
      </w:pPr>
      <w:r>
        <w:rPr/>
      </w:r>
    </w:p>
    <w:p>
      <w:pPr>
        <w:pStyle w:val="Normal"/>
        <w:tabs>
          <w:tab w:val="clear" w:pos="720"/>
          <w:tab w:val="left" w:pos="3420" w:leader="none"/>
        </w:tabs>
        <w:autoSpaceDE w:val="false"/>
        <w:spacing w:lineRule="atLeast" w:line="240"/>
        <w:rPr>
          <w:b/>
          <w:bCs/>
          <w:color w:val="000000"/>
        </w:rPr>
      </w:pPr>
      <w:r>
        <w:rPr>
          <w:b/>
          <w:bCs/>
          <w:color w:val="000000"/>
        </w:rPr>
        <w:t>**TW-CAS</w:t>
      </w:r>
    </w:p>
    <w:p>
      <w:pPr>
        <w:pStyle w:val="Normal"/>
        <w:autoSpaceDE w:val="false"/>
        <w:rPr>
          <w:color w:val="000000"/>
        </w:rPr>
      </w:pPr>
      <w:r>
        <w:rPr>
          <w:color w:val="000000"/>
        </w:rPr>
        <w:t xml:space="preserve">A software fix was scheduled to be rolled to production last weekend; this was postponed until the end of next week.  The schedule for IT modifications for this weekend is full and the potential for major system problems has the IT group doing single step upgrades.   </w:t>
      </w:r>
    </w:p>
    <w:p>
      <w:pPr>
        <w:pStyle w:val="Normal"/>
        <w:autoSpaceDE w:val="false"/>
        <w:rPr>
          <w:color w:val="000000"/>
        </w:rPr>
      </w:pPr>
      <w:r>
        <w:rPr>
          <w:color w:val="000000"/>
        </w:rPr>
      </w:r>
    </w:p>
    <w:p>
      <w:pPr>
        <w:pStyle w:val="Normal"/>
        <w:autoSpaceDE w:val="false"/>
        <w:rPr>
          <w:b/>
          <w:bCs/>
          <w:color w:val="000000"/>
        </w:rPr>
      </w:pPr>
      <w:r>
        <w:rPr>
          <w:b/>
          <w:bCs/>
          <w:color w:val="000000"/>
        </w:rPr>
        <w:t>TW/NGPL Eddy I/C</w:t>
      </w:r>
    </w:p>
    <w:p>
      <w:pPr>
        <w:pStyle w:val="Normal"/>
        <w:autoSpaceDE w:val="false"/>
        <w:rPr>
          <w:color w:val="000000"/>
        </w:rPr>
      </w:pPr>
      <w:r>
        <w:rPr>
          <w:color w:val="000000"/>
        </w:rPr>
        <w:t>Received a one-line drawing from NGPL for their proposed meter modifications to deliver gas to the WTX Lateral on the suction side of Station #9.  Data was sent to the Operations team and E&amp;C, and a conference call is scheduled to discuss the scope of work.</w:t>
      </w:r>
    </w:p>
    <w:p>
      <w:pPr>
        <w:pStyle w:val="Normal"/>
        <w:autoSpaceDE w:val="false"/>
        <w:rPr>
          <w:color w:val="000000"/>
        </w:rPr>
      </w:pPr>
      <w:r>
        <w:rPr>
          <w:color w:val="000000"/>
        </w:rPr>
      </w:r>
    </w:p>
    <w:p>
      <w:pPr>
        <w:pStyle w:val="Normal"/>
        <w:autoSpaceDE w:val="false"/>
        <w:rPr>
          <w:color w:val="000000"/>
        </w:rPr>
      </w:pPr>
      <w:r>
        <w:rPr>
          <w:b/>
          <w:bCs/>
          <w:color w:val="000000"/>
        </w:rPr>
        <w:t>TW Dashboard</w:t>
      </w:r>
    </w:p>
    <w:p>
      <w:pPr>
        <w:pStyle w:val="Normal"/>
        <w:rPr>
          <w:color w:val="000000"/>
        </w:rPr>
      </w:pPr>
      <w:r>
        <w:rPr>
          <w:color w:val="000000"/>
        </w:rPr>
        <w:t>FP is providing support to the IT group building the Pipeline Profile Map by identifying the Latitude/Longitude for about 65 POI's not on the map.  A meeting was scheduled to identify all the last minute tasks so we can continue testing into next week.</w:t>
      </w:r>
    </w:p>
    <w:p>
      <w:pPr>
        <w:pStyle w:val="Normal"/>
        <w:rPr>
          <w:color w:val="000000"/>
        </w:rPr>
      </w:pPr>
      <w:r>
        <w:rPr>
          <w:color w:val="000000"/>
        </w:rPr>
      </w:r>
    </w:p>
    <w:p>
      <w:pPr>
        <w:pStyle w:val="Normal"/>
        <w:rPr>
          <w:b/>
          <w:bCs/>
          <w:color w:val="000000"/>
        </w:rPr>
      </w:pPr>
      <w:r>
        <w:rPr>
          <w:b/>
          <w:bCs/>
          <w:color w:val="000000"/>
        </w:rPr>
        <w:t>Williams Beaver Co. I/C</w:t>
      </w:r>
    </w:p>
    <w:p>
      <w:pPr>
        <w:pStyle w:val="BodyText"/>
        <w:rPr/>
      </w:pPr>
      <w:r>
        <w:rPr/>
        <w:t>Continuing efforts flow and horsepower analysis for proposed WFS Beaver interconnect.  Appears that compression and pipeline capacity for receipt into the C Line will present capacity constraints.</w:t>
      </w:r>
    </w:p>
    <w:p>
      <w:pPr>
        <w:pStyle w:val="Normal"/>
        <w:rPr>
          <w:color w:val="000000"/>
        </w:rPr>
      </w:pPr>
      <w:r>
        <w:rPr>
          <w:color w:val="000000"/>
        </w:rPr>
      </w:r>
    </w:p>
    <w:p>
      <w:pPr>
        <w:pStyle w:val="Normal"/>
        <w:rPr>
          <w:color w:val="000000"/>
          <w:sz w:val="28"/>
        </w:rPr>
      </w:pPr>
      <w:r>
        <w:rPr>
          <w:color w:val="000000"/>
          <w:sz w:val="28"/>
        </w:rPr>
      </w:r>
    </w:p>
    <w:p>
      <w:pPr>
        <w:pStyle w:val="Heading3"/>
        <w:ind w:hanging="0" w:start="0"/>
        <w:rPr>
          <w:b/>
          <w:bCs/>
          <w:color w:val="0000FF"/>
        </w:rPr>
      </w:pPr>
      <w:r>
        <w:rPr>
          <w:b/>
          <w:bCs/>
          <w:color w:val="0000FF"/>
        </w:rPr>
        <w:t>Omaha Planning Team</w:t>
      </w:r>
    </w:p>
    <w:p>
      <w:pPr>
        <w:pStyle w:val="Normal"/>
        <w:rPr>
          <w:b/>
          <w:bCs/>
          <w:color w:val="0000FF"/>
          <w:sz w:val="28"/>
          <w:u w:val="single"/>
        </w:rPr>
      </w:pPr>
      <w:r>
        <w:rPr>
          <w:b/>
          <w:bCs/>
          <w:color w:val="0000FF"/>
          <w:sz w:val="28"/>
          <w:u w:val="single"/>
        </w:rPr>
        <w:t>Northern Natural Gas, Northern Border P/L &amp; Midwestern Gas Trans.</w:t>
      </w:r>
    </w:p>
    <w:p>
      <w:pPr>
        <w:pStyle w:val="Normal"/>
        <w:rPr>
          <w:b/>
          <w:bCs/>
          <w:color w:val="0000FF"/>
          <w:sz w:val="28"/>
          <w:u w:val="single"/>
        </w:rPr>
      </w:pPr>
      <w:r>
        <w:rPr>
          <w:b/>
          <w:bCs/>
          <w:color w:val="0000FF"/>
          <w:sz w:val="28"/>
          <w:u w:val="single"/>
        </w:rPr>
      </w:r>
    </w:p>
    <w:p>
      <w:pPr>
        <w:pStyle w:val="Normal"/>
        <w:jc w:val="both"/>
        <w:rPr>
          <w:szCs w:val="20"/>
        </w:rPr>
      </w:pPr>
      <w:r>
        <w:rPr>
          <w:b/>
          <w:bCs/>
          <w:szCs w:val="20"/>
        </w:rPr>
        <w:t>**OPPD Cass County Power Plant</w:t>
      </w:r>
    </w:p>
    <w:p>
      <w:pPr>
        <w:pStyle w:val="Normal"/>
        <w:jc w:val="both"/>
        <w:rPr>
          <w:szCs w:val="20"/>
        </w:rPr>
      </w:pPr>
      <w:r>
        <w:rPr>
          <w:szCs w:val="20"/>
        </w:rPr>
        <w:t xml:space="preserve">Constructed a transient model to check the feasibility of a "no-notice" service for OPPD.  This power plant is slated for in-service in 2003, with dual feeds from NNG and NGPL.  The modeling indicates the ability to physically provide a service like this but questions remain as to whether we have tariff authority to contractually offer it separately.  </w:t>
      </w:r>
    </w:p>
    <w:p>
      <w:pPr>
        <w:pStyle w:val="Normal"/>
        <w:jc w:val="both"/>
        <w:rPr>
          <w:szCs w:val="20"/>
        </w:rPr>
      </w:pPr>
      <w:r>
        <w:rPr>
          <w:szCs w:val="20"/>
        </w:rPr>
      </w:r>
    </w:p>
    <w:p>
      <w:pPr>
        <w:pStyle w:val="Normal"/>
        <w:jc w:val="both"/>
        <w:rPr>
          <w:szCs w:val="20"/>
        </w:rPr>
      </w:pPr>
      <w:r>
        <w:rPr>
          <w:b/>
          <w:bCs/>
          <w:szCs w:val="20"/>
        </w:rPr>
        <w:t>**NBPL Alaska Case</w:t>
      </w:r>
    </w:p>
    <w:p>
      <w:pPr>
        <w:pStyle w:val="Normal"/>
        <w:jc w:val="both"/>
        <w:rPr>
          <w:szCs w:val="20"/>
        </w:rPr>
      </w:pPr>
      <w:r>
        <w:rPr>
          <w:szCs w:val="20"/>
        </w:rPr>
        <w:t xml:space="preserve">Work continues on more studies for a possible expansion of NBPL's capacity from Monchy to Chicago.  </w:t>
      </w:r>
    </w:p>
    <w:p>
      <w:pPr>
        <w:pStyle w:val="Normal"/>
        <w:jc w:val="both"/>
        <w:rPr>
          <w:szCs w:val="20"/>
        </w:rPr>
      </w:pPr>
      <w:r>
        <w:rPr>
          <w:szCs w:val="20"/>
        </w:rPr>
      </w:r>
    </w:p>
    <w:p>
      <w:pPr>
        <w:pStyle w:val="Normal"/>
        <w:jc w:val="both"/>
        <w:rPr>
          <w:b/>
          <w:bCs/>
          <w:szCs w:val="20"/>
        </w:rPr>
      </w:pPr>
      <w:r>
        <w:rPr>
          <w:b/>
          <w:bCs/>
          <w:szCs w:val="20"/>
        </w:rPr>
        <w:t>**Project Max</w:t>
      </w:r>
    </w:p>
    <w:p>
      <w:pPr>
        <w:pStyle w:val="BodyText2"/>
        <w:rPr/>
      </w:pPr>
      <w:r>
        <w:rPr/>
        <w:t xml:space="preserve">Work is progressing on Project Max.  We are currently waiting on location information for approximately 15 new TBS's in order for Planning to do branch line analysis.  </w:t>
      </w:r>
    </w:p>
    <w:p>
      <w:pPr>
        <w:pStyle w:val="Normal"/>
        <w:jc w:val="both"/>
        <w:rPr>
          <w:szCs w:val="20"/>
        </w:rPr>
      </w:pPr>
      <w:r>
        <w:rPr>
          <w:szCs w:val="20"/>
        </w:rPr>
      </w:r>
    </w:p>
    <w:p>
      <w:pPr>
        <w:pStyle w:val="Heading2"/>
        <w:ind w:hanging="0" w:start="0"/>
        <w:jc w:val="both"/>
        <w:rPr>
          <w:color w:val="000000"/>
          <w:szCs w:val="20"/>
          <w:u w:val="none"/>
        </w:rPr>
      </w:pPr>
      <w:r>
        <w:rPr>
          <w:color w:val="000000"/>
          <w:szCs w:val="20"/>
          <w:u w:val="none"/>
        </w:rPr>
        <w:t>**Guardian East Leg Sale</w:t>
      </w:r>
    </w:p>
    <w:p>
      <w:pPr>
        <w:pStyle w:val="Normal"/>
        <w:jc w:val="both"/>
        <w:rPr>
          <w:szCs w:val="20"/>
        </w:rPr>
      </w:pPr>
      <w:r>
        <w:rPr>
          <w:szCs w:val="20"/>
        </w:rPr>
        <w:t>Efforts continue to work with representatives of Wisconsin Electric to preserve the deal.  While all issues appear to have been resolved, we are waiting on the signing of the Purchase Sale Agreement before moving to the next step in the process.</w:t>
      </w:r>
    </w:p>
    <w:p>
      <w:pPr>
        <w:pStyle w:val="Normal"/>
        <w:jc w:val="both"/>
        <w:rPr>
          <w:szCs w:val="20"/>
        </w:rPr>
      </w:pPr>
      <w:r>
        <w:rPr>
          <w:szCs w:val="20"/>
        </w:rPr>
      </w:r>
    </w:p>
    <w:p>
      <w:pPr>
        <w:pStyle w:val="Heading2"/>
        <w:ind w:hanging="0" w:start="0"/>
        <w:jc w:val="both"/>
        <w:rPr>
          <w:color w:val="000000"/>
          <w:szCs w:val="20"/>
          <w:u w:val="none"/>
        </w:rPr>
      </w:pPr>
      <w:r>
        <w:rPr>
          <w:color w:val="000000"/>
          <w:szCs w:val="20"/>
          <w:u w:val="none"/>
        </w:rPr>
        <w:t>**Project - Husker Power - LES Salt Valley Generation</w:t>
      </w:r>
    </w:p>
    <w:p>
      <w:pPr>
        <w:pStyle w:val="Normal"/>
        <w:jc w:val="both"/>
        <w:rPr>
          <w:szCs w:val="20"/>
        </w:rPr>
      </w:pPr>
      <w:r>
        <w:rPr>
          <w:szCs w:val="20"/>
        </w:rPr>
        <w:t>Identified an opportunity in the recent LES proposal where we can significantly save the customer both capital and ongoing future O&amp;M expense.  Order of magnitude savings are $300,000 capital and $500,000 future O&amp;M expenses (ten year projection) by identifying that odorizing the TBS are not required at the take-off.  Pat Vaughan, ETS Pipeline Safety, referenced 49 CFR Part 192, 192.3, 192.5, and 192.625 in the course of the determination.  This is viewed as an example of the professional skills ETS brings to the revenue enhancements levels of the LES project.</w:t>
      </w:r>
    </w:p>
    <w:p>
      <w:pPr>
        <w:pStyle w:val="Normal"/>
        <w:jc w:val="both"/>
        <w:rPr>
          <w:szCs w:val="20"/>
        </w:rPr>
      </w:pPr>
      <w:r>
        <w:rPr>
          <w:szCs w:val="20"/>
        </w:rPr>
      </w:r>
    </w:p>
    <w:p>
      <w:pPr>
        <w:pStyle w:val="Heading2"/>
        <w:ind w:hanging="0" w:start="0"/>
        <w:jc w:val="both"/>
        <w:rPr>
          <w:color w:val="000000"/>
          <w:szCs w:val="20"/>
          <w:u w:val="none"/>
        </w:rPr>
      </w:pPr>
      <w:r>
        <w:rPr>
          <w:color w:val="000000"/>
          <w:szCs w:val="20"/>
          <w:u w:val="none"/>
        </w:rPr>
        <w:t xml:space="preserve">CAS Mainline Capacity Review  </w:t>
      </w:r>
    </w:p>
    <w:p>
      <w:pPr>
        <w:pStyle w:val="Normal"/>
        <w:jc w:val="both"/>
        <w:rPr>
          <w:szCs w:val="20"/>
        </w:rPr>
      </w:pPr>
      <w:r>
        <w:rPr>
          <w:szCs w:val="20"/>
        </w:rPr>
        <w:t>The changes to the "clean" models were reviewed with the team at our team meeting this week.  A couple of new points need to be added to the model as soon as the POI number and internal model codes have been established.</w:t>
      </w:r>
    </w:p>
    <w:p>
      <w:pPr>
        <w:pStyle w:val="Normal"/>
        <w:jc w:val="both"/>
        <w:rPr>
          <w:szCs w:val="20"/>
        </w:rPr>
      </w:pPr>
      <w:r>
        <w:rPr>
          <w:szCs w:val="20"/>
        </w:rPr>
      </w:r>
    </w:p>
    <w:p>
      <w:pPr>
        <w:pStyle w:val="Heading2"/>
        <w:ind w:hanging="0" w:start="0"/>
        <w:jc w:val="both"/>
        <w:rPr>
          <w:color w:val="000000"/>
          <w:szCs w:val="20"/>
          <w:u w:val="none"/>
        </w:rPr>
      </w:pPr>
      <w:r>
        <w:rPr>
          <w:color w:val="000000"/>
          <w:szCs w:val="20"/>
          <w:u w:val="none"/>
        </w:rPr>
        <w:t>Cunningham Electric Contract</w:t>
      </w:r>
    </w:p>
    <w:p>
      <w:pPr>
        <w:pStyle w:val="Normal"/>
        <w:jc w:val="both"/>
        <w:rPr>
          <w:szCs w:val="20"/>
        </w:rPr>
      </w:pPr>
      <w:r>
        <w:rPr>
          <w:szCs w:val="20"/>
        </w:rPr>
        <w:t>Provided Marketing with intent of contract terms relating to the interruptible power contract with Ninnescah Electric.</w:t>
      </w:r>
    </w:p>
    <w:p>
      <w:pPr>
        <w:pStyle w:val="Normal"/>
        <w:jc w:val="both"/>
        <w:rPr>
          <w:szCs w:val="20"/>
        </w:rPr>
      </w:pPr>
      <w:r>
        <w:rPr>
          <w:szCs w:val="20"/>
        </w:rPr>
      </w:r>
    </w:p>
    <w:p>
      <w:pPr>
        <w:pStyle w:val="Heading2"/>
        <w:ind w:hanging="0" w:start="0"/>
        <w:jc w:val="both"/>
        <w:rPr>
          <w:color w:val="000000"/>
          <w:szCs w:val="20"/>
          <w:u w:val="none"/>
        </w:rPr>
      </w:pPr>
      <w:r>
        <w:rPr>
          <w:color w:val="000000"/>
          <w:szCs w:val="20"/>
          <w:u w:val="none"/>
        </w:rPr>
        <w:t>**Mullinville Interconnect</w:t>
      </w:r>
    </w:p>
    <w:p>
      <w:pPr>
        <w:pStyle w:val="Normal"/>
        <w:jc w:val="both"/>
        <w:rPr>
          <w:szCs w:val="20"/>
        </w:rPr>
      </w:pPr>
      <w:r>
        <w:rPr>
          <w:szCs w:val="20"/>
        </w:rPr>
        <w:t>A meeting was held with the Mullinville Pipeline Team, the Mullinville Resource Team, Engineering-Roswell, and Omaha Planning to discuss the ANR-Greensburg and PEPL-Mullinville interconnects.  The discussion centered on making both interconnects a firm receipt and firm delivery points on NNG's system.</w:t>
      </w:r>
    </w:p>
    <w:p>
      <w:pPr>
        <w:pStyle w:val="Normal"/>
        <w:jc w:val="both"/>
        <w:rPr>
          <w:szCs w:val="20"/>
        </w:rPr>
      </w:pPr>
      <w:r>
        <w:rPr>
          <w:szCs w:val="20"/>
        </w:rPr>
      </w:r>
    </w:p>
    <w:p>
      <w:pPr>
        <w:pStyle w:val="Normal"/>
        <w:jc w:val="both"/>
        <w:rPr>
          <w:szCs w:val="20"/>
        </w:rPr>
      </w:pPr>
      <w:r>
        <w:rPr>
          <w:b/>
          <w:bCs/>
          <w:szCs w:val="20"/>
        </w:rPr>
        <w:t>Branch Line Index</w:t>
      </w:r>
    </w:p>
    <w:p>
      <w:pPr>
        <w:pStyle w:val="Normal"/>
        <w:jc w:val="both"/>
        <w:rPr>
          <w:szCs w:val="20"/>
        </w:rPr>
      </w:pPr>
      <w:r>
        <w:rPr>
          <w:szCs w:val="20"/>
        </w:rPr>
        <w:t xml:space="preserve">Resumed work on the Branch Line Index. Currently using the plat sheets to fill in the missing pieces.  Once the Branch line Index is complete the mapping department will be able to utilize it along with a spreadsheet they are currently developing to locate the sites with EFM and plot them on a map.  </w:t>
      </w:r>
    </w:p>
    <w:p>
      <w:pPr>
        <w:pStyle w:val="Normal"/>
        <w:jc w:val="both"/>
        <w:rPr>
          <w:szCs w:val="20"/>
        </w:rPr>
      </w:pPr>
      <w:r>
        <w:rPr>
          <w:szCs w:val="20"/>
        </w:rPr>
      </w:r>
    </w:p>
    <w:p>
      <w:pPr>
        <w:pStyle w:val="Normal"/>
        <w:rPr>
          <w:szCs w:val="20"/>
        </w:rPr>
      </w:pPr>
      <w:r>
        <w:rPr>
          <w:szCs w:val="20"/>
        </w:rPr>
      </w:r>
    </w:p>
    <w:p>
      <w:pPr>
        <w:pStyle w:val="Normal"/>
        <w:rPr>
          <w:szCs w:val="20"/>
        </w:rPr>
      </w:pPr>
      <w:r>
        <w:rPr>
          <w:szCs w:val="20"/>
        </w:rPr>
      </w:r>
    </w:p>
    <w:p>
      <w:pPr>
        <w:pStyle w:val="Normal"/>
        <w:rPr>
          <w:szCs w:val="20"/>
        </w:rPr>
      </w:pPr>
      <w:r>
        <w:rPr>
          <w:szCs w:val="20"/>
        </w:rPr>
      </w:r>
    </w:p>
    <w:p>
      <w:pPr>
        <w:pStyle w:val="Normal"/>
        <w:rPr>
          <w:szCs w:val="20"/>
        </w:rPr>
      </w:pPr>
      <w:r>
        <w:rPr>
          <w:szCs w:val="20"/>
        </w:rPr>
      </w:r>
    </w:p>
    <w:p>
      <w:pPr>
        <w:pStyle w:val="Normal"/>
        <w:rPr>
          <w:szCs w:val="20"/>
        </w:rPr>
      </w:pPr>
      <w:r>
        <w:rPr>
          <w:szCs w:val="2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autoSpaceDE w:val="false"/>
      <w:spacing w:lineRule="atLeast" w:line="240"/>
      <w:outlineLvl w:val="0"/>
    </w:pPr>
    <w:rPr>
      <w:b/>
      <w:bCs/>
      <w:color w:val="0000FF"/>
      <w:sz w:val="28"/>
    </w:rPr>
  </w:style>
  <w:style w:type="paragraph" w:styleId="Heading2">
    <w:name w:val="heading 2"/>
    <w:basedOn w:val="Normal"/>
    <w:next w:val="Normal"/>
    <w:qFormat/>
    <w:pPr>
      <w:keepNext w:val="true"/>
      <w:numPr>
        <w:ilvl w:val="1"/>
        <w:numId w:val="1"/>
      </w:numPr>
      <w:autoSpaceDE w:val="false"/>
      <w:outlineLvl w:val="1"/>
    </w:pPr>
    <w:rPr>
      <w:b/>
      <w:bCs/>
      <w:color w:val="0000FF"/>
      <w:u w:val="single"/>
    </w:rPr>
  </w:style>
  <w:style w:type="paragraph" w:styleId="Heading3">
    <w:name w:val="heading 3"/>
    <w:basedOn w:val="Normal"/>
    <w:next w:val="Normal"/>
    <w:qFormat/>
    <w:pPr>
      <w:keepNext w:val="true"/>
      <w:numPr>
        <w:ilvl w:val="2"/>
        <w:numId w:val="1"/>
      </w:numPr>
      <w:outlineLvl w:val="2"/>
    </w:pPr>
    <w:rPr>
      <w:color w:val="000000"/>
      <w:sz w:val="28"/>
    </w:rPr>
  </w:style>
  <w:style w:type="paragraph" w:styleId="Heading4">
    <w:name w:val="heading 4"/>
    <w:basedOn w:val="Normal"/>
    <w:next w:val="Normal"/>
    <w:qFormat/>
    <w:pPr>
      <w:numPr>
        <w:ilvl w:val="3"/>
        <w:numId w:val="1"/>
      </w:numPr>
      <w:autoSpaceDE w:val="false"/>
      <w:outlineLvl w:val="3"/>
    </w:pPr>
    <w:rPr>
      <w:rFonts w:ascii="Arial" w:hAnsi="Arial" w:cs="Arial"/>
      <w:sz w:val="20"/>
    </w:rPr>
  </w:style>
  <w:style w:type="character" w:styleId="DefaultParagraphFont">
    <w:name w:val="Default Paragraph Font"/>
    <w:qFormat/>
    <w:rPr/>
  </w:style>
  <w:style w:type="character" w:styleId="EmailStyle20">
    <w:name w:val="EmailStyle20"/>
    <w:basedOn w:val="DefaultParagraphFont"/>
    <w:qFormat/>
    <w:rPr>
      <w:rFonts w:ascii="Arial" w:hAnsi="Arial" w:cs="Arial"/>
      <w:color w:val="000000"/>
      <w:sz w:val="20"/>
      <w:szCs w:val="20"/>
    </w:rPr>
  </w:style>
  <w:style w:type="character" w:styleId="EmailStyle22">
    <w:name w:val="EmailStyle22"/>
    <w:basedOn w:val="DefaultParagraphFont"/>
    <w:qFormat/>
    <w:rPr>
      <w:rFonts w:ascii="Arial" w:hAnsi="Arial" w:cs="Arial"/>
      <w:color w:val="000000"/>
      <w:sz w:val="20"/>
      <w:szCs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color w:val="00000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2001-07-13T09:37:00Z</dcterms:created>
  <dc:creator>mgottsp</dc:creator>
  <dc:description/>
  <dc:language>en-CA</dc:language>
  <cp:lastModifiedBy>mgottsp</cp:lastModifiedBy>
  <dcterms:modified xsi:type="dcterms:W3CDTF">2001-07-13T09:37:00Z</dcterms:modified>
  <cp:revision>2</cp:revision>
  <dc:subject/>
  <dc:title>ETS Planning Weekly Report</dc:title>
</cp:coreProperties>
</file>