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Planning Weekly Report</w:t>
      </w:r>
    </w:p>
    <w:p>
      <w:pPr>
        <w:pStyle w:val="Normal"/>
        <w:rPr>
          <w:rFonts w:cs="Arial"/>
          <w:b/>
          <w:bCs/>
          <w:color w:val="0000FF"/>
          <w:sz w:val="32"/>
          <w:szCs w:val="28"/>
        </w:rPr>
      </w:pPr>
      <w:r>
        <w:rPr>
          <w:rFonts w:cs="Arial"/>
          <w:b/>
          <w:bCs/>
          <w:color w:val="0000FF"/>
          <w:sz w:val="32"/>
          <w:szCs w:val="28"/>
        </w:rPr>
        <w:t>Week Ending 6/8/01</w:t>
      </w:r>
    </w:p>
    <w:p>
      <w:pPr>
        <w:pStyle w:val="Normal"/>
        <w:rPr>
          <w:rFonts w:cs="Arial"/>
          <w:b/>
          <w:bCs/>
          <w:i/>
          <w:i/>
          <w:iCs/>
          <w:color w:val="0000FF"/>
          <w:sz w:val="28"/>
          <w:szCs w:val="28"/>
          <w:u w:val="single"/>
        </w:rPr>
      </w:pPr>
      <w:r>
        <w:rPr>
          <w:rFonts w:cs="Arial"/>
          <w:b/>
          <w:bCs/>
          <w:i/>
          <w:iCs/>
          <w:color w:val="0000FF"/>
          <w:sz w:val="28"/>
          <w:szCs w:val="28"/>
          <w:u w:val="single"/>
        </w:rPr>
      </w:r>
    </w:p>
    <w:p>
      <w:pPr>
        <w:pStyle w:val="Normal"/>
        <w:rPr>
          <w:rFonts w:cs="Arial"/>
          <w:b/>
          <w:bCs/>
          <w:i/>
          <w:i/>
          <w:iCs/>
          <w:sz w:val="28"/>
          <w:szCs w:val="28"/>
          <w:u w:val="single"/>
        </w:rPr>
      </w:pPr>
      <w:r>
        <w:rPr>
          <w:rFonts w:cs="Arial"/>
          <w:b/>
          <w:bCs/>
          <w:i/>
          <w:iCs/>
          <w:sz w:val="28"/>
          <w:szCs w:val="28"/>
          <w:u w:val="single"/>
        </w:rPr>
      </w:r>
    </w:p>
    <w:p>
      <w:pPr>
        <w:pStyle w:val="Heading3"/>
        <w:ind w:hanging="0" w:start="0"/>
        <w:rPr>
          <w:rFonts w:cs="Times New Roman"/>
          <w:color w:val="0000FF"/>
        </w:rPr>
      </w:pPr>
      <w:r>
        <w:rPr>
          <w:rFonts w:cs="Times New Roman"/>
          <w:color w:val="0000FF"/>
        </w:rPr>
        <w:t>FLORIDA GAS TRANSMISSION</w:t>
      </w:r>
    </w:p>
    <w:p>
      <w:pPr>
        <w:pStyle w:val="Normal"/>
        <w:rPr>
          <w:rFonts w:cs="Times New Roman"/>
          <w:color w:val="0000FF"/>
          <w:szCs w:val="20"/>
        </w:rPr>
      </w:pPr>
      <w:r>
        <w:rPr>
          <w:rFonts w:cs="Times New Roman"/>
          <w:color w:val="0000FF"/>
          <w:szCs w:val="20"/>
        </w:rPr>
      </w:r>
    </w:p>
    <w:p>
      <w:pPr>
        <w:pStyle w:val="Normal"/>
        <w:rPr>
          <w:b/>
          <w:bCs/>
          <w:szCs w:val="20"/>
          <w:u w:val="single"/>
        </w:rPr>
      </w:pPr>
      <w:r>
        <w:rPr>
          <w:b/>
          <w:bCs/>
        </w:rPr>
        <w:t>**ANR Krotz Springs</w:t>
      </w:r>
    </w:p>
    <w:p>
      <w:pPr>
        <w:pStyle w:val="Normal"/>
        <w:rPr>
          <w:szCs w:val="20"/>
        </w:rPr>
      </w:pPr>
      <w:r>
        <w:rPr>
          <w:szCs w:val="20"/>
        </w:rPr>
        <w:t>Received a revised Level B cost estimate, which was sent to Marketing.  Revised costs reflect changes made in the latest on-site visit with ANR and Operations.  Will await the next step from Marketing.</w:t>
      </w:r>
    </w:p>
    <w:p>
      <w:pPr>
        <w:pStyle w:val="Normal"/>
        <w:rPr>
          <w:b/>
          <w:bCs/>
          <w:szCs w:val="20"/>
        </w:rPr>
      </w:pPr>
      <w:r>
        <w:rPr>
          <w:b/>
          <w:bCs/>
          <w:szCs w:val="20"/>
        </w:rPr>
      </w:r>
    </w:p>
    <w:p>
      <w:pPr>
        <w:pStyle w:val="Normal"/>
        <w:rPr>
          <w:szCs w:val="20"/>
        </w:rPr>
      </w:pPr>
      <w:r>
        <w:rPr>
          <w:b/>
          <w:bCs/>
        </w:rPr>
        <w:t>El Paso-FGT Interconnect</w:t>
      </w:r>
    </w:p>
    <w:p>
      <w:pPr>
        <w:pStyle w:val="Normal"/>
        <w:rPr>
          <w:szCs w:val="20"/>
        </w:rPr>
      </w:pPr>
      <w:r>
        <w:rPr>
          <w:szCs w:val="20"/>
        </w:rPr>
        <w:t>An estimate of facilities and costs is being prepared for a new fuel supply for compressor station 42, Carnes, MS.</w:t>
      </w:r>
    </w:p>
    <w:p>
      <w:pPr>
        <w:pStyle w:val="Normal"/>
        <w:rPr>
          <w:szCs w:val="20"/>
        </w:rPr>
      </w:pPr>
      <w:r>
        <w:rPr>
          <w:szCs w:val="20"/>
        </w:rPr>
      </w:r>
    </w:p>
    <w:p>
      <w:pPr>
        <w:pStyle w:val="Normal"/>
        <w:rPr>
          <w:szCs w:val="20"/>
        </w:rPr>
      </w:pPr>
      <w:r>
        <w:rPr>
          <w:b/>
          <w:bCs/>
        </w:rPr>
        <w:t>**Phase VI</w:t>
      </w:r>
    </w:p>
    <w:p>
      <w:pPr>
        <w:pStyle w:val="Normal"/>
        <w:rPr>
          <w:szCs w:val="20"/>
        </w:rPr>
      </w:pPr>
      <w:r>
        <w:rPr>
          <w:szCs w:val="20"/>
        </w:rPr>
        <w:t>Due to prospective volume adjustments, facilities and costs for 4 new Phase VI cases were requested by Marketing.  These will be completed over the next few days.</w:t>
      </w:r>
    </w:p>
    <w:p>
      <w:pPr>
        <w:pStyle w:val="Normal"/>
        <w:rPr>
          <w:szCs w:val="20"/>
        </w:rPr>
      </w:pPr>
      <w:r>
        <w:rPr>
          <w:szCs w:val="20"/>
        </w:rPr>
      </w:r>
    </w:p>
    <w:p>
      <w:pPr>
        <w:pStyle w:val="Normal"/>
        <w:rPr>
          <w:szCs w:val="20"/>
        </w:rPr>
      </w:pPr>
      <w:r>
        <w:rPr>
          <w:b/>
          <w:bCs/>
        </w:rPr>
        <w:t>Miscellaneous</w:t>
      </w:r>
    </w:p>
    <w:p>
      <w:pPr>
        <w:pStyle w:val="Normal"/>
        <w:rPr>
          <w:szCs w:val="20"/>
        </w:rPr>
      </w:pPr>
      <w:r>
        <w:rPr>
          <w:szCs w:val="20"/>
        </w:rPr>
        <w:t>**Planning attended a meeting at the Florida training center where tests are being run to determine the interchangeability/compatibility of LNG and natural gas in vented and unvented appliances.</w:t>
      </w:r>
    </w:p>
    <w:p>
      <w:pPr>
        <w:pStyle w:val="Normal"/>
        <w:rPr>
          <w:szCs w:val="20"/>
        </w:rPr>
      </w:pPr>
      <w:r>
        <w:rPr>
          <w:szCs w:val="20"/>
        </w:rPr>
      </w:r>
    </w:p>
    <w:p>
      <w:pPr>
        <w:pStyle w:val="Normal"/>
        <w:rPr>
          <w:szCs w:val="20"/>
        </w:rPr>
      </w:pPr>
      <w:r>
        <w:rPr>
          <w:szCs w:val="20"/>
        </w:rPr>
        <w:t>Two candidates for the Facility Planner vacancy were interviewed.  A decision is forthcoming next week.</w:t>
      </w:r>
    </w:p>
    <w:p>
      <w:pPr>
        <w:pStyle w:val="Normal"/>
        <w:rPr>
          <w:szCs w:val="20"/>
        </w:rPr>
      </w:pPr>
      <w:r>
        <w:rPr>
          <w:szCs w:val="20"/>
        </w:rPr>
      </w:r>
    </w:p>
    <w:p>
      <w:pPr>
        <w:pStyle w:val="Normal"/>
        <w:rPr>
          <w:szCs w:val="20"/>
        </w:rPr>
      </w:pPr>
      <w:r>
        <w:rPr>
          <w:szCs w:val="20"/>
        </w:rPr>
      </w:r>
    </w:p>
    <w:p>
      <w:pPr>
        <w:pStyle w:val="Heading5"/>
        <w:ind w:hanging="0" w:start="0"/>
        <w:rPr>
          <w:color w:val="0000FF"/>
          <w:u w:val="single"/>
        </w:rPr>
      </w:pPr>
      <w:r>
        <w:rPr>
          <w:color w:val="0000FF"/>
          <w:u w:val="single"/>
        </w:rPr>
        <w:t>Northern Natural Gas</w:t>
      </w:r>
    </w:p>
    <w:p>
      <w:pPr>
        <w:pStyle w:val="Heading8"/>
        <w:ind w:hanging="0" w:start="0"/>
        <w:rPr>
          <w:color w:val="0000FF"/>
        </w:rPr>
      </w:pPr>
      <w:r>
        <w:rPr>
          <w:color w:val="0000FF"/>
        </w:rPr>
        <w:t>North End</w:t>
      </w:r>
    </w:p>
    <w:p>
      <w:pPr>
        <w:pStyle w:val="Normal"/>
        <w:jc w:val="both"/>
        <w:rPr>
          <w:b/>
          <w:bCs/>
          <w:color w:val="0000FF"/>
          <w:szCs w:val="20"/>
        </w:rPr>
      </w:pPr>
      <w:r>
        <w:rPr>
          <w:b/>
          <w:bCs/>
          <w:color w:val="0000FF"/>
          <w:szCs w:val="20"/>
        </w:rPr>
      </w:r>
    </w:p>
    <w:p>
      <w:pPr>
        <w:pStyle w:val="Normal"/>
        <w:jc w:val="both"/>
        <w:rPr>
          <w:b/>
          <w:bCs/>
          <w:szCs w:val="20"/>
        </w:rPr>
      </w:pPr>
      <w:r>
        <w:rPr>
          <w:b/>
          <w:bCs/>
          <w:szCs w:val="20"/>
        </w:rPr>
      </w:r>
    </w:p>
    <w:p>
      <w:pPr>
        <w:pStyle w:val="Normal"/>
        <w:jc w:val="both"/>
        <w:rPr>
          <w:szCs w:val="20"/>
        </w:rPr>
      </w:pPr>
      <w:r>
        <w:rPr>
          <w:b/>
          <w:bCs/>
          <w:szCs w:val="20"/>
        </w:rPr>
        <w:t>**Midwestern Gas Transmission</w:t>
      </w:r>
    </w:p>
    <w:p>
      <w:pPr>
        <w:pStyle w:val="Normal"/>
        <w:jc w:val="both"/>
        <w:rPr>
          <w:szCs w:val="20"/>
        </w:rPr>
      </w:pPr>
      <w:r>
        <w:rPr>
          <w:szCs w:val="20"/>
        </w:rPr>
        <w:t xml:space="preserve">Marketing has requested seven more cases, involving forward hauls on MGT.  Work has started.  Results are to be done by Friday, June 8th.  </w:t>
      </w:r>
    </w:p>
    <w:p>
      <w:pPr>
        <w:pStyle w:val="Normal"/>
        <w:jc w:val="both"/>
        <w:rPr>
          <w:szCs w:val="20"/>
        </w:rPr>
      </w:pPr>
      <w:r>
        <w:rPr>
          <w:szCs w:val="20"/>
        </w:rPr>
      </w:r>
    </w:p>
    <w:p>
      <w:pPr>
        <w:pStyle w:val="Normal"/>
        <w:jc w:val="both"/>
        <w:rPr>
          <w:szCs w:val="20"/>
        </w:rPr>
      </w:pPr>
      <w:r>
        <w:rPr>
          <w:b/>
          <w:bCs/>
          <w:szCs w:val="20"/>
        </w:rPr>
        <w:t>**Project Max</w:t>
      </w:r>
    </w:p>
    <w:p>
      <w:pPr>
        <w:pStyle w:val="Normal"/>
        <w:jc w:val="both"/>
        <w:rPr>
          <w:szCs w:val="20"/>
        </w:rPr>
      </w:pPr>
      <w:r>
        <w:rPr>
          <w:szCs w:val="20"/>
        </w:rPr>
        <w:t xml:space="preserve">Had discussions with Marketing on Project Max and some of the White Paper ideas.  The open season closes June 22.  Marketing will need a week or so to process the responses, with Planning expected to start analysis shortly after the first week of July.  Several iterations of the whole process are expected, stretching into the fall.  </w:t>
      </w:r>
    </w:p>
    <w:p>
      <w:pPr>
        <w:pStyle w:val="Normal"/>
        <w:jc w:val="both"/>
        <w:rPr>
          <w:szCs w:val="20"/>
        </w:rPr>
      </w:pPr>
      <w:r>
        <w:rPr>
          <w:szCs w:val="20"/>
        </w:rPr>
      </w:r>
    </w:p>
    <w:p>
      <w:pPr>
        <w:pStyle w:val="Normal"/>
        <w:jc w:val="both"/>
        <w:rPr>
          <w:szCs w:val="20"/>
        </w:rPr>
      </w:pPr>
      <w:r>
        <w:rPr>
          <w:szCs w:val="20"/>
        </w:rPr>
      </w:r>
    </w:p>
    <w:p>
      <w:pPr>
        <w:pStyle w:val="Heading2"/>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 xml:space="preserve">**Staffing </w:t>
      </w:r>
    </w:p>
    <w:p>
      <w:pPr>
        <w:pStyle w:val="Normal"/>
        <w:jc w:val="both"/>
        <w:rPr>
          <w:szCs w:val="20"/>
        </w:rPr>
      </w:pPr>
      <w:r>
        <w:rPr>
          <w:szCs w:val="20"/>
        </w:rPr>
        <w:t>Ray Smith has accepted a position of Principal Engineer, and will start as soon as his transition can be coordinated with Construction.</w:t>
      </w:r>
    </w:p>
    <w:p>
      <w:pPr>
        <w:pStyle w:val="Heading2"/>
        <w:keepNext w:val="true"/>
        <w:ind w:hanging="0" w:start="0"/>
        <w:jc w:val="both"/>
        <w:rPr>
          <w:rFonts w:ascii="Times New Roman" w:hAnsi="Times New Roman" w:cs="Times New Roman"/>
          <w:b/>
          <w:bCs/>
          <w:szCs w:val="20"/>
        </w:rPr>
      </w:pPr>
      <w:r>
        <w:rPr>
          <w:rFonts w:cs="Times New Roman" w:ascii="Times New Roman" w:hAnsi="Times New Roman"/>
          <w:b/>
          <w:bCs/>
          <w:szCs w:val="20"/>
        </w:rPr>
      </w:r>
    </w:p>
    <w:p>
      <w:pPr>
        <w:pStyle w:val="Heading2"/>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 xml:space="preserve">CAS </w:t>
      </w:r>
    </w:p>
    <w:p>
      <w:pPr>
        <w:pStyle w:val="Normal"/>
        <w:jc w:val="both"/>
        <w:rPr>
          <w:szCs w:val="20"/>
        </w:rPr>
      </w:pPr>
      <w:r>
        <w:rPr>
          <w:szCs w:val="20"/>
        </w:rPr>
        <w:t>Updating CAS Master Meter and associated group adjustments.  Work on updating 3/4% mainline proration capacity is still pending and will likely begin next week.</w:t>
      </w:r>
    </w:p>
    <w:p>
      <w:pPr>
        <w:pStyle w:val="Normal"/>
        <w:jc w:val="both"/>
        <w:rPr>
          <w:szCs w:val="20"/>
        </w:rPr>
      </w:pPr>
      <w:r>
        <w:rPr>
          <w:szCs w:val="20"/>
        </w:rPr>
      </w:r>
    </w:p>
    <w:p>
      <w:pPr>
        <w:pStyle w:val="Heading2"/>
        <w:keepNext w:val="true"/>
        <w:ind w:hanging="0" w:start="0"/>
        <w:jc w:val="both"/>
        <w:rPr>
          <w:rFonts w:ascii="Times New Roman" w:hAnsi="Times New Roman" w:cs="Times New Roman"/>
          <w:b/>
          <w:bCs/>
          <w:sz w:val="24"/>
          <w:szCs w:val="20"/>
        </w:rPr>
      </w:pPr>
      <w:r>
        <w:rPr>
          <w:rFonts w:cs="Times New Roman" w:ascii="Times New Roman" w:hAnsi="Times New Roman"/>
          <w:b/>
          <w:bCs/>
          <w:sz w:val="24"/>
          <w:szCs w:val="20"/>
        </w:rPr>
        <w:t xml:space="preserve">Capacity Posting Meeting </w:t>
      </w:r>
    </w:p>
    <w:p>
      <w:pPr>
        <w:pStyle w:val="Normal"/>
        <w:jc w:val="both"/>
        <w:rPr>
          <w:szCs w:val="20"/>
        </w:rPr>
      </w:pPr>
      <w:r>
        <w:rPr>
          <w:szCs w:val="20"/>
        </w:rPr>
        <w:t xml:space="preserve">Attended meeting with Reg. Affairs, Marketing, IT, Legal to discuss posting requirements.  Changes to the existing postings were discussed; such as the need for posting 3 reports as currently done, or the requirements for including group capacity information, or the possible combination of 2 existing reports into 1 new report.  No final decisions were made and the issue will be discussed further in the future. </w:t>
      </w:r>
    </w:p>
    <w:p>
      <w:pPr>
        <w:pStyle w:val="Normal"/>
        <w:jc w:val="both"/>
        <w:rPr>
          <w:szCs w:val="20"/>
        </w:rPr>
      </w:pPr>
      <w:r>
        <w:rPr>
          <w:szCs w:val="20"/>
        </w:rPr>
      </w:r>
    </w:p>
    <w:p>
      <w:pPr>
        <w:pStyle w:val="Normal"/>
        <w:jc w:val="both"/>
        <w:rPr>
          <w:szCs w:val="20"/>
        </w:rPr>
      </w:pPr>
      <w:r>
        <w:rPr>
          <w:b/>
          <w:bCs/>
          <w:szCs w:val="20"/>
        </w:rPr>
        <w:t>Farm Tap Removals</w:t>
      </w:r>
    </w:p>
    <w:p>
      <w:pPr>
        <w:pStyle w:val="Normal"/>
        <w:jc w:val="both"/>
        <w:rPr>
          <w:szCs w:val="20"/>
        </w:rPr>
      </w:pPr>
      <w:r>
        <w:rPr>
          <w:szCs w:val="20"/>
        </w:rPr>
        <w:t xml:space="preserve">Researched eleven farm tap removals for Operations Administration.  </w:t>
      </w:r>
    </w:p>
    <w:p>
      <w:pPr>
        <w:pStyle w:val="Normal"/>
        <w:jc w:val="both"/>
        <w:rPr>
          <w:szCs w:val="20"/>
        </w:rPr>
      </w:pPr>
      <w:r>
        <w:rPr>
          <w:szCs w:val="20"/>
        </w:rPr>
      </w:r>
    </w:p>
    <w:p>
      <w:pPr>
        <w:pStyle w:val="Normal"/>
        <w:jc w:val="both"/>
        <w:rPr>
          <w:b/>
          <w:bCs/>
          <w:szCs w:val="20"/>
        </w:rPr>
      </w:pPr>
      <w:r>
        <w:rPr>
          <w:b/>
          <w:bCs/>
          <w:szCs w:val="20"/>
        </w:rPr>
        <w:t>NNG System Map</w:t>
      </w:r>
    </w:p>
    <w:p>
      <w:pPr>
        <w:pStyle w:val="Normal"/>
        <w:jc w:val="both"/>
        <w:rPr>
          <w:szCs w:val="20"/>
        </w:rPr>
      </w:pPr>
      <w:r>
        <w:rPr>
          <w:szCs w:val="20"/>
        </w:rPr>
        <w:t xml:space="preserve">Certificates needed a Northern System Map that would satisfy the requirements needed by the Iowa SHPO for historical documentation.  However, Legal requested changes to the map before it could be published.  Coordinated revisions with Engineering Records to create a map acceptable to the Legal Department.   </w:t>
      </w:r>
    </w:p>
    <w:p>
      <w:pPr>
        <w:pStyle w:val="Normal"/>
        <w:jc w:val="both"/>
        <w:rPr>
          <w:szCs w:val="20"/>
        </w:rPr>
      </w:pPr>
      <w:r>
        <w:rPr>
          <w:szCs w:val="20"/>
        </w:rPr>
      </w:r>
    </w:p>
    <w:p>
      <w:pPr>
        <w:pStyle w:val="Normal"/>
        <w:jc w:val="both"/>
        <w:rPr>
          <w:b/>
          <w:bCs/>
          <w:szCs w:val="20"/>
        </w:rPr>
      </w:pPr>
      <w:r>
        <w:rPr>
          <w:b/>
          <w:bCs/>
          <w:szCs w:val="20"/>
        </w:rPr>
        <w:t>Work Order And Completion Reports</w:t>
      </w:r>
    </w:p>
    <w:p>
      <w:pPr>
        <w:pStyle w:val="Normal"/>
        <w:jc w:val="both"/>
        <w:rPr>
          <w:b/>
          <w:bCs/>
          <w:szCs w:val="20"/>
        </w:rPr>
      </w:pPr>
      <w:r>
        <w:rPr>
          <w:szCs w:val="20"/>
        </w:rPr>
        <w:t>Houston Engineering &amp; Construction requested assistance with retrieving various 1999 work orders and completion reports for Northern projects since they are now the department publishing the comparison reports.  Forwarded E &amp; C’s request to Omaha Project Control since they keep all of the work order information.</w:t>
      </w:r>
    </w:p>
    <w:p>
      <w:pPr>
        <w:pStyle w:val="Normal"/>
        <w:jc w:val="both"/>
        <w:rPr>
          <w:b/>
          <w:bCs/>
          <w:szCs w:val="20"/>
        </w:rPr>
      </w:pPr>
      <w:r>
        <w:rPr>
          <w:b/>
          <w:bCs/>
          <w:szCs w:val="20"/>
        </w:rPr>
      </w:r>
    </w:p>
    <w:p>
      <w:pPr>
        <w:pStyle w:val="Heading7"/>
        <w:keepNext w:val="true"/>
        <w:spacing w:lineRule="atLeast" w:line="240"/>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**Heartland Corn Expansion</w:t>
      </w:r>
    </w:p>
    <w:p>
      <w:pPr>
        <w:pStyle w:val="Normal"/>
        <w:spacing w:lineRule="atLeast" w:line="240"/>
        <w:rPr>
          <w:color w:val="000000"/>
          <w:szCs w:val="20"/>
        </w:rPr>
      </w:pPr>
      <w:r>
        <w:rPr>
          <w:color w:val="000000"/>
          <w:szCs w:val="20"/>
        </w:rPr>
        <w:t>The installation was completed during the planned plant outage.  EFM, flow &amp; inlet pressure control will be installed later.</w:t>
      </w:r>
    </w:p>
    <w:p>
      <w:pPr>
        <w:pStyle w:val="Normal"/>
        <w:spacing w:lineRule="atLeast" w:line="240"/>
        <w:rPr>
          <w:color w:val="000000"/>
          <w:szCs w:val="20"/>
        </w:rPr>
      </w:pPr>
      <w:r>
        <w:rPr>
          <w:color w:val="000000"/>
          <w:szCs w:val="20"/>
        </w:rPr>
      </w:r>
    </w:p>
    <w:p>
      <w:pPr>
        <w:pStyle w:val="Heading7"/>
        <w:keepNext w:val="true"/>
        <w:spacing w:lineRule="atLeast" w:line="240"/>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Willmar Branch Line</w:t>
      </w:r>
    </w:p>
    <w:p>
      <w:pPr>
        <w:pStyle w:val="Normal"/>
        <w:spacing w:lineRule="atLeast" w:line="240"/>
        <w:rPr>
          <w:color w:val="000000"/>
          <w:szCs w:val="20"/>
        </w:rPr>
      </w:pPr>
      <w:r>
        <w:rPr>
          <w:color w:val="000000"/>
          <w:szCs w:val="20"/>
        </w:rPr>
        <w:t xml:space="preserve">Waiting on response to the open season, which has been extended to 6/22/01.  </w:t>
      </w:r>
    </w:p>
    <w:p>
      <w:pPr>
        <w:pStyle w:val="Normal"/>
        <w:spacing w:lineRule="atLeast" w:line="240"/>
        <w:rPr>
          <w:color w:val="000000"/>
          <w:szCs w:val="20"/>
        </w:rPr>
      </w:pPr>
      <w:r>
        <w:rPr>
          <w:color w:val="000000"/>
          <w:szCs w:val="20"/>
        </w:rPr>
      </w:r>
    </w:p>
    <w:p>
      <w:pPr>
        <w:pStyle w:val="Heading7"/>
        <w:keepNext w:val="true"/>
        <w:spacing w:lineRule="atLeast" w:line="240"/>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**East Leg - Guardian Interconnect/Sale</w:t>
      </w:r>
    </w:p>
    <w:p>
      <w:pPr>
        <w:pStyle w:val="Normal"/>
        <w:spacing w:lineRule="atLeast" w:line="240"/>
        <w:jc w:val="both"/>
        <w:rPr>
          <w:color w:val="000000"/>
          <w:szCs w:val="20"/>
        </w:rPr>
      </w:pPr>
      <w:r>
        <w:rPr>
          <w:color w:val="000000"/>
          <w:szCs w:val="20"/>
        </w:rPr>
        <w:t xml:space="preserve">Revisions were made to the draft of the Belleville filing exhibits and models in accordance with discussions with Reg Affairs.  Revised drafts for the abandonment and the Belleville Station have been reviewed.  </w:t>
      </w:r>
    </w:p>
    <w:p>
      <w:pPr>
        <w:pStyle w:val="Normal"/>
        <w:spacing w:lineRule="atLeast" w:line="240"/>
        <w:jc w:val="both"/>
        <w:rPr>
          <w:color w:val="000000"/>
          <w:szCs w:val="20"/>
        </w:rPr>
      </w:pPr>
      <w:r>
        <w:rPr>
          <w:color w:val="000000"/>
          <w:szCs w:val="20"/>
        </w:rPr>
      </w:r>
    </w:p>
    <w:p>
      <w:pPr>
        <w:pStyle w:val="Normal"/>
        <w:spacing w:lineRule="atLeast" w:line="240"/>
        <w:jc w:val="both"/>
        <w:rPr>
          <w:color w:val="000000"/>
          <w:szCs w:val="20"/>
        </w:rPr>
      </w:pPr>
      <w:r>
        <w:rPr>
          <w:color w:val="000000"/>
          <w:szCs w:val="20"/>
        </w:rPr>
      </w:r>
    </w:p>
    <w:p>
      <w:pPr>
        <w:pStyle w:val="Normal"/>
        <w:jc w:val="both"/>
        <w:rPr>
          <w:szCs w:val="20"/>
        </w:rPr>
      </w:pPr>
      <w:r>
        <w:rPr>
          <w:b/>
          <w:bCs/>
          <w:szCs w:val="20"/>
        </w:rPr>
        <w:t>**Frontier Pipeline</w:t>
      </w:r>
    </w:p>
    <w:p>
      <w:pPr>
        <w:pStyle w:val="Normal"/>
        <w:jc w:val="both"/>
        <w:rPr>
          <w:szCs w:val="20"/>
        </w:rPr>
      </w:pPr>
      <w:r>
        <w:rPr>
          <w:szCs w:val="20"/>
        </w:rPr>
        <w:t>Marketing requested two flow studies for a proposed interconnect south of the Holcomb Station in Kearny County, Kansas.  The Frontier Pipeline is a proposed pipeline that would go from eastern Colorado and Wyoming to central Kansas and Western Oklahoma.  The interconnect would be approximately 20 miles south of the Holcomb Station and be located on the "Tate" lateral.  The two flow studies are for 69.5 MMCF/D and 145 MMCF/D.  Diagrams were forwarded to Marketing and showed the required pressure for the flow.</w:t>
      </w:r>
    </w:p>
    <w:p>
      <w:pPr>
        <w:pStyle w:val="Normal"/>
        <w:jc w:val="both"/>
        <w:rPr>
          <w:szCs w:val="20"/>
        </w:rPr>
      </w:pPr>
      <w:r>
        <w:rPr>
          <w:szCs w:val="20"/>
        </w:rPr>
      </w:r>
    </w:p>
    <w:p>
      <w:pPr>
        <w:pStyle w:val="Normal"/>
        <w:jc w:val="both"/>
        <w:rPr>
          <w:b/>
          <w:bCs/>
          <w:szCs w:val="20"/>
        </w:rPr>
      </w:pPr>
      <w:r>
        <w:rPr>
          <w:b/>
          <w:bCs/>
          <w:szCs w:val="20"/>
        </w:rPr>
        <w:t>**Muscatine Power Plant</w:t>
      </w:r>
    </w:p>
    <w:p>
      <w:pPr>
        <w:pStyle w:val="Normal"/>
        <w:jc w:val="both"/>
        <w:rPr>
          <w:szCs w:val="20"/>
        </w:rPr>
      </w:pPr>
      <w:r>
        <w:rPr>
          <w:szCs w:val="20"/>
        </w:rPr>
        <w:t>Marketing requested the requirements to flow to a power plant near Muscatine, Iowa.  The requirements for the proposed flow with a cost estimate were forwarded to Marketing.</w:t>
      </w:r>
    </w:p>
    <w:p>
      <w:pPr>
        <w:pStyle w:val="Normal"/>
        <w:jc w:val="both"/>
        <w:rPr>
          <w:szCs w:val="20"/>
        </w:rPr>
      </w:pPr>
      <w:r>
        <w:rPr>
          <w:szCs w:val="20"/>
        </w:rPr>
      </w:r>
    </w:p>
    <w:p>
      <w:pPr>
        <w:pStyle w:val="Normal"/>
        <w:jc w:val="both"/>
        <w:rPr>
          <w:b/>
          <w:bCs/>
          <w:szCs w:val="20"/>
        </w:rPr>
      </w:pPr>
      <w:r>
        <w:rPr>
          <w:b/>
          <w:bCs/>
          <w:szCs w:val="20"/>
        </w:rPr>
        <w:t>**Highlands Estate</w:t>
      </w:r>
    </w:p>
    <w:p>
      <w:pPr>
        <w:pStyle w:val="Normal"/>
        <w:jc w:val="both"/>
        <w:rPr>
          <w:szCs w:val="20"/>
        </w:rPr>
      </w:pPr>
      <w:r>
        <w:rPr>
          <w:szCs w:val="20"/>
        </w:rPr>
        <w:t xml:space="preserve">An unplanned outage at the Highland Estates TBS occurred on 6/5/01.  The team assisted the Beatrice Region in the outage.  The team also conducted a post incident review of Planning's response to the OCC and the Beatrice Region.  The post review examined </w:t>
      </w:r>
    </w:p>
    <w:p>
      <w:pPr>
        <w:pStyle w:val="Normal"/>
        <w:jc w:val="both"/>
        <w:rPr>
          <w:szCs w:val="20"/>
        </w:rPr>
      </w:pPr>
      <w:r>
        <w:rPr>
          <w:szCs w:val="20"/>
        </w:rPr>
        <w:t>1) The use of LSF - proper use by Planning but LSF is dependent upon accurate forecasting</w:t>
      </w:r>
    </w:p>
    <w:p>
      <w:pPr>
        <w:pStyle w:val="Normal"/>
        <w:jc w:val="both"/>
        <w:rPr>
          <w:szCs w:val="20"/>
        </w:rPr>
      </w:pPr>
      <w:r>
        <w:rPr>
          <w:szCs w:val="20"/>
        </w:rPr>
        <w:t xml:space="preserve">2) Modeling Assumptions - correct model used; the model was within 5 psig once the proper flows and pressures were used </w:t>
      </w:r>
    </w:p>
    <w:p>
      <w:pPr>
        <w:pStyle w:val="Normal"/>
        <w:jc w:val="both"/>
        <w:rPr>
          <w:szCs w:val="20"/>
        </w:rPr>
      </w:pPr>
      <w:r>
        <w:rPr>
          <w:szCs w:val="20"/>
        </w:rPr>
        <w:t>3) The OCC recommended that the company purchase a laptop and store the computer in the OCC</w:t>
      </w:r>
    </w:p>
    <w:p>
      <w:pPr>
        <w:pStyle w:val="Normal"/>
        <w:jc w:val="both"/>
        <w:rPr>
          <w:szCs w:val="20"/>
        </w:rPr>
      </w:pPr>
      <w:r>
        <w:rPr>
          <w:szCs w:val="20"/>
        </w:rPr>
      </w:r>
    </w:p>
    <w:p>
      <w:pPr>
        <w:pStyle w:val="Normal"/>
        <w:jc w:val="both"/>
        <w:rPr>
          <w:b/>
          <w:bCs/>
          <w:szCs w:val="20"/>
        </w:rPr>
      </w:pPr>
      <w:r>
        <w:rPr>
          <w:b/>
          <w:bCs/>
          <w:szCs w:val="20"/>
        </w:rPr>
        <w:t>**Sunray Station</w:t>
      </w:r>
    </w:p>
    <w:p>
      <w:pPr>
        <w:pStyle w:val="Normal"/>
        <w:jc w:val="both"/>
        <w:rPr>
          <w:szCs w:val="20"/>
        </w:rPr>
      </w:pPr>
      <w:r>
        <w:rPr>
          <w:szCs w:val="20"/>
        </w:rPr>
        <w:t>A meeting was held on 6/1/01 with Randy Rice and other personnel at the Sunray Station to discuss the proposed abandonment of the horizontal units at Sunray.  Randy advised the people to proceed with a Level B cost estimate to series stage the vertical units at Sunray.  Work order is in progress.</w:t>
      </w:r>
    </w:p>
    <w:p>
      <w:pPr>
        <w:pStyle w:val="Normal"/>
        <w:jc w:val="both"/>
        <w:rPr>
          <w:szCs w:val="20"/>
        </w:rPr>
      </w:pPr>
      <w:r>
        <w:rPr>
          <w:szCs w:val="20"/>
        </w:rPr>
      </w:r>
    </w:p>
    <w:p>
      <w:pPr>
        <w:pStyle w:val="Normal"/>
        <w:spacing w:lineRule="atLeast" w:line="240"/>
        <w:jc w:val="both"/>
        <w:rPr>
          <w:b/>
          <w:bCs/>
          <w:color w:val="000000"/>
          <w:szCs w:val="20"/>
        </w:rPr>
      </w:pPr>
      <w:r>
        <w:rPr>
          <w:b/>
          <w:bCs/>
          <w:color w:val="000000"/>
          <w:szCs w:val="20"/>
        </w:rPr>
        <w:t>East Leg Outages</w:t>
      </w:r>
    </w:p>
    <w:p>
      <w:pPr>
        <w:pStyle w:val="Normal"/>
        <w:spacing w:lineRule="atLeast" w:line="240"/>
        <w:jc w:val="both"/>
        <w:rPr>
          <w:color w:val="000000"/>
          <w:szCs w:val="20"/>
        </w:rPr>
      </w:pPr>
      <w:r>
        <w:rPr>
          <w:color w:val="000000"/>
          <w:szCs w:val="20"/>
        </w:rPr>
        <w:t xml:space="preserve">Continued to monitor East Leg flows/pressures during the Hubbard Emergency Outage.  </w:t>
      </w:r>
    </w:p>
    <w:p>
      <w:pPr>
        <w:pStyle w:val="Normal"/>
        <w:spacing w:lineRule="atLeast" w:line="240"/>
        <w:jc w:val="both"/>
        <w:rPr>
          <w:color w:val="000000"/>
          <w:szCs w:val="20"/>
        </w:rPr>
      </w:pPr>
      <w:r>
        <w:rPr>
          <w:color w:val="000000"/>
          <w:szCs w:val="20"/>
        </w:rPr>
      </w:r>
    </w:p>
    <w:p>
      <w:pPr>
        <w:pStyle w:val="Normal"/>
        <w:spacing w:lineRule="atLeast" w:line="240"/>
        <w:jc w:val="both"/>
        <w:rPr>
          <w:color w:val="000000"/>
          <w:szCs w:val="20"/>
        </w:rPr>
      </w:pPr>
      <w:r>
        <w:rPr>
          <w:color w:val="000000"/>
          <w:szCs w:val="20"/>
        </w:rPr>
        <w:t>Also, analyzed depressurization times for Richland Center B/L for the Master Meter installation Project.</w:t>
      </w:r>
    </w:p>
    <w:p>
      <w:pPr>
        <w:pStyle w:val="Normal"/>
        <w:spacing w:lineRule="atLeast" w:line="240"/>
        <w:jc w:val="both"/>
        <w:rPr>
          <w:color w:val="000000"/>
          <w:szCs w:val="20"/>
        </w:rPr>
      </w:pPr>
      <w:r>
        <w:rPr>
          <w:color w:val="000000"/>
          <w:szCs w:val="20"/>
        </w:rPr>
      </w:r>
    </w:p>
    <w:p>
      <w:pPr>
        <w:pStyle w:val="Normal"/>
        <w:spacing w:lineRule="atLeast" w:line="240"/>
        <w:jc w:val="both"/>
        <w:rPr>
          <w:b/>
          <w:bCs/>
          <w:color w:val="000000"/>
          <w:szCs w:val="20"/>
        </w:rPr>
      </w:pPr>
      <w:r>
        <w:rPr>
          <w:b/>
          <w:bCs/>
          <w:color w:val="000000"/>
          <w:szCs w:val="20"/>
        </w:rPr>
        <w:t>Ogden Horizontal Abandonment</w:t>
      </w:r>
    </w:p>
    <w:p>
      <w:pPr>
        <w:pStyle w:val="Normal"/>
        <w:spacing w:lineRule="atLeast" w:line="240"/>
        <w:jc w:val="both"/>
        <w:rPr>
          <w:color w:val="000000"/>
          <w:szCs w:val="20"/>
        </w:rPr>
      </w:pPr>
      <w:r>
        <w:rPr>
          <w:color w:val="000000"/>
          <w:szCs w:val="20"/>
        </w:rPr>
        <w:t>Began drafting a "Summary of Issues" letter concerning the abandonment of the Horizontals at Ogden.  Trying to get down on paper all of the varying concerns and options there are revolving around the abandonment or replacement of horizontals at Ogden.</w:t>
      </w:r>
    </w:p>
    <w:p>
      <w:pPr>
        <w:pStyle w:val="Normal"/>
        <w:spacing w:lineRule="atLeast" w:line="240"/>
        <w:jc w:val="both"/>
        <w:rPr>
          <w:color w:val="000000"/>
          <w:szCs w:val="20"/>
        </w:rPr>
      </w:pPr>
      <w:r>
        <w:rPr>
          <w:color w:val="000000"/>
          <w:szCs w:val="20"/>
        </w:rPr>
      </w:r>
    </w:p>
    <w:p>
      <w:pPr>
        <w:pStyle w:val="Normal"/>
        <w:spacing w:lineRule="atLeast" w:line="240"/>
        <w:jc w:val="both"/>
        <w:rPr>
          <w:b/>
          <w:bCs/>
          <w:color w:val="000000"/>
          <w:szCs w:val="20"/>
        </w:rPr>
      </w:pPr>
      <w:r>
        <w:rPr>
          <w:b/>
          <w:bCs/>
          <w:color w:val="000000"/>
          <w:szCs w:val="20"/>
        </w:rPr>
        <w:t>**Alliance Pipeline interconnects</w:t>
      </w:r>
    </w:p>
    <w:p>
      <w:pPr>
        <w:pStyle w:val="Normal"/>
        <w:spacing w:lineRule="atLeast" w:line="240"/>
        <w:jc w:val="both"/>
        <w:rPr>
          <w:color w:val="000000"/>
          <w:szCs w:val="20"/>
        </w:rPr>
      </w:pPr>
      <w:r>
        <w:rPr>
          <w:color w:val="000000"/>
          <w:szCs w:val="20"/>
        </w:rPr>
        <w:t>Reviewed engineering study pertaining to Alliance PL interconnects. Will attend a meeting Thursday 6/7 to present and review study with Marketing.</w:t>
      </w:r>
    </w:p>
    <w:p>
      <w:pPr>
        <w:pStyle w:val="Normal"/>
        <w:spacing w:lineRule="atLeast" w:line="240"/>
        <w:jc w:val="both"/>
        <w:rPr>
          <w:color w:val="000000"/>
          <w:szCs w:val="20"/>
        </w:rPr>
      </w:pPr>
      <w:r>
        <w:rPr>
          <w:color w:val="000000"/>
          <w:szCs w:val="20"/>
        </w:rPr>
      </w:r>
    </w:p>
    <w:p>
      <w:pPr>
        <w:pStyle w:val="Normal"/>
        <w:jc w:val="both"/>
        <w:rPr>
          <w:b/>
          <w:bCs/>
          <w:szCs w:val="20"/>
        </w:rPr>
      </w:pPr>
      <w:r>
        <w:rPr>
          <w:b/>
          <w:bCs/>
          <w:szCs w:val="20"/>
        </w:rPr>
        <w:t xml:space="preserve">Branch line Index </w:t>
      </w:r>
    </w:p>
    <w:p>
      <w:pPr>
        <w:pStyle w:val="Normal"/>
        <w:jc w:val="both"/>
        <w:rPr>
          <w:szCs w:val="20"/>
        </w:rPr>
      </w:pPr>
      <w:r>
        <w:rPr>
          <w:szCs w:val="20"/>
        </w:rPr>
        <w:t>Continued progress on the Branch line Index.</w:t>
      </w:r>
    </w:p>
    <w:p>
      <w:pPr>
        <w:pStyle w:val="Normal"/>
        <w:jc w:val="both"/>
        <w:rPr>
          <w:szCs w:val="20"/>
        </w:rPr>
      </w:pPr>
      <w:r>
        <w:rPr>
          <w:szCs w:val="20"/>
        </w:rPr>
      </w:r>
    </w:p>
    <w:p>
      <w:pPr>
        <w:pStyle w:val="Normal"/>
        <w:autoSpaceDE w:val="false"/>
        <w:spacing w:lineRule="atLeast" w:line="240"/>
        <w:ind w:start="360" w:end="0"/>
        <w:jc w:val="both"/>
        <w:rPr>
          <w:b/>
          <w:bCs/>
          <w:i/>
          <w:i/>
          <w:iCs/>
          <w:color w:val="000000"/>
          <w:sz w:val="20"/>
          <w:szCs w:val="20"/>
        </w:rPr>
      </w:pPr>
      <w:r>
        <w:rPr>
          <w:b/>
          <w:bCs/>
          <w:i/>
          <w:iCs/>
          <w:color w:val="000000"/>
          <w:sz w:val="20"/>
          <w:szCs w:val="20"/>
        </w:rPr>
      </w:r>
    </w:p>
    <w:p>
      <w:pPr>
        <w:pStyle w:val="Heading9"/>
        <w:ind w:hanging="0" w:start="0"/>
        <w:rPr>
          <w:color w:val="0000FF"/>
        </w:rPr>
      </w:pPr>
      <w:r>
        <w:rPr>
          <w:color w:val="0000FF"/>
        </w:rPr>
        <w:t>South Operations</w:t>
      </w:r>
    </w:p>
    <w:p>
      <w:pPr>
        <w:pStyle w:val="Normal"/>
        <w:autoSpaceDE w:val="false"/>
        <w:spacing w:lineRule="atLeast" w:line="240"/>
        <w:rPr>
          <w:b/>
          <w:bCs/>
          <w:color w:val="000000"/>
          <w:szCs w:val="20"/>
        </w:rPr>
      </w:pPr>
      <w:r>
        <w:rPr>
          <w:b/>
          <w:bCs/>
          <w:color w:val="000000"/>
          <w:szCs w:val="20"/>
        </w:rPr>
        <w:t>NNG Offshore</w:t>
      </w:r>
    </w:p>
    <w:p>
      <w:pPr>
        <w:pStyle w:val="Normal"/>
        <w:autoSpaceDE w:val="false"/>
        <w:spacing w:lineRule="atLeast" w:line="240"/>
        <w:rPr>
          <w:color w:val="000000"/>
          <w:szCs w:val="20"/>
        </w:rPr>
      </w:pPr>
      <w:r>
        <w:rPr>
          <w:color w:val="000000"/>
          <w:szCs w:val="20"/>
        </w:rPr>
        <w:t>The Tivoli Team has informed FP that Oceaneering has completed the repair work on the MOPS block valve in Matagorda Island 665.  The Tropical storm has postponed the dive team from traveling to Matagorda Island 686 platform, to verify the subsea side valve dimensions.  The intent was to provide us with current measurements so we could design the jumper line, to isolate the compression platform.  The weather and budget problems have idled this effort.</w:t>
      </w:r>
    </w:p>
    <w:p>
      <w:pPr>
        <w:pStyle w:val="Normal"/>
        <w:autoSpaceDE w:val="false"/>
        <w:spacing w:lineRule="atLeast" w:line="240"/>
        <w:ind w:start="360" w:end="0"/>
        <w:jc w:val="both"/>
        <w:rPr>
          <w:color w:val="000000"/>
          <w:szCs w:val="20"/>
        </w:rPr>
      </w:pPr>
      <w:r>
        <w:rPr>
          <w:color w:val="000000"/>
          <w:szCs w:val="20"/>
        </w:rPr>
      </w:r>
    </w:p>
    <w:p>
      <w:pPr>
        <w:pStyle w:val="Normal"/>
        <w:autoSpaceDE w:val="false"/>
        <w:spacing w:lineRule="atLeast" w:line="240"/>
        <w:jc w:val="both"/>
        <w:rPr>
          <w:b/>
          <w:bCs/>
          <w:color w:val="000000"/>
          <w:szCs w:val="20"/>
        </w:rPr>
      </w:pPr>
      <w:r>
        <w:rPr>
          <w:b/>
          <w:bCs/>
          <w:color w:val="000000"/>
          <w:szCs w:val="20"/>
        </w:rPr>
        <w:t>Morton Co. #1 Compressor Station</w:t>
      </w:r>
    </w:p>
    <w:p>
      <w:pPr>
        <w:pStyle w:val="Normal"/>
        <w:autoSpaceDE w:val="false"/>
        <w:spacing w:lineRule="atLeast" w:line="240"/>
        <w:jc w:val="both"/>
        <w:rPr>
          <w:color w:val="000000"/>
          <w:szCs w:val="20"/>
        </w:rPr>
      </w:pPr>
      <w:r>
        <w:rPr>
          <w:color w:val="000000"/>
          <w:szCs w:val="20"/>
        </w:rPr>
        <w:t>Evaluated flow and compression studies to consider isolating loop and field service to allow Oxy to operate at zero pressure on field side.  Existing compression horsepower does not allow this configuration and still maintain contracted volumes at the Morton Co. #1 POI.</w:t>
      </w:r>
    </w:p>
    <w:p>
      <w:pPr>
        <w:pStyle w:val="Normal"/>
        <w:rPr>
          <w:color w:val="000000"/>
          <w:szCs w:val="20"/>
        </w:rPr>
      </w:pPr>
      <w:r>
        <w:rPr>
          <w:color w:val="000000"/>
          <w:szCs w:val="20"/>
        </w:rPr>
      </w:r>
    </w:p>
    <w:p>
      <w:pPr>
        <w:pStyle w:val="Normal"/>
        <w:autoSpaceDE w:val="false"/>
        <w:spacing w:lineRule="atLeast" w:line="240"/>
        <w:ind w:start="360" w:end="0"/>
        <w:jc w:val="both"/>
        <w:rPr>
          <w:b/>
          <w:bCs/>
          <w:i/>
          <w:i/>
          <w:iCs/>
          <w:color w:val="000000"/>
          <w:sz w:val="20"/>
          <w:szCs w:val="20"/>
        </w:rPr>
      </w:pPr>
      <w:r>
        <w:rPr>
          <w:b/>
          <w:bCs/>
          <w:i/>
          <w:iCs/>
          <w:color w:val="000000"/>
          <w:sz w:val="20"/>
          <w:szCs w:val="20"/>
        </w:rPr>
      </w:r>
    </w:p>
    <w:p>
      <w:pPr>
        <w:pStyle w:val="Normal"/>
        <w:rPr>
          <w:b/>
          <w:bCs/>
          <w:i/>
          <w:i/>
          <w:iCs/>
          <w:color w:val="000000"/>
          <w:sz w:val="20"/>
          <w:szCs w:val="20"/>
        </w:rPr>
      </w:pPr>
      <w:r>
        <w:rPr>
          <w:b/>
          <w:bCs/>
          <w:i/>
          <w:iCs/>
          <w:color w:val="000000"/>
          <w:sz w:val="20"/>
          <w:szCs w:val="20"/>
        </w:rPr>
      </w:r>
    </w:p>
    <w:p>
      <w:pPr>
        <w:pStyle w:val="Normal"/>
        <w:keepNext w:val="true"/>
        <w:autoSpaceDE w:val="false"/>
        <w:spacing w:lineRule="atLeast" w:line="240"/>
        <w:jc w:val="both"/>
        <w:rPr>
          <w:color w:val="0000FF"/>
          <w:sz w:val="32"/>
          <w:szCs w:val="32"/>
          <w:u w:val="single"/>
        </w:rPr>
      </w:pPr>
      <w:r>
        <w:rPr>
          <w:color w:val="0000FF"/>
          <w:sz w:val="32"/>
          <w:szCs w:val="32"/>
          <w:u w:val="single"/>
        </w:rPr>
        <w:t>Transwestern Pipeline</w:t>
      </w:r>
    </w:p>
    <w:p>
      <w:pPr>
        <w:pStyle w:val="Normal"/>
        <w:tabs>
          <w:tab w:val="clear" w:pos="720"/>
          <w:tab w:val="left" w:pos="4140" w:leader="none"/>
        </w:tabs>
        <w:autoSpaceDE w:val="false"/>
        <w:spacing w:lineRule="atLeast" w:line="240"/>
        <w:rPr>
          <w:b/>
          <w:bCs/>
          <w:color w:val="000000"/>
          <w:sz w:val="32"/>
          <w:szCs w:val="20"/>
          <w:u w:val="single"/>
        </w:rPr>
      </w:pPr>
      <w:r>
        <w:rPr>
          <w:b/>
          <w:bCs/>
          <w:color w:val="000000"/>
          <w:sz w:val="32"/>
          <w:szCs w:val="20"/>
          <w:u w:val="single"/>
        </w:rPr>
      </w:r>
    </w:p>
    <w:p>
      <w:pPr>
        <w:pStyle w:val="Normal"/>
        <w:tabs>
          <w:tab w:val="clear" w:pos="720"/>
          <w:tab w:val="left" w:pos="4140" w:leader="none"/>
        </w:tabs>
        <w:autoSpaceDE w:val="false"/>
        <w:spacing w:lineRule="atLeast" w:line="240"/>
        <w:rPr>
          <w:b/>
          <w:bCs/>
          <w:color w:val="000000"/>
          <w:szCs w:val="20"/>
        </w:rPr>
      </w:pPr>
      <w:r>
        <w:rPr>
          <w:b/>
          <w:bCs/>
          <w:color w:val="000000"/>
          <w:szCs w:val="20"/>
        </w:rPr>
        <w:t xml:space="preserve">TW/ Oneok at existing interconnect in Ward County, Texas update </w:t>
      </w:r>
    </w:p>
    <w:p>
      <w:pPr>
        <w:pStyle w:val="Normal"/>
        <w:tabs>
          <w:tab w:val="clear" w:pos="720"/>
          <w:tab w:val="left" w:pos="4140" w:leader="none"/>
        </w:tabs>
        <w:autoSpaceDE w:val="false"/>
        <w:spacing w:lineRule="atLeast" w:line="240"/>
        <w:rPr>
          <w:color w:val="000000"/>
          <w:szCs w:val="20"/>
        </w:rPr>
      </w:pPr>
      <w:r>
        <w:rPr>
          <w:color w:val="000000"/>
          <w:szCs w:val="20"/>
        </w:rPr>
        <w:t>Requested of Engineering an update on this project so we in Planning can determine the capacity of the interconnect as this point will become bi-directional.</w:t>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t>TW/ Conoco potential interconnects</w:t>
      </w:r>
    </w:p>
    <w:p>
      <w:pPr>
        <w:pStyle w:val="Normal"/>
        <w:tabs>
          <w:tab w:val="clear" w:pos="720"/>
          <w:tab w:val="left" w:pos="4140" w:leader="none"/>
        </w:tabs>
        <w:autoSpaceDE w:val="false"/>
        <w:spacing w:lineRule="atLeast" w:line="240"/>
        <w:rPr>
          <w:color w:val="000000"/>
          <w:szCs w:val="20"/>
        </w:rPr>
      </w:pPr>
      <w:r>
        <w:rPr>
          <w:color w:val="000000"/>
          <w:szCs w:val="20"/>
        </w:rPr>
        <w:t xml:space="preserve">Received a request from Marketing to further evaluate the project and also to be prepared for a conference call with the customer next Wednesday. </w:t>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t>NGPL Eddy I/C</w:t>
      </w:r>
    </w:p>
    <w:p>
      <w:pPr>
        <w:pStyle w:val="Normal"/>
        <w:tabs>
          <w:tab w:val="clear" w:pos="720"/>
          <w:tab w:val="left" w:pos="4140" w:leader="none"/>
        </w:tabs>
        <w:autoSpaceDE w:val="false"/>
        <w:spacing w:lineRule="atLeast" w:line="240"/>
        <w:rPr>
          <w:color w:val="000000"/>
          <w:szCs w:val="20"/>
        </w:rPr>
      </w:pPr>
      <w:r>
        <w:rPr>
          <w:color w:val="000000"/>
          <w:szCs w:val="20"/>
        </w:rPr>
        <w:t>Communicated with the operations staff responsible for the NGPL delivery point.  A tentative plan was discussed and a scope of work to convert this interconnect into a receipt point sized for 60 mmcfd should be completed in a few weeks.  Facility Planning is awaiting drawings from NGPL, so we can develop the action plans for a December 2001, completion date.</w:t>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t xml:space="preserve">TW/Duke Receipt </w:t>
      </w:r>
    </w:p>
    <w:p>
      <w:pPr>
        <w:pStyle w:val="Normal"/>
        <w:tabs>
          <w:tab w:val="clear" w:pos="720"/>
          <w:tab w:val="left" w:pos="4140" w:leader="none"/>
        </w:tabs>
        <w:autoSpaceDE w:val="false"/>
        <w:spacing w:lineRule="atLeast" w:line="240"/>
        <w:rPr>
          <w:color w:val="000000"/>
          <w:szCs w:val="20"/>
        </w:rPr>
      </w:pPr>
      <w:r>
        <w:rPr>
          <w:color w:val="000000"/>
          <w:szCs w:val="20"/>
        </w:rPr>
        <w:t xml:space="preserve">A GSCR was completed and routed for the new Duke interconnect located in the WT-1 yard.  Duke has installed a meter on the old Crawford 8" pipeline terminus into the suction side of the WT-1 compressor station.  The design conditions are to install an 8" orifice meter to handle up to 60 mmcfd at 650 psia. </w:t>
      </w:r>
    </w:p>
    <w:p>
      <w:pPr>
        <w:pStyle w:val="Normal"/>
        <w:tabs>
          <w:tab w:val="clear" w:pos="720"/>
          <w:tab w:val="left" w:pos="4140" w:leader="none"/>
        </w:tabs>
        <w:autoSpaceDE w:val="false"/>
        <w:spacing w:lineRule="atLeast" w:line="240"/>
        <w:rPr>
          <w:b/>
          <w:bCs/>
          <w:color w:val="000000"/>
          <w:szCs w:val="20"/>
        </w:rPr>
      </w:pPr>
      <w:r>
        <w:rPr>
          <w:b/>
          <w:bCs/>
          <w:color w:val="00000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t>**TW Red Rock Expansions</w:t>
      </w:r>
    </w:p>
    <w:p>
      <w:pPr>
        <w:pStyle w:val="Normal"/>
        <w:tabs>
          <w:tab w:val="clear" w:pos="720"/>
          <w:tab w:val="left" w:pos="4140" w:leader="none"/>
        </w:tabs>
        <w:autoSpaceDE w:val="false"/>
        <w:spacing w:lineRule="atLeast" w:line="240"/>
        <w:rPr>
          <w:color w:val="000000"/>
          <w:szCs w:val="20"/>
        </w:rPr>
      </w:pPr>
      <w:r>
        <w:rPr>
          <w:color w:val="000000"/>
          <w:szCs w:val="20"/>
        </w:rPr>
        <w:t>Provided alternate scenarios to Management and Marketing for reduced flow Red Rock Expansions of 70 MMcfd and 120 MMcfd.</w:t>
      </w:r>
    </w:p>
    <w:p>
      <w:pPr>
        <w:pStyle w:val="Normal"/>
        <w:tabs>
          <w:tab w:val="clear" w:pos="720"/>
          <w:tab w:val="left" w:pos="4140" w:leader="none"/>
        </w:tabs>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jc w:val="both"/>
        <w:rPr>
          <w:color w:val="000000"/>
          <w:sz w:val="20"/>
          <w:szCs w:val="20"/>
        </w:rPr>
      </w:pPr>
      <w:r>
        <w:rPr>
          <w:color w:val="000000"/>
          <w:sz w:val="20"/>
          <w:szCs w:val="20"/>
        </w:rPr>
      </w:r>
    </w:p>
    <w:p>
      <w:pPr>
        <w:pStyle w:val="Normal"/>
        <w:keepNext w:val="true"/>
        <w:autoSpaceDE w:val="false"/>
        <w:spacing w:lineRule="atLeast" w:line="240"/>
        <w:jc w:val="both"/>
        <w:rPr>
          <w:color w:val="0000FF"/>
          <w:sz w:val="28"/>
          <w:szCs w:val="32"/>
          <w:u w:val="single"/>
        </w:rPr>
      </w:pPr>
      <w:r>
        <w:rPr>
          <w:color w:val="0000FF"/>
          <w:sz w:val="28"/>
          <w:szCs w:val="32"/>
          <w:u w:val="single"/>
        </w:rPr>
        <w:t>Other</w:t>
      </w:r>
    </w:p>
    <w:p>
      <w:pPr>
        <w:pStyle w:val="Normal"/>
        <w:tabs>
          <w:tab w:val="clear" w:pos="720"/>
          <w:tab w:val="left" w:pos="4140" w:leader="none"/>
        </w:tabs>
        <w:autoSpaceDE w:val="false"/>
        <w:spacing w:lineRule="atLeast" w:line="240"/>
        <w:rPr>
          <w:b/>
          <w:bCs/>
          <w:color w:val="000000"/>
          <w:sz w:val="28"/>
          <w:szCs w:val="20"/>
          <w:u w:val="single"/>
        </w:rPr>
      </w:pPr>
      <w:r>
        <w:rPr>
          <w:b/>
          <w:bCs/>
          <w:color w:val="000000"/>
          <w:sz w:val="28"/>
          <w:szCs w:val="20"/>
          <w:u w:val="single"/>
        </w:rPr>
      </w:r>
    </w:p>
    <w:p>
      <w:pPr>
        <w:pStyle w:val="Normal"/>
        <w:tabs>
          <w:tab w:val="clear" w:pos="720"/>
          <w:tab w:val="left" w:pos="4140" w:leader="none"/>
        </w:tabs>
        <w:autoSpaceDE w:val="false"/>
        <w:spacing w:lineRule="atLeast" w:line="240"/>
        <w:rPr>
          <w:b/>
          <w:bCs/>
          <w:color w:val="000000"/>
          <w:szCs w:val="20"/>
        </w:rPr>
      </w:pPr>
      <w:r>
        <w:rPr>
          <w:b/>
          <w:bCs/>
          <w:color w:val="000000"/>
          <w:szCs w:val="20"/>
        </w:rPr>
        <w:t>Calypso pipeline</w:t>
      </w:r>
    </w:p>
    <w:p>
      <w:pPr>
        <w:pStyle w:val="BodyText"/>
        <w:rPr/>
      </w:pPr>
      <w:r>
        <w:rPr/>
        <w:t>Met with EE&amp;O, Gulf Interstate Engineering and R.J.Brown Engineering.  Updated the Calypso Flow Model based on the recent survey analysis obtained from the meeting.  To date, it appears that the Exhibit "G" Filing should be based on a 36 miles of 24" (offshore) and 6 miles of 24" onshore pipeline. The remaining is not in jurisdictional zone. Total length of this pipeline is 97.3 miles. The most updated open season capacity is now 832 mmcf/d.  There would a presentation to management and FGT’s Regulatory Affairs sometime next week.</w:t>
      </w:r>
    </w:p>
    <w:p>
      <w:pPr>
        <w:pStyle w:val="Normal"/>
        <w:tabs>
          <w:tab w:val="clear" w:pos="720"/>
          <w:tab w:val="left" w:pos="4140" w:leader="none"/>
        </w:tabs>
        <w:autoSpaceDE w:val="false"/>
        <w:spacing w:lineRule="atLeast" w:line="240"/>
        <w:rPr>
          <w:b/>
          <w:bCs/>
          <w:color w:val="000000"/>
          <w:sz w:val="20"/>
          <w:szCs w:val="20"/>
        </w:rPr>
      </w:pPr>
      <w:r>
        <w:rPr>
          <w:b/>
          <w:bCs/>
          <w:color w:val="000000"/>
          <w:sz w:val="20"/>
          <w:szCs w:val="20"/>
        </w:rPr>
      </w:r>
    </w:p>
    <w:p>
      <w:pPr>
        <w:pStyle w:val="Normal"/>
        <w:tabs>
          <w:tab w:val="clear" w:pos="720"/>
          <w:tab w:val="left" w:pos="4140" w:leader="none"/>
        </w:tabs>
        <w:autoSpaceDE w:val="false"/>
        <w:spacing w:lineRule="atLeast" w:line="240"/>
        <w:rPr>
          <w:b/>
          <w:bCs/>
          <w:color w:val="000000"/>
          <w:szCs w:val="20"/>
        </w:rPr>
      </w:pPr>
      <w:r>
        <w:rPr>
          <w:b/>
          <w:bCs/>
          <w:color w:val="000000"/>
          <w:szCs w:val="20"/>
        </w:rPr>
        <w:t>Team Peer Reviews</w:t>
      </w:r>
    </w:p>
    <w:p>
      <w:pPr>
        <w:pStyle w:val="BodyText"/>
        <w:rPr/>
      </w:pPr>
      <w:r>
        <w:rPr/>
        <w:t xml:space="preserve">The Omaha and Houston Planning Teams conducted its interim peer review this week.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cs="Arial"/>
      <w:b/>
      <w:bCs/>
      <w:color w:val="0000FF"/>
      <w:sz w:val="32"/>
      <w:szCs w:val="28"/>
    </w:rPr>
  </w:style>
  <w:style w:type="paragraph" w:styleId="Heading2">
    <w:name w:val="heading 2"/>
    <w:basedOn w:val="Normal"/>
    <w:next w:val="Normal"/>
    <w:qFormat/>
    <w:pPr>
      <w:numPr>
        <w:ilvl w:val="1"/>
        <w:numId w:val="1"/>
      </w:numPr>
      <w:autoSpaceDE w:val="false"/>
      <w:outlineLvl w:val="1"/>
    </w:pPr>
    <w:rPr>
      <w:rFonts w:ascii="Arial" w:hAnsi="Arial" w:cs="Arial"/>
      <w:sz w:val="20"/>
    </w:rPr>
  </w:style>
  <w:style w:type="paragraph" w:styleId="Heading3">
    <w:name w:val="heading 3"/>
    <w:basedOn w:val="Normal"/>
    <w:next w:val="Normal"/>
    <w:qFormat/>
    <w:pPr>
      <w:keepNext w:val="true"/>
      <w:numPr>
        <w:ilvl w:val="2"/>
        <w:numId w:val="1"/>
      </w:numPr>
      <w:outlineLvl w:val="2"/>
    </w:pPr>
    <w:rPr>
      <w:rFonts w:cs="Arial"/>
      <w:b/>
      <w:bCs/>
      <w:sz w:val="28"/>
      <w:szCs w:val="28"/>
      <w:u w:val="single"/>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jc w:val="both"/>
      <w:outlineLvl w:val="4"/>
    </w:pPr>
    <w:rPr>
      <w:b/>
      <w:bCs/>
      <w:sz w:val="32"/>
      <w:szCs w:val="20"/>
    </w:rPr>
  </w:style>
  <w:style w:type="paragraph" w:styleId="Heading6">
    <w:name w:val="heading 6"/>
    <w:basedOn w:val="Normal"/>
    <w:next w:val="Normal"/>
    <w:qFormat/>
    <w:pPr>
      <w:numPr>
        <w:ilvl w:val="5"/>
        <w:numId w:val="1"/>
      </w:numPr>
      <w:autoSpaceDE w:val="false"/>
      <w:outlineLvl w:val="5"/>
    </w:pPr>
    <w:rPr>
      <w:rFonts w:ascii="Arial" w:hAnsi="Arial" w:cs="Arial"/>
      <w:sz w:val="20"/>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paragraph" w:styleId="Heading8">
    <w:name w:val="heading 8"/>
    <w:basedOn w:val="Normal"/>
    <w:next w:val="Normal"/>
    <w:qFormat/>
    <w:pPr>
      <w:keepNext w:val="true"/>
      <w:numPr>
        <w:ilvl w:val="7"/>
        <w:numId w:val="1"/>
      </w:numPr>
      <w:jc w:val="both"/>
      <w:outlineLvl w:val="7"/>
    </w:pPr>
    <w:rPr>
      <w:b/>
      <w:bCs/>
      <w:sz w:val="28"/>
      <w:szCs w:val="20"/>
    </w:rPr>
  </w:style>
  <w:style w:type="paragraph" w:styleId="Heading9">
    <w:name w:val="heading 9"/>
    <w:basedOn w:val="Normal"/>
    <w:next w:val="Normal"/>
    <w:qFormat/>
    <w:pPr>
      <w:keepNext w:val="true"/>
      <w:numPr>
        <w:ilvl w:val="8"/>
        <w:numId w:val="1"/>
      </w:numPr>
      <w:autoSpaceDE w:val="false"/>
      <w:spacing w:lineRule="atLeast" w:line="240"/>
      <w:jc w:val="both"/>
      <w:outlineLvl w:val="8"/>
    </w:pPr>
    <w:rPr>
      <w:b/>
      <w:bCs/>
      <w:color w:val="000000"/>
      <w:sz w:val="2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40" w:leader="none"/>
      </w:tabs>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2001-06-08T09:25:00Z</dcterms:created>
  <dc:creator>mgottsp</dc:creator>
  <dc:description/>
  <dc:language>en-CA</dc:language>
  <cp:lastModifiedBy>mgottsp</cp:lastModifiedBy>
  <dcterms:modified xsi:type="dcterms:W3CDTF">2001-06-08T09:25:00Z</dcterms:modified>
  <cp:revision>2</cp:revision>
  <dc:subject/>
  <dc:title>Planning Weekly Report</dc:title>
</cp:coreProperties>
</file>