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color w:val="0000FF"/>
          <w:sz w:val="32"/>
        </w:rPr>
      </w:pPr>
      <w:r>
        <w:rPr>
          <w:b/>
          <w:bCs/>
          <w:color w:val="0000FF"/>
          <w:sz w:val="32"/>
        </w:rPr>
        <w:t>ETS Planning</w:t>
      </w:r>
    </w:p>
    <w:p>
      <w:pPr>
        <w:pStyle w:val="Heading1"/>
        <w:ind w:hanging="0" w:start="0"/>
        <w:rPr>
          <w:b/>
          <w:bCs/>
          <w:color w:val="0000FF"/>
        </w:rPr>
      </w:pPr>
      <w:r>
        <w:rPr>
          <w:b/>
          <w:bCs/>
          <w:color w:val="0000FF"/>
        </w:rPr>
        <w:t>Weekly Report</w:t>
      </w:r>
    </w:p>
    <w:p>
      <w:pPr>
        <w:pStyle w:val="Heading1"/>
        <w:ind w:hanging="0" w:start="0"/>
        <w:rPr>
          <w:b/>
          <w:bCs/>
          <w:color w:val="0000FF"/>
        </w:rPr>
      </w:pPr>
      <w:r>
        <w:rPr>
          <w:b/>
          <w:bCs/>
          <w:color w:val="0000FF"/>
        </w:rPr>
        <w:t>Week Ending 06/22/01</w:t>
      </w:r>
    </w:p>
    <w:p>
      <w:pPr>
        <w:pStyle w:val="Normal"/>
        <w:rPr>
          <w:b/>
          <w:bCs/>
          <w:color w:val="0000FF"/>
        </w:rPr>
      </w:pPr>
      <w:r>
        <w:rPr>
          <w:b/>
          <w:bCs/>
          <w:color w:val="0000FF"/>
        </w:rPr>
      </w:r>
    </w:p>
    <w:p>
      <w:pPr>
        <w:pStyle w:val="Normal"/>
        <w:rPr/>
      </w:pPr>
      <w:r>
        <w:rPr/>
      </w:r>
    </w:p>
    <w:p>
      <w:pPr>
        <w:pStyle w:val="Heading3"/>
        <w:ind w:hanging="0" w:start="0"/>
        <w:rPr/>
      </w:pPr>
      <w:r>
        <w:rPr/>
        <w:t>Transwestern Pipeline Company</w:t>
      </w:r>
    </w:p>
    <w:p>
      <w:pPr>
        <w:pStyle w:val="Normal"/>
        <w:autoSpaceDE w:val="false"/>
        <w:rPr>
          <w:color w:val="000000"/>
          <w:szCs w:val="20"/>
        </w:rPr>
      </w:pPr>
      <w:r>
        <w:rPr>
          <w:color w:val="000000"/>
          <w:szCs w:val="20"/>
        </w:rPr>
      </w:r>
    </w:p>
    <w:p>
      <w:pPr>
        <w:pStyle w:val="Normal"/>
        <w:autoSpaceDE w:val="false"/>
        <w:rPr>
          <w:b/>
          <w:bCs/>
          <w:color w:val="000000"/>
          <w:szCs w:val="20"/>
        </w:rPr>
      </w:pPr>
      <w:r>
        <w:rPr>
          <w:b/>
          <w:bCs/>
          <w:color w:val="000000"/>
          <w:szCs w:val="20"/>
        </w:rPr>
        <w:t>EES Gallup PowerGen Project</w:t>
      </w:r>
    </w:p>
    <w:p>
      <w:pPr>
        <w:pStyle w:val="Normal"/>
        <w:autoSpaceDE w:val="false"/>
        <w:rPr>
          <w:color w:val="000000"/>
          <w:szCs w:val="20"/>
        </w:rPr>
      </w:pPr>
      <w:r>
        <w:rPr>
          <w:color w:val="000000"/>
          <w:szCs w:val="20"/>
        </w:rPr>
        <w:t>Meeting with Engineering to discuss the timing and what type of facilities EES is looking at installing.  Facilities will be somewhat portable for easy installation and removal.  This cost estimate will follow the completion of the Elm Ridge estimate.</w:t>
      </w:r>
    </w:p>
    <w:p>
      <w:pPr>
        <w:pStyle w:val="Normal"/>
        <w:autoSpaceDE w:val="false"/>
        <w:rPr>
          <w:color w:val="000000"/>
          <w:szCs w:val="20"/>
        </w:rPr>
      </w:pPr>
      <w:r>
        <w:rPr>
          <w:color w:val="000000"/>
          <w:szCs w:val="20"/>
        </w:rPr>
      </w:r>
    </w:p>
    <w:p>
      <w:pPr>
        <w:pStyle w:val="Normal"/>
        <w:autoSpaceDE w:val="false"/>
        <w:rPr>
          <w:b/>
          <w:bCs/>
          <w:color w:val="000000"/>
          <w:szCs w:val="20"/>
        </w:rPr>
      </w:pPr>
      <w:r>
        <w:rPr>
          <w:b/>
          <w:bCs/>
          <w:color w:val="000000"/>
          <w:szCs w:val="20"/>
        </w:rPr>
        <w:t>**Caithness - Big Sandy Project</w:t>
      </w:r>
    </w:p>
    <w:p>
      <w:pPr>
        <w:pStyle w:val="Normal"/>
        <w:autoSpaceDE w:val="false"/>
        <w:rPr>
          <w:color w:val="000000"/>
          <w:szCs w:val="20"/>
        </w:rPr>
      </w:pPr>
      <w:r>
        <w:rPr>
          <w:color w:val="000000"/>
          <w:szCs w:val="20"/>
        </w:rPr>
        <w:t xml:space="preserve">Met with Marketing, IGI Resources, Universal Ensco, and Caithness to discuss technical issues.  Planning will supply pressure parameters along with an updated gas composition.  </w:t>
      </w:r>
    </w:p>
    <w:p>
      <w:pPr>
        <w:pStyle w:val="Normal"/>
        <w:autoSpaceDE w:val="false"/>
        <w:rPr>
          <w:color w:val="000000"/>
          <w:szCs w:val="20"/>
        </w:rPr>
      </w:pPr>
      <w:r>
        <w:rPr>
          <w:color w:val="000000"/>
          <w:szCs w:val="20"/>
        </w:rPr>
      </w:r>
    </w:p>
    <w:p>
      <w:pPr>
        <w:pStyle w:val="Normal"/>
        <w:autoSpaceDE w:val="false"/>
        <w:rPr>
          <w:b/>
          <w:bCs/>
          <w:color w:val="000000"/>
          <w:szCs w:val="20"/>
        </w:rPr>
      </w:pPr>
      <w:r>
        <w:rPr>
          <w:b/>
          <w:bCs/>
          <w:color w:val="000000"/>
          <w:szCs w:val="20"/>
        </w:rPr>
        <w:t>**Panhandle Lateral - Liquids Issues</w:t>
      </w:r>
    </w:p>
    <w:p>
      <w:pPr>
        <w:pStyle w:val="Normal"/>
        <w:autoSpaceDE w:val="false"/>
        <w:rPr>
          <w:color w:val="000000"/>
          <w:szCs w:val="20"/>
        </w:rPr>
      </w:pPr>
      <w:r>
        <w:rPr>
          <w:color w:val="000000"/>
          <w:szCs w:val="20"/>
        </w:rPr>
        <w:t xml:space="preserve">Conference call held on Tuesday, 6/19, with Planning, Operations, Gas Control, and Marketing to discuss liquids occurrences on the Panhandle Lateral.  Operations confirmed modeled results.  Operations will be providing extended gas analyses (up to C10-11) for further process modeling.  The purpose is to determine what needs to be done at the Agave-Bitter Lakes and Red Bluff points and/or Dominion Tule Lake point to remediate gas qualities that are producing liquids in the lateral at downstream pipeline pressure and temperature conditions. </w:t>
      </w:r>
    </w:p>
    <w:p>
      <w:pPr>
        <w:pStyle w:val="Normal"/>
        <w:autoSpaceDE w:val="false"/>
        <w:rPr>
          <w:color w:val="000000"/>
          <w:szCs w:val="20"/>
        </w:rPr>
      </w:pPr>
      <w:r>
        <w:rPr>
          <w:color w:val="000000"/>
          <w:szCs w:val="20"/>
        </w:rPr>
      </w:r>
    </w:p>
    <w:p>
      <w:pPr>
        <w:pStyle w:val="Normal"/>
        <w:tabs>
          <w:tab w:val="clear" w:pos="720"/>
          <w:tab w:val="left" w:pos="3780" w:leader="none"/>
        </w:tabs>
        <w:autoSpaceDE w:val="false"/>
        <w:rPr>
          <w:b/>
          <w:bCs/>
          <w:color w:val="000000"/>
          <w:szCs w:val="20"/>
        </w:rPr>
      </w:pPr>
      <w:r>
        <w:rPr>
          <w:b/>
          <w:bCs/>
          <w:color w:val="000000"/>
          <w:szCs w:val="20"/>
        </w:rPr>
        <w:t>TW/ Conoco potential interconnect</w:t>
      </w:r>
    </w:p>
    <w:p>
      <w:pPr>
        <w:pStyle w:val="Normal"/>
        <w:tabs>
          <w:tab w:val="clear" w:pos="720"/>
          <w:tab w:val="left" w:pos="3780" w:leader="none"/>
        </w:tabs>
        <w:autoSpaceDE w:val="false"/>
        <w:rPr>
          <w:color w:val="000000"/>
          <w:szCs w:val="20"/>
        </w:rPr>
      </w:pPr>
      <w:r>
        <w:rPr>
          <w:color w:val="000000"/>
          <w:szCs w:val="20"/>
        </w:rPr>
        <w:t>Provided a level “A” cost estimate for 12 mmcf/d 14 mmcf/d and 18 mmcf/d alternatives to tie Conoco’s gas to suction side of the Monument Compressor Station.  Proposed alternatives to possibly allow 60 mmcf/d through this interconnect</w:t>
      </w:r>
    </w:p>
    <w:p>
      <w:pPr>
        <w:pStyle w:val="Normal"/>
        <w:tabs>
          <w:tab w:val="clear" w:pos="720"/>
          <w:tab w:val="left" w:pos="3780" w:leader="none"/>
        </w:tabs>
        <w:autoSpaceDE w:val="false"/>
        <w:rPr>
          <w:b/>
          <w:bCs/>
          <w:color w:val="000000"/>
          <w:szCs w:val="20"/>
        </w:rPr>
      </w:pPr>
      <w:r>
        <w:rPr>
          <w:b/>
          <w:bCs/>
          <w:color w:val="000000"/>
          <w:szCs w:val="20"/>
        </w:rPr>
      </w:r>
    </w:p>
    <w:p>
      <w:pPr>
        <w:pStyle w:val="Normal"/>
        <w:tabs>
          <w:tab w:val="clear" w:pos="720"/>
          <w:tab w:val="left" w:pos="3420" w:leader="none"/>
        </w:tabs>
        <w:autoSpaceDE w:val="false"/>
        <w:spacing w:lineRule="atLeast" w:line="240"/>
        <w:rPr>
          <w:b/>
          <w:bCs/>
          <w:color w:val="000000"/>
          <w:szCs w:val="20"/>
        </w:rPr>
      </w:pPr>
      <w:r>
        <w:rPr>
          <w:b/>
          <w:bCs/>
          <w:color w:val="000000"/>
          <w:szCs w:val="20"/>
        </w:rPr>
        <w:t>CAS</w:t>
      </w:r>
    </w:p>
    <w:p>
      <w:pPr>
        <w:pStyle w:val="Normal"/>
        <w:autoSpaceDE w:val="false"/>
        <w:rPr>
          <w:color w:val="000000"/>
          <w:szCs w:val="20"/>
        </w:rPr>
      </w:pPr>
      <w:r>
        <w:rPr>
          <w:color w:val="000000"/>
          <w:szCs w:val="20"/>
        </w:rPr>
        <w:t xml:space="preserve">Provided San Juan reports from the new CAS system for Marketing review.   The review of the data was consistent with the historical unsubscribed volumes.  Additional reports for the California segment will be reviewed the first of next week and then the East of Thoreau review by the end of next week.  </w:t>
      </w:r>
    </w:p>
    <w:p>
      <w:pPr>
        <w:pStyle w:val="Normal"/>
        <w:autoSpaceDE w:val="false"/>
        <w:rPr>
          <w:b/>
          <w:bCs/>
          <w:color w:val="000000"/>
          <w:szCs w:val="20"/>
        </w:rPr>
      </w:pPr>
      <w:r>
        <w:rPr>
          <w:b/>
          <w:bCs/>
          <w:color w:val="000000"/>
          <w:szCs w:val="20"/>
        </w:rPr>
      </w:r>
    </w:p>
    <w:p>
      <w:pPr>
        <w:pStyle w:val="Heading4"/>
        <w:ind w:hanging="0" w:start="0"/>
        <w:rPr>
          <w:color w:val="000000"/>
          <w:sz w:val="22"/>
          <w:szCs w:val="22"/>
        </w:rPr>
      </w:pPr>
      <w:r>
        <w:rPr/>
        <w:t>Northern Natural Gas Company - South</w:t>
      </w:r>
    </w:p>
    <w:p>
      <w:pPr>
        <w:pStyle w:val="Normal"/>
        <w:autoSpaceDE w:val="false"/>
        <w:rPr>
          <w:b/>
          <w:bCs/>
          <w:color w:val="000000"/>
          <w:szCs w:val="20"/>
        </w:rPr>
      </w:pPr>
      <w:r>
        <w:rPr>
          <w:b/>
          <w:bCs/>
          <w:color w:val="000000"/>
          <w:szCs w:val="20"/>
        </w:rPr>
        <w:t xml:space="preserve">**Spraberry  </w:t>
      </w:r>
    </w:p>
    <w:p>
      <w:pPr>
        <w:pStyle w:val="Normal"/>
        <w:autoSpaceDE w:val="false"/>
        <w:rPr>
          <w:color w:val="000000"/>
          <w:szCs w:val="20"/>
        </w:rPr>
      </w:pPr>
      <w:r>
        <w:rPr>
          <w:color w:val="000000"/>
          <w:szCs w:val="20"/>
        </w:rPr>
        <w:t xml:space="preserve">Decision has been made not to proceed with proposed 2001 facility modifications at the Spraberry station.  Reviewing the feasibility of placing units #6, 7, 11 and 12 into PHFFU.  </w:t>
      </w:r>
    </w:p>
    <w:p>
      <w:pPr>
        <w:pStyle w:val="Normal"/>
        <w:autoSpaceDE w:val="false"/>
        <w:rPr>
          <w:b/>
          <w:bCs/>
          <w:color w:val="000000"/>
          <w:szCs w:val="20"/>
        </w:rPr>
      </w:pPr>
      <w:r>
        <w:rPr>
          <w:b/>
          <w:bCs/>
          <w:color w:val="000000"/>
          <w:szCs w:val="20"/>
        </w:rPr>
      </w:r>
    </w:p>
    <w:p>
      <w:pPr>
        <w:pStyle w:val="Normal"/>
        <w:autoSpaceDE w:val="false"/>
        <w:rPr>
          <w:b/>
          <w:bCs/>
          <w:color w:val="000000"/>
          <w:szCs w:val="20"/>
        </w:rPr>
      </w:pPr>
      <w:r>
        <w:rPr>
          <w:b/>
          <w:bCs/>
          <w:color w:val="000000"/>
          <w:szCs w:val="20"/>
        </w:rPr>
        <w:t>Oxy - Morton Co. 1</w:t>
      </w:r>
    </w:p>
    <w:p>
      <w:pPr>
        <w:pStyle w:val="Normal"/>
        <w:autoSpaceDE w:val="false"/>
        <w:rPr>
          <w:color w:val="000000"/>
          <w:szCs w:val="20"/>
        </w:rPr>
      </w:pPr>
      <w:r>
        <w:rPr>
          <w:color w:val="000000"/>
          <w:szCs w:val="20"/>
        </w:rPr>
        <w:t>Marketing has requested cost estimates considering reduced firm commitments through Morton Co. 1 CS to accommodate Oxy’s request to operate facilities at zero pressure using units 11 and 12.  Compression analysis to be completed to confirm that volume/pressure/temperature ranges will work with existing compression facilities and proposed piping and cooling modifications.</w:t>
      </w:r>
    </w:p>
    <w:p>
      <w:pPr>
        <w:pStyle w:val="Normal"/>
        <w:autoSpaceDE w:val="false"/>
        <w:rPr>
          <w:b/>
          <w:bCs/>
          <w:color w:val="000000"/>
          <w:sz w:val="20"/>
          <w:szCs w:val="20"/>
        </w:rPr>
      </w:pPr>
      <w:r>
        <w:rPr>
          <w:b/>
          <w:bCs/>
          <w:color w:val="000000"/>
          <w:sz w:val="20"/>
          <w:szCs w:val="20"/>
        </w:rPr>
      </w:r>
    </w:p>
    <w:p>
      <w:pPr>
        <w:pStyle w:val="Normal"/>
        <w:autoSpaceDE w:val="false"/>
        <w:rPr>
          <w:b/>
          <w:bCs/>
          <w:color w:val="000000"/>
          <w:sz w:val="20"/>
          <w:szCs w:val="20"/>
        </w:rPr>
      </w:pPr>
      <w:r>
        <w:rPr>
          <w:b/>
          <w:bCs/>
          <w:color w:val="000000"/>
          <w:sz w:val="20"/>
          <w:szCs w:val="20"/>
        </w:rPr>
      </w:r>
    </w:p>
    <w:p>
      <w:pPr>
        <w:pStyle w:val="Heading5"/>
        <w:ind w:hanging="0" w:start="0"/>
        <w:rPr/>
      </w:pPr>
      <w:r>
        <w:rPr/>
        <w:t>Florida Gas Transmission Company</w:t>
      </w:r>
    </w:p>
    <w:p>
      <w:pPr>
        <w:pStyle w:val="Normal"/>
        <w:rPr>
          <w:rFonts w:cs="Arial"/>
          <w:b/>
          <w:bCs/>
          <w:color w:val="0000FF"/>
          <w:szCs w:val="20"/>
        </w:rPr>
      </w:pPr>
      <w:r>
        <w:rPr>
          <w:rFonts w:cs="Arial"/>
          <w:b/>
          <w:bCs/>
          <w:color w:val="0000FF"/>
          <w:szCs w:val="20"/>
        </w:rPr>
      </w:r>
    </w:p>
    <w:p>
      <w:pPr>
        <w:pStyle w:val="Heading2"/>
        <w:ind w:hanging="0" w:start="0"/>
        <w:rPr>
          <w:rFonts w:cs="Arial"/>
          <w:i w:val="false"/>
          <w:i w:val="false"/>
          <w:iCs w:val="false"/>
          <w:color w:val="000000"/>
          <w:sz w:val="24"/>
          <w:szCs w:val="20"/>
          <w:u w:val="none"/>
        </w:rPr>
      </w:pPr>
      <w:r>
        <w:rPr>
          <w:rFonts w:cs="Arial"/>
          <w:i w:val="false"/>
          <w:iCs w:val="false"/>
          <w:color w:val="000000"/>
          <w:sz w:val="24"/>
          <w:szCs w:val="20"/>
          <w:u w:val="none"/>
        </w:rPr>
        <w:t>**Egan Hub Partners</w:t>
      </w:r>
    </w:p>
    <w:p>
      <w:pPr>
        <w:pStyle w:val="Normal"/>
        <w:rPr>
          <w:rFonts w:cs="Arial"/>
          <w:szCs w:val="20"/>
        </w:rPr>
      </w:pPr>
      <w:r>
        <w:rPr>
          <w:rFonts w:cs="Arial"/>
          <w:szCs w:val="20"/>
        </w:rPr>
        <w:t xml:space="preserve">Planning met with Duke Energy to review the meter station design and view the proposed station location.  The station will be located at Mile Post 472.6 in Jefferson Davis Parish, Louisiana.  The station will have bi-directional capability up to 250 MMBtu/d with an in service date of November 1, 2001.  </w:t>
      </w:r>
    </w:p>
    <w:p>
      <w:pPr>
        <w:pStyle w:val="Normal"/>
        <w:rPr>
          <w:rFonts w:cs="Arial"/>
          <w:b/>
          <w:bCs/>
          <w:szCs w:val="20"/>
        </w:rPr>
      </w:pPr>
      <w:r>
        <w:rPr>
          <w:rFonts w:cs="Arial"/>
          <w:b/>
          <w:bCs/>
          <w:szCs w:val="20"/>
        </w:rPr>
      </w:r>
    </w:p>
    <w:p>
      <w:pPr>
        <w:pStyle w:val="Normal"/>
        <w:rPr>
          <w:rFonts w:cs="Arial"/>
          <w:b/>
          <w:bCs/>
          <w:szCs w:val="20"/>
        </w:rPr>
      </w:pPr>
      <w:r>
        <w:rPr>
          <w:rFonts w:cs="Arial"/>
          <w:b/>
          <w:bCs/>
          <w:szCs w:val="20"/>
        </w:rPr>
        <w:t>Calpine Washington Parish Plant</w:t>
      </w:r>
    </w:p>
    <w:p>
      <w:pPr>
        <w:pStyle w:val="Normal"/>
        <w:rPr>
          <w:rFonts w:cs="Arial"/>
          <w:szCs w:val="20"/>
        </w:rPr>
      </w:pPr>
      <w:r>
        <w:rPr>
          <w:rFonts w:cs="Arial"/>
          <w:szCs w:val="20"/>
        </w:rPr>
        <w:t>Had a teleconference call with Calpine to discuss delivery pressure ranges anticipated when the plant goes into operation.  It appears there was a misunderstanding about the proposed operating pressure range at this location.  Calpine thought the pressures would be lower which would require only single cut regulation.  Now they will have to install a double cut regulation system.</w:t>
      </w:r>
    </w:p>
    <w:p>
      <w:pPr>
        <w:pStyle w:val="Normal"/>
        <w:rPr>
          <w:rFonts w:cs="Arial"/>
          <w:szCs w:val="20"/>
        </w:rPr>
      </w:pPr>
      <w:r>
        <w:rPr>
          <w:rFonts w:cs="Arial"/>
          <w:szCs w:val="20"/>
        </w:rPr>
      </w:r>
    </w:p>
    <w:p>
      <w:pPr>
        <w:pStyle w:val="Normal"/>
        <w:jc w:val="both"/>
        <w:rPr>
          <w:rFonts w:cs="Arial"/>
          <w:b/>
          <w:bCs/>
          <w:szCs w:val="20"/>
        </w:rPr>
      </w:pPr>
      <w:r>
        <w:rPr>
          <w:rFonts w:cs="Arial"/>
          <w:b/>
          <w:bCs/>
          <w:szCs w:val="20"/>
        </w:rPr>
        <w:t>FPL Sanford</w:t>
      </w:r>
    </w:p>
    <w:p>
      <w:pPr>
        <w:pStyle w:val="Normal"/>
        <w:jc w:val="both"/>
        <w:rPr>
          <w:rFonts w:cs="Arial"/>
          <w:szCs w:val="20"/>
        </w:rPr>
      </w:pPr>
      <w:r>
        <w:rPr>
          <w:rFonts w:cs="Arial"/>
          <w:szCs w:val="20"/>
        </w:rPr>
        <w:t>Planning issued a Level C release to proceed with the installation of or construction related to the new FP&amp;L Sanford measurement regulation station, 1200 feet of 20” connection piping, the removal of the existing FP&amp;L Sanford measurement regulation station and the installation of the 10” jumper in its place including all related cathodic protection equipment.</w:t>
      </w:r>
    </w:p>
    <w:p>
      <w:pPr>
        <w:pStyle w:val="Normal"/>
        <w:rPr>
          <w:rFonts w:cs="Arial"/>
          <w:szCs w:val="20"/>
        </w:rPr>
      </w:pPr>
      <w:r>
        <w:rPr>
          <w:rFonts w:cs="Arial"/>
          <w:szCs w:val="20"/>
        </w:rPr>
      </w:r>
    </w:p>
    <w:p>
      <w:pPr>
        <w:pStyle w:val="Heading3"/>
        <w:ind w:hanging="0" w:start="0"/>
        <w:rPr>
          <w:rFonts w:cs="Arial"/>
          <w:color w:val="000000"/>
          <w:sz w:val="24"/>
          <w:szCs w:val="20"/>
          <w:u w:val="none"/>
        </w:rPr>
      </w:pPr>
      <w:r>
        <w:rPr>
          <w:rFonts w:cs="Arial"/>
          <w:color w:val="000000"/>
          <w:sz w:val="24"/>
          <w:szCs w:val="20"/>
          <w:u w:val="none"/>
        </w:rPr>
        <w:t>Carolina Power (Entergy) DeSoto</w:t>
      </w:r>
    </w:p>
    <w:p>
      <w:pPr>
        <w:pStyle w:val="Normal"/>
        <w:rPr>
          <w:rFonts w:cs="Arial"/>
          <w:szCs w:val="20"/>
        </w:rPr>
      </w:pPr>
      <w:r>
        <w:rPr>
          <w:rFonts w:cs="Arial"/>
          <w:szCs w:val="20"/>
        </w:rPr>
        <w:t xml:space="preserve">Planning issued a Level C Release to install a 10” hot tap, 300 feet of 10” connection piping and a measurement and regulating station including separation equipment and a chromatograph for a delivery to the proposed power plant.  </w:t>
      </w:r>
    </w:p>
    <w:p>
      <w:pPr>
        <w:pStyle w:val="Normal"/>
        <w:rPr>
          <w:rFonts w:cs="Arial"/>
          <w:szCs w:val="20"/>
        </w:rPr>
      </w:pPr>
      <w:r>
        <w:rPr>
          <w:rFonts w:cs="Arial"/>
          <w:szCs w:val="20"/>
        </w:rPr>
      </w:r>
    </w:p>
    <w:p>
      <w:pPr>
        <w:pStyle w:val="Heading2"/>
        <w:ind w:hanging="0" w:start="0"/>
        <w:rPr>
          <w:rFonts w:cs="Arial"/>
          <w:i w:val="false"/>
          <w:i w:val="false"/>
          <w:iCs w:val="false"/>
          <w:color w:val="000000"/>
          <w:sz w:val="24"/>
          <w:szCs w:val="20"/>
          <w:u w:val="none"/>
        </w:rPr>
      </w:pPr>
      <w:r>
        <w:rPr>
          <w:rFonts w:cs="Arial"/>
          <w:i w:val="false"/>
          <w:iCs w:val="false"/>
          <w:color w:val="000000"/>
          <w:sz w:val="24"/>
          <w:szCs w:val="20"/>
          <w:u w:val="none"/>
        </w:rPr>
        <w:t>CUC Arcadia</w:t>
      </w:r>
    </w:p>
    <w:p>
      <w:pPr>
        <w:pStyle w:val="Normal"/>
        <w:rPr>
          <w:rFonts w:cs="Arial"/>
          <w:szCs w:val="20"/>
        </w:rPr>
      </w:pPr>
      <w:r>
        <w:rPr>
          <w:rFonts w:cs="Arial"/>
          <w:szCs w:val="20"/>
        </w:rPr>
        <w:t xml:space="preserve">Planning requested a Level B Cost estimate for a 4” tap, 100 feet of 4” connection piping, and EFM for a revised station location for CUC Arcadia. The station will be located at mile post 226.7 (approximately) on the FGT west leg in DeSoto County, Florida. </w:t>
      </w:r>
    </w:p>
    <w:p>
      <w:pPr>
        <w:pStyle w:val="Normal"/>
        <w:rPr>
          <w:rFonts w:cs="Arial"/>
          <w:szCs w:val="20"/>
        </w:rPr>
      </w:pPr>
      <w:r>
        <w:rPr>
          <w:rFonts w:cs="Arial"/>
          <w:szCs w:val="20"/>
        </w:rPr>
        <w:tab/>
      </w:r>
    </w:p>
    <w:p>
      <w:pPr>
        <w:pStyle w:val="Normal"/>
        <w:jc w:val="both"/>
        <w:rPr>
          <w:rFonts w:cs="Arial"/>
          <w:b/>
          <w:bCs/>
          <w:szCs w:val="20"/>
        </w:rPr>
      </w:pPr>
      <w:r>
        <w:rPr>
          <w:rFonts w:cs="Arial"/>
          <w:b/>
          <w:bCs/>
          <w:szCs w:val="20"/>
        </w:rPr>
        <w:t>**Gulfstream</w:t>
      </w:r>
    </w:p>
    <w:p>
      <w:pPr>
        <w:pStyle w:val="Normal"/>
        <w:jc w:val="both"/>
        <w:rPr>
          <w:rFonts w:cs="Arial"/>
          <w:szCs w:val="20"/>
        </w:rPr>
      </w:pPr>
      <w:r>
        <w:rPr>
          <w:rFonts w:cs="Arial"/>
          <w:szCs w:val="20"/>
        </w:rPr>
        <w:t>Planning requested Level B Cost estimates for three interconnects with Gulfstream pipeline.</w:t>
      </w:r>
    </w:p>
    <w:p>
      <w:pPr>
        <w:pStyle w:val="Normal"/>
        <w:jc w:val="both"/>
        <w:rPr>
          <w:rFonts w:cs="Arial"/>
          <w:szCs w:val="20"/>
        </w:rPr>
      </w:pPr>
      <w:r>
        <w:rPr>
          <w:rFonts w:cs="Arial"/>
          <w:szCs w:val="20"/>
        </w:rPr>
      </w:r>
    </w:p>
    <w:p>
      <w:pPr>
        <w:pStyle w:val="Normal"/>
        <w:numPr>
          <w:ilvl w:val="0"/>
          <w:numId w:val="2"/>
        </w:numPr>
        <w:jc w:val="both"/>
        <w:rPr>
          <w:rFonts w:cs="Arial"/>
          <w:szCs w:val="20"/>
        </w:rPr>
      </w:pPr>
      <w:r>
        <w:rPr>
          <w:rFonts w:cs="Arial"/>
          <w:szCs w:val="20"/>
        </w:rPr>
        <w:t xml:space="preserve">Project #1 includes the installation of a 14” hot tap, 100 feet of 16” connection piping, an odorizer, and EFM.  The station will be located at Mile Post 205.8 (approximately) on the FGT west leg in Hardee County, Florida. </w:t>
      </w:r>
    </w:p>
    <w:p>
      <w:pPr>
        <w:pStyle w:val="Normal"/>
        <w:numPr>
          <w:ilvl w:val="0"/>
          <w:numId w:val="2"/>
        </w:numPr>
        <w:jc w:val="both"/>
        <w:rPr>
          <w:rFonts w:cs="Arial"/>
          <w:szCs w:val="20"/>
        </w:rPr>
      </w:pPr>
      <w:r>
        <w:rPr>
          <w:rFonts w:cs="Arial"/>
          <w:szCs w:val="20"/>
        </w:rPr>
        <w:t>Project #2 includes the installation of a 12” stopple and T, 650 feet of 12” connection piping, an odorizer, and EFM.  The station will be located at Mile Post 12.4 on the St. Petersburg Lateral in Osceola County, Florida.</w:t>
      </w:r>
    </w:p>
    <w:p>
      <w:pPr>
        <w:pStyle w:val="Normal"/>
        <w:numPr>
          <w:ilvl w:val="0"/>
          <w:numId w:val="2"/>
        </w:numPr>
        <w:jc w:val="both"/>
        <w:rPr>
          <w:rFonts w:cs="Arial"/>
          <w:szCs w:val="20"/>
        </w:rPr>
      </w:pPr>
      <w:r>
        <w:rPr>
          <w:rFonts w:cs="Arial"/>
          <w:szCs w:val="20"/>
        </w:rPr>
        <w:t>Project #3 includes the installation of a 12” hot tap, 100 feet of 16” connection piping, an odorizer, and EFM.  The station will be located at Mile Post 781.7 on the 26” FGT mainline in St. Lucie County, Florida.</w:t>
      </w:r>
    </w:p>
    <w:p>
      <w:pPr>
        <w:pStyle w:val="Normal"/>
        <w:jc w:val="both"/>
        <w:rPr>
          <w:rFonts w:cs="Arial"/>
          <w:szCs w:val="20"/>
        </w:rPr>
      </w:pPr>
      <w:r>
        <w:rPr>
          <w:rFonts w:cs="Arial"/>
          <w:szCs w:val="20"/>
        </w:rPr>
      </w:r>
    </w:p>
    <w:p>
      <w:pPr>
        <w:pStyle w:val="Normal"/>
        <w:rPr>
          <w:rFonts w:cs="Arial"/>
          <w:b/>
          <w:bCs/>
          <w:szCs w:val="20"/>
        </w:rPr>
      </w:pPr>
      <w:r>
        <w:rPr>
          <w:rFonts w:cs="Arial"/>
          <w:b/>
          <w:bCs/>
          <w:szCs w:val="20"/>
        </w:rPr>
        <w:t>Phase IV</w:t>
      </w:r>
    </w:p>
    <w:p>
      <w:pPr>
        <w:pStyle w:val="Normal"/>
        <w:rPr>
          <w:rFonts w:cs="Arial"/>
          <w:szCs w:val="20"/>
        </w:rPr>
      </w:pPr>
      <w:r>
        <w:rPr>
          <w:rFonts w:cs="Arial"/>
          <w:szCs w:val="20"/>
        </w:rPr>
        <w:t>Plans are set to immediately install compressor wheels in unit 2601, and add some new station piping, to facilitate compatible operating conditions with 2602 and ease start-up problems.</w:t>
      </w:r>
    </w:p>
    <w:p>
      <w:pPr>
        <w:pStyle w:val="Normal"/>
        <w:rPr>
          <w:rFonts w:cs="Arial"/>
          <w:b/>
          <w:bCs/>
          <w:szCs w:val="20"/>
        </w:rPr>
      </w:pPr>
      <w:r>
        <w:rPr>
          <w:rFonts w:cs="Arial"/>
          <w:b/>
          <w:bCs/>
          <w:szCs w:val="20"/>
        </w:rPr>
      </w:r>
    </w:p>
    <w:p>
      <w:pPr>
        <w:pStyle w:val="Normal"/>
        <w:rPr>
          <w:rFonts w:cs="Arial"/>
          <w:b/>
          <w:bCs/>
          <w:szCs w:val="20"/>
        </w:rPr>
      </w:pPr>
      <w:r>
        <w:rPr>
          <w:rFonts w:cs="Arial"/>
          <w:b/>
          <w:bCs/>
          <w:szCs w:val="20"/>
        </w:rPr>
        <w:t>Phase V</w:t>
      </w:r>
    </w:p>
    <w:p>
      <w:pPr>
        <w:pStyle w:val="Normal"/>
        <w:rPr>
          <w:rFonts w:cs="Arial"/>
          <w:szCs w:val="20"/>
        </w:rPr>
      </w:pPr>
      <w:r>
        <w:rPr>
          <w:rFonts w:cs="Arial"/>
          <w:szCs w:val="20"/>
        </w:rPr>
        <w:t xml:space="preserve">Flow studies were run to determine how to operate Phase V without proposed compressor station 31.  As an alternative to potential legal difficulties or restrictions, other facilities would have to replace station 31, or concessions will be needed in the delivery schedule.  </w:t>
      </w:r>
    </w:p>
    <w:p>
      <w:pPr>
        <w:pStyle w:val="Normal"/>
        <w:rPr>
          <w:rFonts w:cs="Arial"/>
          <w:b/>
          <w:bCs/>
          <w:szCs w:val="20"/>
        </w:rPr>
      </w:pPr>
      <w:r>
        <w:rPr>
          <w:rFonts w:cs="Arial"/>
          <w:b/>
          <w:bCs/>
          <w:szCs w:val="20"/>
        </w:rPr>
      </w:r>
    </w:p>
    <w:p>
      <w:pPr>
        <w:pStyle w:val="Normal"/>
        <w:rPr>
          <w:rFonts w:cs="Arial"/>
          <w:szCs w:val="20"/>
        </w:rPr>
      </w:pPr>
      <w:r>
        <w:rPr>
          <w:rFonts w:cs="Arial"/>
          <w:b/>
          <w:bCs/>
          <w:szCs w:val="20"/>
        </w:rPr>
        <w:t>Phase VI</w:t>
      </w:r>
    </w:p>
    <w:p>
      <w:pPr>
        <w:pStyle w:val="Normal"/>
        <w:rPr>
          <w:rFonts w:cs="Arial"/>
          <w:szCs w:val="20"/>
        </w:rPr>
      </w:pPr>
      <w:r>
        <w:rPr>
          <w:rFonts w:cs="Arial"/>
          <w:szCs w:val="20"/>
        </w:rPr>
        <w:t>The new possible case for Phase VI that includes Tampa Electric Co. was run, with facilities and costs estimated for Marketing.</w:t>
      </w:r>
    </w:p>
    <w:p>
      <w:pPr>
        <w:pStyle w:val="Normal"/>
        <w:jc w:val="both"/>
        <w:rPr>
          <w:rFonts w:cs="Arial"/>
          <w:b/>
          <w:bCs/>
          <w:color w:val="FF0000"/>
          <w:szCs w:val="20"/>
        </w:rPr>
      </w:pPr>
      <w:r>
        <w:rPr>
          <w:rFonts w:cs="Arial"/>
          <w:b/>
          <w:bCs/>
          <w:color w:val="FF0000"/>
          <w:szCs w:val="20"/>
        </w:rPr>
      </w:r>
    </w:p>
    <w:p>
      <w:pPr>
        <w:pStyle w:val="Normal"/>
        <w:jc w:val="both"/>
        <w:rPr>
          <w:rFonts w:cs="Arial"/>
          <w:b/>
          <w:bCs/>
          <w:color w:val="FF0000"/>
          <w:szCs w:val="20"/>
        </w:rPr>
      </w:pPr>
      <w:r>
        <w:rPr>
          <w:rFonts w:cs="Arial"/>
          <w:b/>
          <w:bCs/>
          <w:color w:val="FF0000"/>
          <w:szCs w:val="20"/>
        </w:rPr>
      </w:r>
    </w:p>
    <w:p>
      <w:pPr>
        <w:pStyle w:val="Heading8"/>
        <w:ind w:hanging="0" w:start="0"/>
        <w:rPr>
          <w:rFonts w:cs="Arial"/>
          <w:b w:val="false"/>
          <w:bCs w:val="false"/>
          <w:color w:val="FF0000"/>
          <w:szCs w:val="20"/>
          <w:u w:val="single"/>
        </w:rPr>
      </w:pPr>
      <w:r>
        <w:rPr>
          <w:rFonts w:cs="Arial"/>
          <w:b w:val="false"/>
          <w:bCs w:val="false"/>
          <w:color w:val="FF0000"/>
          <w:szCs w:val="20"/>
          <w:u w:val="single"/>
        </w:rPr>
      </w:r>
    </w:p>
    <w:p>
      <w:pPr>
        <w:pStyle w:val="Heading8"/>
        <w:ind w:hanging="0" w:start="0"/>
        <w:rPr>
          <w:rFonts w:cs="Times New Roman"/>
          <w:u w:val="single"/>
        </w:rPr>
      </w:pPr>
      <w:r>
        <w:rPr>
          <w:rFonts w:cs="Times New Roman"/>
          <w:u w:val="single"/>
        </w:rPr>
        <w:t xml:space="preserve">Northern Natural Gas Company – North </w:t>
      </w:r>
    </w:p>
    <w:p>
      <w:pPr>
        <w:pStyle w:val="Normal"/>
        <w:jc w:val="both"/>
        <w:rPr>
          <w:rFonts w:cs="Times New Roman"/>
          <w:b/>
          <w:bCs/>
          <w:color w:val="FF0000"/>
          <w:szCs w:val="20"/>
          <w:u w:val="single"/>
        </w:rPr>
      </w:pPr>
      <w:r>
        <w:rPr>
          <w:rFonts w:cs="Times New Roman"/>
          <w:b/>
          <w:bCs/>
          <w:color w:val="FF0000"/>
          <w:szCs w:val="20"/>
          <w:u w:val="single"/>
        </w:rPr>
      </w:r>
    </w:p>
    <w:p>
      <w:pPr>
        <w:pStyle w:val="Normal"/>
        <w:jc w:val="both"/>
        <w:rPr>
          <w:b/>
          <w:bCs/>
          <w:szCs w:val="20"/>
        </w:rPr>
      </w:pPr>
      <w:r>
        <w:rPr>
          <w:b/>
          <w:bCs/>
          <w:szCs w:val="20"/>
        </w:rPr>
        <w:t>**Statistical/Analytical Analysis of Branch line Performance</w:t>
      </w:r>
    </w:p>
    <w:p>
      <w:pPr>
        <w:pStyle w:val="Normal"/>
        <w:jc w:val="both"/>
        <w:rPr>
          <w:szCs w:val="20"/>
        </w:rPr>
      </w:pPr>
      <w:r>
        <w:rPr>
          <w:szCs w:val="20"/>
        </w:rPr>
        <w:t xml:space="preserve">Planning met with Marketing on June 14, regarding their desire to statistically analyze NNG's branch lines in order to recognize previously unused capacity.  </w:t>
      </w:r>
    </w:p>
    <w:p>
      <w:pPr>
        <w:pStyle w:val="Normal"/>
        <w:jc w:val="both"/>
        <w:rPr>
          <w:b/>
          <w:bCs/>
          <w:color w:val="FF0000"/>
          <w:szCs w:val="20"/>
        </w:rPr>
      </w:pPr>
      <w:r>
        <w:rPr>
          <w:b/>
          <w:bCs/>
          <w:color w:val="FF0000"/>
          <w:szCs w:val="20"/>
        </w:rPr>
      </w:r>
    </w:p>
    <w:p>
      <w:pPr>
        <w:pStyle w:val="Normal"/>
        <w:jc w:val="both"/>
        <w:rPr>
          <w:szCs w:val="20"/>
        </w:rPr>
      </w:pPr>
      <w:r>
        <w:rPr>
          <w:b/>
          <w:bCs/>
          <w:szCs w:val="20"/>
        </w:rPr>
        <w:t>**Wisconsin Gas Inflows</w:t>
      </w:r>
    </w:p>
    <w:p>
      <w:pPr>
        <w:pStyle w:val="Normal"/>
        <w:spacing w:lineRule="atLeast" w:line="240"/>
        <w:jc w:val="both"/>
        <w:rPr>
          <w:szCs w:val="20"/>
        </w:rPr>
      </w:pPr>
      <w:r>
        <w:rPr>
          <w:color w:val="000000"/>
          <w:szCs w:val="20"/>
        </w:rPr>
        <w:t xml:space="preserve">An information request was received from Governmental Affairs.  The Wisconsin Energy Department wanted to know if we could tell them the capacity of each piece of pipe we have entering Wisconsin and the peak day delivery on each.  They are trying to figure out whether or not Wisconsin has enough pipeline capacity in place.  That information was provided in graph and table form on June 19th.  </w:t>
      </w:r>
    </w:p>
    <w:p>
      <w:pPr>
        <w:pStyle w:val="Normal"/>
        <w:jc w:val="both"/>
        <w:rPr>
          <w:szCs w:val="20"/>
        </w:rPr>
      </w:pPr>
      <w:r>
        <w:rPr>
          <w:szCs w:val="20"/>
        </w:rPr>
      </w:r>
    </w:p>
    <w:p>
      <w:pPr>
        <w:pStyle w:val="Heading3"/>
        <w:ind w:hanging="0" w:start="0"/>
        <w:rPr>
          <w:color w:val="000000"/>
          <w:sz w:val="24"/>
          <w:szCs w:val="20"/>
          <w:u w:val="none"/>
        </w:rPr>
      </w:pPr>
      <w:r>
        <w:rPr>
          <w:color w:val="000000"/>
          <w:sz w:val="24"/>
          <w:szCs w:val="20"/>
          <w:u w:val="none"/>
        </w:rPr>
        <w:t>Winnebago Pressure Increase</w:t>
      </w:r>
    </w:p>
    <w:p>
      <w:pPr>
        <w:pStyle w:val="Normal"/>
        <w:jc w:val="both"/>
        <w:rPr>
          <w:szCs w:val="20"/>
        </w:rPr>
      </w:pPr>
      <w:r>
        <w:rPr>
          <w:szCs w:val="20"/>
        </w:rPr>
        <w:t>Customer expressed concern with the late September estimated in-service date for the Winnebago #1 TBS modifications required to accommodate delivery requirements of a new ethanol plant.  The plant requires incremental capacity ahead of the September time frame.  Study of the existing facilities indicates an increase of delivery pressure from the current 50 psig to 95 psig would result in an immediate capacity increase from 154 mcfd to 264 mcfd, still short of requested volumes, but at least an improvement on current capacity. Consultation with the field will need to occur prior to agreeing to this concept.</w:t>
      </w:r>
    </w:p>
    <w:p>
      <w:pPr>
        <w:pStyle w:val="Normal"/>
        <w:jc w:val="both"/>
        <w:rPr>
          <w:szCs w:val="20"/>
        </w:rPr>
      </w:pPr>
      <w:r>
        <w:rPr>
          <w:szCs w:val="20"/>
        </w:rPr>
      </w:r>
    </w:p>
    <w:p>
      <w:pPr>
        <w:pStyle w:val="Heading3"/>
        <w:ind w:hanging="0" w:start="0"/>
        <w:rPr>
          <w:b w:val="false"/>
          <w:bCs w:val="false"/>
          <w:color w:val="000000"/>
          <w:sz w:val="24"/>
          <w:szCs w:val="20"/>
          <w:u w:val="none"/>
        </w:rPr>
      </w:pPr>
      <w:r>
        <w:rPr>
          <w:b w:val="false"/>
          <w:bCs w:val="false"/>
          <w:color w:val="000000"/>
          <w:sz w:val="24"/>
          <w:szCs w:val="20"/>
          <w:u w:val="none"/>
        </w:rPr>
        <w:t>**</w:t>
      </w:r>
      <w:r>
        <w:rPr>
          <w:color w:val="000000"/>
          <w:sz w:val="24"/>
          <w:szCs w:val="20"/>
          <w:u w:val="none"/>
        </w:rPr>
        <w:t xml:space="preserve">CAS </w:t>
      </w:r>
    </w:p>
    <w:p>
      <w:pPr>
        <w:pStyle w:val="Normal"/>
        <w:jc w:val="both"/>
        <w:rPr>
          <w:szCs w:val="20"/>
        </w:rPr>
      </w:pPr>
      <w:r>
        <w:rPr>
          <w:szCs w:val="20"/>
        </w:rPr>
        <w:t xml:space="preserve">Met with Information Technology to discuss "Old CAS" issue discovered concerning incorrect Receipt/Delivery adjustment logic.  The system will be corrected as soon as possible to eliminate the potential error source.  A request from NSP to realign receipt capacity from Carlton to Ogden, which was erroneously approved automatically by the CAS system, was the source of the issue.  The error was relayed to the contracts group in time to stop execution of the request.  </w:t>
      </w:r>
    </w:p>
    <w:p>
      <w:pPr>
        <w:pStyle w:val="Normal"/>
        <w:ind w:hanging="360" w:start="720" w:end="0"/>
        <w:jc w:val="both"/>
        <w:rPr>
          <w:szCs w:val="20"/>
        </w:rPr>
      </w:pPr>
      <w:r>
        <w:rPr>
          <w:szCs w:val="20"/>
        </w:rPr>
      </w:r>
    </w:p>
    <w:p>
      <w:pPr>
        <w:pStyle w:val="Heading6"/>
        <w:spacing w:lineRule="atLeast" w:line="240"/>
        <w:ind w:hanging="0" w:start="0"/>
        <w:rPr>
          <w:rFonts w:cs="Times New Roman"/>
          <w:b w:val="false"/>
          <w:bCs w:val="false"/>
          <w:color w:val="000000"/>
          <w:szCs w:val="20"/>
          <w:u w:val="single"/>
        </w:rPr>
      </w:pPr>
      <w:r>
        <w:rPr>
          <w:rFonts w:cs="Times New Roman"/>
          <w:b w:val="false"/>
          <w:bCs w:val="false"/>
          <w:color w:val="000000"/>
          <w:szCs w:val="20"/>
          <w:u w:val="single"/>
        </w:rPr>
      </w:r>
    </w:p>
    <w:p>
      <w:pPr>
        <w:pStyle w:val="Heading2"/>
        <w:ind w:hanging="0" w:start="0"/>
        <w:jc w:val="both"/>
        <w:rPr>
          <w:i w:val="false"/>
          <w:i w:val="false"/>
          <w:iCs w:val="false"/>
          <w:color w:val="000000"/>
          <w:sz w:val="24"/>
          <w:szCs w:val="20"/>
          <w:u w:val="none"/>
        </w:rPr>
      </w:pPr>
      <w:r>
        <w:rPr>
          <w:i w:val="false"/>
          <w:iCs w:val="false"/>
          <w:color w:val="000000"/>
          <w:sz w:val="24"/>
          <w:szCs w:val="20"/>
          <w:u w:val="none"/>
        </w:rPr>
        <w:t>**Guardian East Leg Sale</w:t>
      </w:r>
    </w:p>
    <w:p>
      <w:pPr>
        <w:pStyle w:val="Normal"/>
        <w:jc w:val="both"/>
        <w:rPr>
          <w:szCs w:val="20"/>
        </w:rPr>
      </w:pPr>
      <w:r>
        <w:rPr>
          <w:szCs w:val="20"/>
        </w:rPr>
        <w:t>Conducted site inspection with representatives of Wisconsin Electric and CMS Gas Transmission and Storage.  Resolved technical issues associated with the Eagle and LaGrange TBS sites.  Currently, awaiting a response back from Wisconsin Electric that affects the details in the exhibits attached with the FERC filing.</w:t>
      </w:r>
    </w:p>
    <w:p>
      <w:pPr>
        <w:pStyle w:val="Normal"/>
        <w:jc w:val="both"/>
        <w:rPr>
          <w:szCs w:val="20"/>
        </w:rPr>
      </w:pPr>
      <w:r>
        <w:rPr>
          <w:szCs w:val="20"/>
        </w:rPr>
      </w:r>
    </w:p>
    <w:p>
      <w:pPr>
        <w:pStyle w:val="Heading2"/>
        <w:ind w:hanging="0" w:start="0"/>
        <w:jc w:val="both"/>
        <w:rPr>
          <w:i w:val="false"/>
          <w:i w:val="false"/>
          <w:iCs w:val="false"/>
          <w:color w:val="000000"/>
          <w:sz w:val="24"/>
          <w:szCs w:val="20"/>
          <w:u w:val="none"/>
        </w:rPr>
      </w:pPr>
      <w:r>
        <w:rPr>
          <w:i w:val="false"/>
          <w:iCs w:val="false"/>
          <w:color w:val="000000"/>
          <w:sz w:val="24"/>
          <w:szCs w:val="20"/>
          <w:u w:val="none"/>
        </w:rPr>
        <w:t>**Project - Husker Power - LES Salt Valley Generation</w:t>
      </w:r>
    </w:p>
    <w:p>
      <w:pPr>
        <w:pStyle w:val="Normal"/>
        <w:jc w:val="both"/>
        <w:rPr>
          <w:szCs w:val="20"/>
        </w:rPr>
      </w:pPr>
      <w:r>
        <w:rPr>
          <w:szCs w:val="20"/>
        </w:rPr>
        <w:t>Working with EAMR to provide technical and professional services to aid LES scope the construction portion associated with ROW and pipeline engineering on the 20" lateral to be installed next year.  Additionally, we are investigating professional services with regards to compression design.</w:t>
      </w:r>
    </w:p>
    <w:p>
      <w:pPr>
        <w:pStyle w:val="Normal"/>
        <w:rPr>
          <w:szCs w:val="20"/>
        </w:rPr>
      </w:pPr>
      <w:r>
        <w:rPr>
          <w:szCs w:val="20"/>
        </w:rPr>
      </w:r>
    </w:p>
    <w:p>
      <w:pPr>
        <w:pStyle w:val="Normal"/>
        <w:jc w:val="both"/>
        <w:rPr>
          <w:szCs w:val="20"/>
        </w:rPr>
      </w:pPr>
      <w:r>
        <w:rPr>
          <w:szCs w:val="20"/>
        </w:rPr>
        <w:t>**</w:t>
      </w:r>
      <w:r>
        <w:rPr>
          <w:b/>
          <w:bCs/>
          <w:szCs w:val="20"/>
        </w:rPr>
        <w:t>Interconnects</w:t>
      </w:r>
    </w:p>
    <w:p>
      <w:pPr>
        <w:pStyle w:val="Normal"/>
        <w:jc w:val="both"/>
        <w:rPr>
          <w:szCs w:val="20"/>
        </w:rPr>
      </w:pPr>
      <w:r>
        <w:rPr>
          <w:szCs w:val="20"/>
        </w:rPr>
        <w:t>A review of selected interconnects in the Market and Supply zone was forwarded to Jo Williams and Steve Weller of Marketing.  The interconnects included:</w:t>
      </w:r>
    </w:p>
    <w:p>
      <w:pPr>
        <w:pStyle w:val="Normal"/>
        <w:jc w:val="both"/>
        <w:rPr>
          <w:szCs w:val="20"/>
        </w:rPr>
      </w:pPr>
      <w:r>
        <w:rPr>
          <w:szCs w:val="20"/>
        </w:rPr>
        <w:t>1) Great Lakes-Carlton                  5) MCMC-Rice County             9) TW-Halley</w:t>
      </w:r>
    </w:p>
    <w:p>
      <w:pPr>
        <w:pStyle w:val="Normal"/>
        <w:jc w:val="both"/>
        <w:rPr>
          <w:szCs w:val="20"/>
        </w:rPr>
      </w:pPr>
      <w:r>
        <w:rPr>
          <w:szCs w:val="20"/>
        </w:rPr>
        <w:t>2) Great Lakes-Wakefield             6) MCMC-Mullinville              10) Lone Star-Spraberry</w:t>
      </w:r>
    </w:p>
    <w:p>
      <w:pPr>
        <w:pStyle w:val="Normal"/>
        <w:jc w:val="both"/>
        <w:rPr>
          <w:szCs w:val="20"/>
        </w:rPr>
      </w:pPr>
      <w:r>
        <w:rPr>
          <w:szCs w:val="20"/>
        </w:rPr>
        <w:t>3) NGPL-Glenwood                      7) Williams-Barton County      11) Valero- Spraberry</w:t>
      </w:r>
    </w:p>
    <w:p>
      <w:pPr>
        <w:pStyle w:val="Normal"/>
        <w:jc w:val="both"/>
        <w:rPr>
          <w:szCs w:val="20"/>
        </w:rPr>
      </w:pPr>
      <w:r>
        <w:rPr>
          <w:szCs w:val="20"/>
        </w:rPr>
        <w:t>4) MCMC-Clifton                          8) TW-Gray                              12) Lone Star-Pecos</w:t>
      </w:r>
    </w:p>
    <w:p>
      <w:pPr>
        <w:pStyle w:val="Normal"/>
        <w:jc w:val="both"/>
        <w:rPr>
          <w:szCs w:val="20"/>
        </w:rPr>
      </w:pPr>
      <w:r>
        <w:rPr>
          <w:szCs w:val="20"/>
        </w:rPr>
        <w:t xml:space="preserve"> </w:t>
      </w:r>
    </w:p>
    <w:p>
      <w:pPr>
        <w:pStyle w:val="Normal"/>
        <w:jc w:val="both"/>
        <w:rPr>
          <w:szCs w:val="20"/>
        </w:rPr>
      </w:pPr>
      <w:r>
        <w:rPr>
          <w:szCs w:val="20"/>
        </w:rPr>
        <w:t>A review of the ANR-Greensburg and PEPL-Mullinville interconnects was completed and forwarded to Marketing.</w:t>
      </w:r>
    </w:p>
    <w:p>
      <w:pPr>
        <w:pStyle w:val="Normal"/>
        <w:jc w:val="both"/>
        <w:rPr>
          <w:szCs w:val="20"/>
        </w:rPr>
      </w:pPr>
      <w:r>
        <w:rPr>
          <w:szCs w:val="20"/>
        </w:rPr>
      </w:r>
    </w:p>
    <w:p>
      <w:pPr>
        <w:pStyle w:val="Normal"/>
        <w:jc w:val="both"/>
        <w:rPr>
          <w:b/>
          <w:bCs/>
          <w:szCs w:val="20"/>
        </w:rPr>
      </w:pPr>
      <w:r>
        <w:rPr>
          <w:b/>
          <w:bCs/>
          <w:szCs w:val="20"/>
        </w:rPr>
      </w:r>
    </w:p>
    <w:p>
      <w:pPr>
        <w:pStyle w:val="Normal"/>
        <w:jc w:val="both"/>
        <w:rPr>
          <w:szCs w:val="20"/>
        </w:rPr>
      </w:pPr>
      <w:r>
        <w:rPr>
          <w:b/>
          <w:bCs/>
          <w:szCs w:val="20"/>
        </w:rPr>
        <w:t>Sublette TBS</w:t>
      </w:r>
    </w:p>
    <w:p>
      <w:pPr>
        <w:pStyle w:val="Normal"/>
        <w:jc w:val="both"/>
        <w:rPr>
          <w:szCs w:val="20"/>
        </w:rPr>
      </w:pPr>
      <w:r>
        <w:rPr>
          <w:szCs w:val="20"/>
        </w:rPr>
        <w:t>An analysis of the Sublette TBS and branch lines for a possible sale to Peoples Natural Gas was forwarded to Marketing.</w:t>
      </w:r>
    </w:p>
    <w:p>
      <w:pPr>
        <w:pStyle w:val="Normal"/>
        <w:jc w:val="both"/>
        <w:rPr>
          <w:b/>
          <w:bCs/>
          <w:szCs w:val="20"/>
        </w:rPr>
      </w:pPr>
      <w:r>
        <w:rPr>
          <w:b/>
          <w:bCs/>
          <w:szCs w:val="20"/>
        </w:rPr>
      </w:r>
    </w:p>
    <w:p>
      <w:pPr>
        <w:pStyle w:val="Normal"/>
        <w:spacing w:lineRule="atLeast" w:line="240"/>
        <w:jc w:val="both"/>
        <w:rPr/>
      </w:pPr>
      <w:r>
        <w:rPr>
          <w:b/>
          <w:bCs/>
          <w:szCs w:val="20"/>
        </w:rPr>
        <w:t>**</w:t>
      </w:r>
      <w:r>
        <w:rPr>
          <w:b/>
          <w:bCs/>
          <w:color w:val="000000"/>
          <w:szCs w:val="20"/>
        </w:rPr>
        <w:t>Arlington Line (New Lisbon Branch Line) Failure</w:t>
      </w:r>
    </w:p>
    <w:p>
      <w:pPr>
        <w:pStyle w:val="Normal"/>
        <w:jc w:val="both"/>
        <w:rPr/>
      </w:pPr>
      <w:r>
        <w:rPr>
          <w:color w:val="000000"/>
          <w:szCs w:val="20"/>
        </w:rPr>
        <w:t xml:space="preserve">On Thursday 6/14 at approximately 5:30 pm the Poynette TBS was hit by lightening and it traveled approximately 1/2 mile upstream on the 4" pipe and went to ground.  This resulted in a small leak and fire (about 15' high) in a field near the highway.  The Emergency Response Center was notified at about 6 PM and we were paged to support the resolution of the problem.  The delay in the call to the ERC was due to the call first being made to Reliant Energy, who directed them to contact us.  We made estimates of the time that the TBS's could survive on line pack, including the gas loss to the fire, and supported the field team efforts on dispatch of bottle trucks, location of potential block valves and staff efforts to make the necessary repairs.  </w:t>
      </w:r>
      <w:r>
        <w:rPr>
          <w:szCs w:val="20"/>
        </w:rPr>
        <w:t>A block valve was shut approximately 8 miles upstream of the fire and the pressure was then allowed to bleed down.  Bottle trucks arrived and were connected to the Poynette and Arlington TBS's at approximately 3 AM on June 15th.  The line was blown down at 8:00 AM, excavated, and repaired with a wrap-around.  It was back in-service approximately 1:00 PM.  There was no service interruption of the customers. Our biggest problem was at the start of the situation the Omaha LAN was down.  We contacted the Help desk and they had the system back in operation by about 8 PM.</w:t>
      </w:r>
    </w:p>
    <w:p>
      <w:pPr>
        <w:pStyle w:val="Normal"/>
        <w:spacing w:lineRule="atLeast" w:line="240"/>
        <w:jc w:val="both"/>
        <w:rPr>
          <w:color w:val="000000"/>
          <w:szCs w:val="20"/>
        </w:rPr>
      </w:pPr>
      <w:r>
        <w:rPr>
          <w:color w:val="000000"/>
          <w:szCs w:val="20"/>
        </w:rPr>
      </w:r>
    </w:p>
    <w:p>
      <w:pPr>
        <w:pStyle w:val="Heading3"/>
        <w:ind w:hanging="0" w:start="0"/>
        <w:rPr>
          <w:color w:val="000000"/>
          <w:sz w:val="24"/>
          <w:szCs w:val="20"/>
          <w:u w:val="none"/>
        </w:rPr>
      </w:pPr>
      <w:r>
        <w:rPr>
          <w:color w:val="000000"/>
          <w:sz w:val="24"/>
          <w:szCs w:val="20"/>
          <w:u w:val="none"/>
        </w:rPr>
        <w:t>**Project Cold 2000</w:t>
      </w:r>
    </w:p>
    <w:p>
      <w:pPr>
        <w:pStyle w:val="Normal"/>
        <w:jc w:val="both"/>
        <w:rPr>
          <w:szCs w:val="20"/>
        </w:rPr>
      </w:pPr>
      <w:r>
        <w:rPr>
          <w:szCs w:val="20"/>
        </w:rPr>
        <w:t>Completed the first pass of the summary/conclusions of the analysis of the hourly data.  The information has been reviewed with the team and discussed the criteria for the 16 vs. 20-hour recommendations.  These will be included in the summary and reviewed with the team at the next meeting.</w:t>
      </w:r>
    </w:p>
    <w:p>
      <w:pPr>
        <w:pStyle w:val="Normal"/>
        <w:jc w:val="both"/>
        <w:rPr>
          <w:szCs w:val="20"/>
        </w:rPr>
      </w:pPr>
      <w:r>
        <w:rPr>
          <w:szCs w:val="20"/>
        </w:rPr>
      </w:r>
    </w:p>
    <w:p>
      <w:pPr>
        <w:pStyle w:val="Normal"/>
        <w:spacing w:lineRule="atLeast" w:line="240"/>
        <w:jc w:val="both"/>
        <w:rPr>
          <w:b/>
          <w:bCs/>
          <w:color w:val="000000"/>
          <w:szCs w:val="20"/>
        </w:rPr>
      </w:pPr>
      <w:r>
        <w:rPr>
          <w:b/>
          <w:bCs/>
          <w:color w:val="000000"/>
          <w:szCs w:val="20"/>
        </w:rPr>
        <w:t>Denison Ethanol</w:t>
      </w:r>
    </w:p>
    <w:p>
      <w:pPr>
        <w:pStyle w:val="Normal"/>
        <w:spacing w:lineRule="atLeast" w:line="240"/>
        <w:jc w:val="both"/>
        <w:rPr>
          <w:color w:val="000000"/>
          <w:szCs w:val="20"/>
        </w:rPr>
      </w:pPr>
      <w:r>
        <w:rPr>
          <w:color w:val="000000"/>
          <w:szCs w:val="20"/>
        </w:rPr>
        <w:t>Provided estimate to Marketing to supply either Firm or IT service for potential new ethanol plant at existing Denison TBS.  Plant would require a max flow of 6,500 mcf/day at a 125 psig delivery pressure.  Also, provided an additional adder for flow control.</w:t>
      </w:r>
    </w:p>
    <w:p>
      <w:pPr>
        <w:pStyle w:val="Normal"/>
        <w:jc w:val="both"/>
        <w:rPr>
          <w:color w:val="000000"/>
          <w:szCs w:val="20"/>
          <w:u w:val="single"/>
        </w:rPr>
      </w:pPr>
      <w:r>
        <w:rPr>
          <w:color w:val="000000"/>
          <w:szCs w:val="20"/>
          <w:u w:val="single"/>
        </w:rPr>
      </w:r>
    </w:p>
    <w:p>
      <w:pPr>
        <w:pStyle w:val="Normal"/>
        <w:jc w:val="both"/>
        <w:rPr>
          <w:u w:val="single"/>
        </w:rPr>
      </w:pPr>
      <w:r>
        <w:rPr>
          <w:u w:val="single"/>
        </w:rPr>
      </w:r>
    </w:p>
    <w:p>
      <w:pPr>
        <w:pStyle w:val="Heading9"/>
        <w:ind w:hanging="0" w:start="0"/>
        <w:rPr>
          <w:b/>
          <w:bCs/>
          <w:szCs w:val="20"/>
        </w:rPr>
      </w:pPr>
      <w:r>
        <w:rPr>
          <w:b/>
          <w:bCs/>
        </w:rPr>
        <w:t>NBPL &amp; MGT</w:t>
      </w:r>
    </w:p>
    <w:p>
      <w:pPr>
        <w:pStyle w:val="Normal"/>
        <w:jc w:val="both"/>
        <w:rPr>
          <w:b/>
          <w:bCs/>
          <w:szCs w:val="20"/>
        </w:rPr>
      </w:pPr>
      <w:r>
        <w:rPr>
          <w:b/>
          <w:bCs/>
          <w:szCs w:val="20"/>
        </w:rPr>
      </w:r>
    </w:p>
    <w:p>
      <w:pPr>
        <w:pStyle w:val="Normal"/>
        <w:jc w:val="both"/>
        <w:rPr>
          <w:szCs w:val="20"/>
        </w:rPr>
      </w:pPr>
      <w:r>
        <w:rPr>
          <w:b/>
          <w:bCs/>
          <w:szCs w:val="20"/>
        </w:rPr>
        <w:t>Midwestern Gas Transmission</w:t>
      </w:r>
    </w:p>
    <w:p>
      <w:pPr>
        <w:pStyle w:val="Normal"/>
        <w:jc w:val="both"/>
        <w:rPr>
          <w:szCs w:val="20"/>
        </w:rPr>
      </w:pPr>
      <w:r>
        <w:rPr>
          <w:szCs w:val="20"/>
        </w:rPr>
        <w:t xml:space="preserve">Reviewed the MGT scenarios for moving volumes around on the north end of the Midwestern system with the Omaha Planning team and John Sturn of the Optimization team.   </w:t>
      </w:r>
    </w:p>
    <w:p>
      <w:pPr>
        <w:pStyle w:val="Normal"/>
        <w:spacing w:lineRule="atLeast" w:line="240"/>
        <w:jc w:val="both"/>
        <w:rPr>
          <w:color w:val="000000"/>
          <w:szCs w:val="20"/>
        </w:rPr>
      </w:pPr>
      <w:r>
        <w:rPr>
          <w:color w:val="000000"/>
          <w:szCs w:val="20"/>
        </w:rPr>
      </w:r>
    </w:p>
    <w:p>
      <w:pPr>
        <w:pStyle w:val="Normal"/>
        <w:jc w:val="both"/>
        <w:rPr>
          <w:szCs w:val="20"/>
        </w:rPr>
      </w:pPr>
      <w:r>
        <w:rPr>
          <w:b/>
          <w:bCs/>
          <w:szCs w:val="20"/>
        </w:rPr>
        <w:t>Midwestern Sigcorp Interconnect</w:t>
      </w:r>
    </w:p>
    <w:p>
      <w:pPr>
        <w:pStyle w:val="Normal"/>
        <w:jc w:val="both"/>
        <w:rPr>
          <w:szCs w:val="20"/>
        </w:rPr>
      </w:pPr>
      <w:r>
        <w:rPr>
          <w:szCs w:val="20"/>
        </w:rPr>
        <w:t>Released to E&amp;C for construction.  This is a new delivery point on Midwestern in Knox Co., Indiana.  The volume is 5 - 75 MMcf/d at a pressure of 650-900 psig.  The estimated cost is $700,000 (+/-30%.  ) This project has a proposed in-service of October 2001.</w:t>
      </w:r>
    </w:p>
    <w:p>
      <w:pPr>
        <w:pStyle w:val="Normal"/>
        <w:jc w:val="both"/>
        <w:rPr>
          <w:szCs w:val="20"/>
        </w:rPr>
      </w:pPr>
      <w:r>
        <w:rPr>
          <w:szCs w:val="20"/>
        </w:rPr>
      </w:r>
    </w:p>
    <w:p>
      <w:pPr>
        <w:pStyle w:val="Normal"/>
        <w:jc w:val="both"/>
        <w:rPr>
          <w:szCs w:val="20"/>
        </w:rPr>
      </w:pPr>
      <w:r>
        <w:rPr>
          <w:b/>
          <w:bCs/>
          <w:szCs w:val="20"/>
        </w:rPr>
        <w:t xml:space="preserve">**MGT Union Hill Interconnect </w:t>
      </w:r>
    </w:p>
    <w:p>
      <w:pPr>
        <w:pStyle w:val="Normal"/>
        <w:jc w:val="both"/>
        <w:rPr>
          <w:szCs w:val="20"/>
        </w:rPr>
      </w:pPr>
      <w:r>
        <w:rPr>
          <w:szCs w:val="20"/>
        </w:rPr>
        <w:t>Received a request for a facility and cost estimate to make this delivery point bi-directional.  The design volume is 300 MMcf/d at a pressure of 800 psig.</w:t>
      </w:r>
    </w:p>
    <w:p>
      <w:pPr>
        <w:pStyle w:val="Normal"/>
        <w:jc w:val="both"/>
        <w:rPr>
          <w:b/>
          <w:bCs/>
          <w:szCs w:val="20"/>
        </w:rPr>
      </w:pPr>
      <w:r>
        <w:rPr>
          <w:b/>
          <w:bCs/>
          <w:szCs w:val="20"/>
        </w:rPr>
      </w:r>
    </w:p>
    <w:p>
      <w:pPr>
        <w:pStyle w:val="Normal"/>
        <w:jc w:val="both"/>
        <w:rPr>
          <w:b/>
          <w:bCs/>
          <w:szCs w:val="20"/>
        </w:rPr>
      </w:pPr>
      <w:r>
        <w:rPr>
          <w:b/>
          <w:bCs/>
          <w:szCs w:val="20"/>
        </w:rPr>
        <w:t>NBPL Hutchinson Interconnect</w:t>
      </w:r>
    </w:p>
    <w:p>
      <w:pPr>
        <w:pStyle w:val="Normal"/>
        <w:jc w:val="both"/>
        <w:rPr>
          <w:szCs w:val="20"/>
        </w:rPr>
      </w:pPr>
      <w:r>
        <w:rPr>
          <w:szCs w:val="20"/>
        </w:rPr>
        <w:t>Provided NPNG Marketing with the incremental cost to install an ultrasonic meter instead of a turbine meter for this delivery.</w:t>
      </w:r>
    </w:p>
    <w:p>
      <w:pPr>
        <w:pStyle w:val="Normal"/>
        <w:spacing w:lineRule="atLeast" w:line="240"/>
        <w:jc w:val="both"/>
        <w:rPr>
          <w:color w:val="000000"/>
          <w:szCs w:val="20"/>
        </w:rPr>
      </w:pPr>
      <w:r>
        <w:rPr>
          <w:color w:val="000000"/>
          <w:szCs w:val="20"/>
        </w:rPr>
      </w:r>
    </w:p>
    <w:p>
      <w:pPr>
        <w:pStyle w:val="Normal"/>
        <w:jc w:val="both"/>
        <w:rPr>
          <w:b/>
          <w:bCs/>
          <w:szCs w:val="20"/>
        </w:rPr>
      </w:pPr>
      <w:r>
        <w:rPr>
          <w:b/>
          <w:bCs/>
          <w:szCs w:val="20"/>
        </w:rPr>
        <w:t>Maintenance Outages</w:t>
      </w:r>
    </w:p>
    <w:p>
      <w:pPr>
        <w:pStyle w:val="Normal"/>
        <w:jc w:val="both"/>
        <w:rPr>
          <w:szCs w:val="20"/>
        </w:rPr>
      </w:pPr>
      <w:r>
        <w:rPr>
          <w:szCs w:val="20"/>
        </w:rPr>
        <w:t xml:space="preserve">Completed summaries for the maintenance outages at the Bristow, Ackley and Conrad TBS stations.  The summaries outline the bottle truck duration, line pack analysis and purge time for each of the stations depending on the flow rate. </w:t>
      </w:r>
    </w:p>
    <w:p>
      <w:pPr>
        <w:pStyle w:val="Normal"/>
        <w:jc w:val="both"/>
        <w:rPr>
          <w:szCs w:val="20"/>
        </w:rPr>
      </w:pPr>
      <w:r>
        <w:rPr>
          <w:szCs w:val="20"/>
        </w:rPr>
      </w:r>
    </w:p>
    <w:p>
      <w:pPr>
        <w:pStyle w:val="Heading6"/>
        <w:ind w:hanging="0" w:start="0"/>
        <w:rPr>
          <w:u w:val="single"/>
        </w:rPr>
      </w:pPr>
      <w:r>
        <w:rPr>
          <w:u w:val="single"/>
        </w:rPr>
        <w:t>Other</w:t>
      </w:r>
    </w:p>
    <w:p>
      <w:pPr>
        <w:pStyle w:val="Heading7"/>
        <w:ind w:hanging="0" w:start="0"/>
        <w:rPr>
          <w:u w:val="single"/>
        </w:rPr>
      </w:pPr>
      <w:r>
        <w:rPr>
          <w:u w:val="single"/>
        </w:rPr>
      </w:r>
    </w:p>
    <w:p>
      <w:pPr>
        <w:pStyle w:val="Heading7"/>
        <w:ind w:hanging="0" w:start="0"/>
        <w:rPr/>
      </w:pPr>
      <w:r>
        <w:rPr/>
        <w:t>Staffing</w:t>
      </w:r>
    </w:p>
    <w:p>
      <w:pPr>
        <w:pStyle w:val="Normal"/>
        <w:jc w:val="both"/>
        <w:rPr>
          <w:rFonts w:cs="Arial"/>
          <w:szCs w:val="20"/>
        </w:rPr>
      </w:pPr>
      <w:r>
        <w:rPr>
          <w:rFonts w:cs="Arial"/>
          <w:szCs w:val="20"/>
        </w:rPr>
        <w:t xml:space="preserve">Planning completed the interview process and submitted a proposed action plan to management for the hiring of a planning engineer.  </w:t>
      </w:r>
    </w:p>
    <w:p>
      <w:pPr>
        <w:pStyle w:val="Normal"/>
        <w:jc w:val="both"/>
        <w:rPr>
          <w:rFonts w:cs="Arial"/>
          <w:szCs w:val="20"/>
        </w:rPr>
      </w:pPr>
      <w:r>
        <w:rPr>
          <w:rFonts w:cs="Arial"/>
          <w:szCs w:val="20"/>
        </w:rPr>
      </w:r>
    </w:p>
    <w:p>
      <w:pPr>
        <w:pStyle w:val="Normal"/>
        <w:autoSpaceDE w:val="false"/>
        <w:rPr>
          <w:b/>
          <w:bCs/>
          <w:color w:val="000000"/>
          <w:szCs w:val="20"/>
        </w:rPr>
      </w:pPr>
      <w:r>
        <w:rPr>
          <w:b/>
          <w:bCs/>
          <w:color w:val="000000"/>
          <w:szCs w:val="20"/>
        </w:rPr>
        <w:t>Houston Planning Emergency Response Plan</w:t>
      </w:r>
    </w:p>
    <w:p>
      <w:pPr>
        <w:pStyle w:val="Normal"/>
        <w:autoSpaceDE w:val="false"/>
        <w:rPr>
          <w:color w:val="000000"/>
          <w:szCs w:val="20"/>
        </w:rPr>
      </w:pPr>
      <w:r>
        <w:rPr>
          <w:color w:val="000000"/>
          <w:szCs w:val="20"/>
        </w:rPr>
        <w:t>Developing an improved process that will enable the Houston Planning team to provide a quicker (from remote location) response during a pipeline emergency.  The procedure developed by the Omaha Planning team is being used a template.</w:t>
      </w:r>
    </w:p>
    <w:p>
      <w:pPr>
        <w:pStyle w:val="Normal"/>
        <w:rPr>
          <w:color w:val="000000"/>
          <w:szCs w:val="20"/>
        </w:rPr>
      </w:pPr>
      <w:r>
        <w:rPr>
          <w:color w:val="000000"/>
          <w:szCs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numFmt w:val="bullet"/>
      <w:lvlText w:val="-"/>
      <w:lvlJc w:val="start"/>
      <w:pPr>
        <w:tabs>
          <w:tab w:val="num" w:pos="720"/>
        </w:tabs>
        <w:ind w:start="720" w:hanging="360"/>
      </w:pPr>
      <w:rPr>
        <w:rFonts w:ascii="Times New Roman" w:hAnsi="Times New Roman" w:cs="Times New Roman" w:hint="default"/>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sz w:val="32"/>
    </w:rPr>
  </w:style>
  <w:style w:type="paragraph" w:styleId="Heading2">
    <w:name w:val="heading 2"/>
    <w:basedOn w:val="Normal"/>
    <w:next w:val="Normal"/>
    <w:qFormat/>
    <w:pPr>
      <w:keepNext w:val="true"/>
      <w:numPr>
        <w:ilvl w:val="1"/>
        <w:numId w:val="1"/>
      </w:numPr>
      <w:autoSpaceDE w:val="false"/>
      <w:outlineLvl w:val="1"/>
    </w:pPr>
    <w:rPr>
      <w:b/>
      <w:bCs/>
      <w:i/>
      <w:iCs/>
      <w:color w:val="0000FF"/>
      <w:sz w:val="28"/>
      <w:szCs w:val="28"/>
      <w:u w:val="single"/>
    </w:rPr>
  </w:style>
  <w:style w:type="paragraph" w:styleId="Heading3">
    <w:name w:val="heading 3"/>
    <w:basedOn w:val="Normal"/>
    <w:next w:val="Normal"/>
    <w:qFormat/>
    <w:pPr>
      <w:keepNext w:val="true"/>
      <w:numPr>
        <w:ilvl w:val="2"/>
        <w:numId w:val="1"/>
      </w:numPr>
      <w:autoSpaceDE w:val="false"/>
      <w:spacing w:lineRule="atLeast" w:line="240"/>
      <w:jc w:val="both"/>
      <w:outlineLvl w:val="2"/>
    </w:pPr>
    <w:rPr>
      <w:b/>
      <w:bCs/>
      <w:color w:val="0000FF"/>
      <w:sz w:val="28"/>
      <w:szCs w:val="28"/>
      <w:u w:val="single"/>
    </w:rPr>
  </w:style>
  <w:style w:type="paragraph" w:styleId="Heading4">
    <w:name w:val="heading 4"/>
    <w:basedOn w:val="Normal"/>
    <w:next w:val="Normal"/>
    <w:qFormat/>
    <w:pPr>
      <w:keepNext w:val="true"/>
      <w:numPr>
        <w:ilvl w:val="3"/>
        <w:numId w:val="1"/>
      </w:numPr>
      <w:autoSpaceDE w:val="false"/>
      <w:outlineLvl w:val="3"/>
    </w:pPr>
    <w:rPr>
      <w:b/>
      <w:bCs/>
      <w:color w:val="0000FF"/>
      <w:sz w:val="28"/>
      <w:szCs w:val="28"/>
      <w:u w:val="single"/>
    </w:rPr>
  </w:style>
  <w:style w:type="paragraph" w:styleId="Heading5">
    <w:name w:val="heading 5"/>
    <w:basedOn w:val="Normal"/>
    <w:next w:val="Normal"/>
    <w:qFormat/>
    <w:pPr>
      <w:keepNext w:val="true"/>
      <w:numPr>
        <w:ilvl w:val="4"/>
        <w:numId w:val="1"/>
      </w:numPr>
      <w:outlineLvl w:val="4"/>
    </w:pPr>
    <w:rPr>
      <w:rFonts w:cs="Arial"/>
      <w:b/>
      <w:bCs/>
      <w:color w:val="0000FF"/>
      <w:sz w:val="32"/>
      <w:szCs w:val="28"/>
      <w:u w:val="single"/>
    </w:rPr>
  </w:style>
  <w:style w:type="paragraph" w:styleId="Heading6">
    <w:name w:val="heading 6"/>
    <w:basedOn w:val="Normal"/>
    <w:next w:val="Normal"/>
    <w:qFormat/>
    <w:pPr>
      <w:keepNext w:val="true"/>
      <w:numPr>
        <w:ilvl w:val="5"/>
        <w:numId w:val="1"/>
      </w:numPr>
      <w:jc w:val="both"/>
      <w:outlineLvl w:val="5"/>
    </w:pPr>
    <w:rPr>
      <w:rFonts w:cs="Arial"/>
      <w:b/>
      <w:bCs/>
      <w:color w:val="3366FF"/>
      <w:szCs w:val="20"/>
    </w:rPr>
  </w:style>
  <w:style w:type="paragraph" w:styleId="Heading7">
    <w:name w:val="heading 7"/>
    <w:basedOn w:val="Normal"/>
    <w:next w:val="Normal"/>
    <w:qFormat/>
    <w:pPr>
      <w:keepNext w:val="true"/>
      <w:numPr>
        <w:ilvl w:val="6"/>
        <w:numId w:val="1"/>
      </w:numPr>
      <w:jc w:val="both"/>
      <w:outlineLvl w:val="6"/>
    </w:pPr>
    <w:rPr>
      <w:rFonts w:cs="Arial"/>
      <w:b/>
      <w:bCs/>
      <w:szCs w:val="20"/>
    </w:rPr>
  </w:style>
  <w:style w:type="paragraph" w:styleId="Heading8">
    <w:name w:val="heading 8"/>
    <w:basedOn w:val="Normal"/>
    <w:next w:val="Normal"/>
    <w:qFormat/>
    <w:pPr>
      <w:keepNext w:val="true"/>
      <w:numPr>
        <w:ilvl w:val="7"/>
        <w:numId w:val="1"/>
      </w:numPr>
      <w:jc w:val="both"/>
      <w:outlineLvl w:val="7"/>
    </w:pPr>
    <w:rPr>
      <w:rFonts w:cs="Arial"/>
      <w:b/>
      <w:bCs/>
      <w:color w:val="3366FF"/>
      <w:sz w:val="28"/>
      <w:szCs w:val="20"/>
    </w:rPr>
  </w:style>
  <w:style w:type="paragraph" w:styleId="Heading9">
    <w:name w:val="heading 9"/>
    <w:basedOn w:val="Normal"/>
    <w:next w:val="Normal"/>
    <w:qFormat/>
    <w:pPr>
      <w:keepNext w:val="true"/>
      <w:numPr>
        <w:ilvl w:val="8"/>
        <w:numId w:val="1"/>
      </w:numPr>
      <w:jc w:val="both"/>
      <w:outlineLvl w:val="8"/>
    </w:pPr>
    <w:rPr>
      <w:color w:val="0000FF"/>
      <w:sz w:val="28"/>
      <w:u w:val="single"/>
    </w:rPr>
  </w:style>
  <w:style w:type="character" w:styleId="WW8Num1z0">
    <w:name w:val="WW8Num1z0"/>
    <w:qFormat/>
    <w:rPr>
      <w:rFonts w:ascii="Times New Roman" w:hAnsi="Times New Roman"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3780" w:leader="none"/>
      </w:tabs>
      <w:autoSpaceDE w:val="false"/>
    </w:pPr>
    <w:rPr>
      <w:color w:val="00000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2001-06-21T19:35:00Z</dcterms:created>
  <dc:creator>mgottsp</dc:creator>
  <dc:description/>
  <dc:language>en-CA</dc:language>
  <cp:lastModifiedBy>mgottsp</cp:lastModifiedBy>
  <cp:lastPrinted>2001-06-21T15:55:00Z</cp:lastPrinted>
  <dcterms:modified xsi:type="dcterms:W3CDTF">2001-06-21T19:35:00Z</dcterms:modified>
  <cp:revision>2</cp:revision>
  <dc:subject/>
  <dc:title>ETS Planning</dc:title>
</cp:coreProperties>
</file>