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Arial" w:hAnsi="Arial" w:cs="Arial"/>
          <w:b/>
          <w:bCs/>
          <w:color w:val="0000FF"/>
        </w:rPr>
      </w:pPr>
      <w:r>
        <w:rPr>
          <w:rFonts w:cs="Arial" w:ascii="Arial" w:hAnsi="Arial"/>
          <w:b/>
          <w:bCs/>
          <w:color w:val="0000FF"/>
        </w:rPr>
        <w:t>ETS Planning Weekly Report</w:t>
      </w:r>
    </w:p>
    <w:p>
      <w:pPr>
        <w:pStyle w:val="Heading6"/>
        <w:ind w:hanging="0" w:start="0"/>
        <w:rPr>
          <w:rFonts w:ascii="Arial" w:hAnsi="Arial" w:cs="Arial"/>
          <w:sz w:val="20"/>
        </w:rPr>
      </w:pPr>
      <w:r>
        <w:rPr>
          <w:rFonts w:cs="Arial" w:ascii="Arial" w:hAnsi="Arial"/>
          <w:sz w:val="20"/>
        </w:rPr>
        <w:t>November 8 - 14, 2001</w:t>
      </w:r>
    </w:p>
    <w:p>
      <w:pPr>
        <w:pStyle w:val="Heading2"/>
        <w:spacing w:lineRule="atLeast" w:line="240"/>
        <w:ind w:hanging="0" w:start="0"/>
        <w:rPr>
          <w:rFonts w:ascii="Arial" w:hAnsi="Arial" w:cs="Arial"/>
          <w:b/>
          <w:bCs/>
          <w:color w:val="FF0000"/>
          <w:sz w:val="20"/>
          <w:szCs w:val="20"/>
        </w:rPr>
      </w:pPr>
      <w:r>
        <w:rPr>
          <w:rFonts w:cs="Arial"/>
          <w:b/>
          <w:bCs/>
          <w:color w:val="FF0000"/>
          <w:sz w:val="20"/>
          <w:szCs w:val="20"/>
        </w:rPr>
      </w:r>
    </w:p>
    <w:p>
      <w:pPr>
        <w:pStyle w:val="Normal"/>
        <w:autoSpaceDE w:val="false"/>
        <w:rPr>
          <w:rFonts w:ascii="Arial" w:hAnsi="Arial" w:cs="Arial"/>
          <w:b/>
          <w:bCs/>
          <w:color w:val="0000FF"/>
          <w:sz w:val="20"/>
        </w:rPr>
      </w:pPr>
      <w:r>
        <w:rPr>
          <w:rFonts w:cs="Arial" w:ascii="Arial" w:hAnsi="Arial"/>
          <w:b/>
          <w:bCs/>
          <w:color w:val="0000FF"/>
          <w:sz w:val="20"/>
        </w:rPr>
        <w:t>Omaha Planning Team</w:t>
      </w:r>
    </w:p>
    <w:p>
      <w:pPr>
        <w:pStyle w:val="Normal"/>
        <w:rPr>
          <w:rFonts w:ascii="Arial" w:hAnsi="Arial" w:cs="Arial"/>
          <w:b/>
          <w:bCs/>
          <w:color w:val="0000FF"/>
          <w:sz w:val="20"/>
          <w:u w:val="single"/>
        </w:rPr>
      </w:pPr>
      <w:r>
        <w:rPr>
          <w:rFonts w:cs="Arial" w:ascii="Arial" w:hAnsi="Arial"/>
          <w:b/>
          <w:bCs/>
          <w:color w:val="0000FF"/>
          <w:sz w:val="20"/>
          <w:u w:val="single"/>
        </w:rPr>
        <w:t>Northern Natural Gas, Northern Border Pipe Line &amp; Midwestern Gas Transmission</w:t>
      </w:r>
    </w:p>
    <w:p>
      <w:pPr>
        <w:pStyle w:val="Heading2"/>
        <w:ind w:hanging="0" w:start="0"/>
        <w:jc w:val="both"/>
        <w:rPr>
          <w:rFonts w:cs="Arial"/>
          <w:b/>
        </w:rPr>
      </w:pPr>
      <w:r>
        <w:rPr>
          <w:rFonts w:cs="Arial"/>
          <w:b/>
        </w:rPr>
        <w:t>**Legal Support</w:t>
      </w:r>
    </w:p>
    <w:p>
      <w:pPr>
        <w:pStyle w:val="Normal"/>
        <w:autoSpaceDE w:val="false"/>
        <w:jc w:val="both"/>
        <w:rPr>
          <w:rFonts w:ascii="Arial" w:hAnsi="Arial" w:cs="Arial"/>
          <w:sz w:val="20"/>
        </w:rPr>
      </w:pPr>
      <w:r>
        <w:rPr>
          <w:rFonts w:cs="Arial" w:ascii="Arial" w:hAnsi="Arial"/>
          <w:sz w:val="20"/>
        </w:rPr>
        <w:t>Provided analysis of total NNG pipeline system, splitting out "mainline pipe" from previously disclosed pipeline mileage figures.  An estimate of 33% was calculated and provided based on total mileage of pipe with diameters exceeding 20" totaling 29% and an allowance for additional mainline mileage with diameters less than 20".</w:t>
      </w:r>
    </w:p>
    <w:p>
      <w:pPr>
        <w:pStyle w:val="Normal"/>
        <w:autoSpaceDE w:val="false"/>
        <w:jc w:val="both"/>
        <w:rPr>
          <w:rFonts w:ascii="Arial" w:hAnsi="Arial" w:cs="Arial"/>
          <w:sz w:val="20"/>
        </w:rPr>
      </w:pPr>
      <w:r>
        <w:rPr>
          <w:rFonts w:cs="Arial" w:ascii="Arial" w:hAnsi="Arial"/>
          <w:sz w:val="20"/>
        </w:rPr>
      </w:r>
    </w:p>
    <w:p>
      <w:pPr>
        <w:pStyle w:val="Heading2"/>
        <w:ind w:hanging="0" w:start="0"/>
        <w:jc w:val="both"/>
        <w:rPr>
          <w:rFonts w:cs="Arial"/>
          <w:b/>
        </w:rPr>
      </w:pPr>
      <w:r>
        <w:rPr>
          <w:rFonts w:cs="Arial"/>
          <w:b/>
        </w:rPr>
        <w:t>CAS</w:t>
      </w:r>
    </w:p>
    <w:p>
      <w:pPr>
        <w:pStyle w:val="Normal"/>
        <w:autoSpaceDE w:val="false"/>
        <w:jc w:val="both"/>
        <w:rPr>
          <w:rFonts w:ascii="Arial" w:hAnsi="Arial" w:cs="Arial"/>
          <w:sz w:val="20"/>
        </w:rPr>
      </w:pPr>
      <w:r>
        <w:rPr>
          <w:rFonts w:cs="Arial" w:ascii="Arial" w:hAnsi="Arial"/>
          <w:sz w:val="20"/>
        </w:rPr>
        <w:t>Verification of "daily posting" access for additional Planners is in progress, to insure their user codes and passwords have been properly established, enabling them to back-up the new morning posting procedure.</w:t>
      </w:r>
    </w:p>
    <w:p>
      <w:pPr>
        <w:pStyle w:val="Normal"/>
        <w:autoSpaceDE w:val="false"/>
        <w:jc w:val="both"/>
        <w:rPr>
          <w:rFonts w:ascii="Arial" w:hAnsi="Arial" w:cs="Arial"/>
          <w:sz w:val="20"/>
        </w:rPr>
      </w:pPr>
      <w:r>
        <w:rPr>
          <w:rFonts w:cs="Arial" w:ascii="Arial" w:hAnsi="Arial"/>
          <w:sz w:val="20"/>
        </w:rPr>
      </w:r>
    </w:p>
    <w:p>
      <w:pPr>
        <w:pStyle w:val="Heading2"/>
        <w:ind w:hanging="0" w:start="0"/>
        <w:jc w:val="both"/>
        <w:rPr>
          <w:rFonts w:cs="Arial"/>
          <w:b/>
        </w:rPr>
      </w:pPr>
      <w:r>
        <w:rPr>
          <w:rFonts w:cs="Arial"/>
          <w:b/>
        </w:rPr>
        <w:t>South Dakota University - Brookings, South Dakota</w:t>
      </w:r>
    </w:p>
    <w:p>
      <w:pPr>
        <w:pStyle w:val="Normal"/>
        <w:autoSpaceDE w:val="false"/>
        <w:jc w:val="both"/>
        <w:rPr>
          <w:rFonts w:ascii="Arial" w:hAnsi="Arial" w:cs="Arial"/>
          <w:sz w:val="20"/>
        </w:rPr>
      </w:pPr>
      <w:r>
        <w:rPr>
          <w:rFonts w:cs="Arial" w:ascii="Arial" w:hAnsi="Arial"/>
          <w:sz w:val="20"/>
        </w:rPr>
        <w:t>Cost allocation by material, labor, and other provided to Marketing.  The total cost of the TBS "A" level estimate was $270,000.</w:t>
      </w:r>
    </w:p>
    <w:p>
      <w:pPr>
        <w:pStyle w:val="Normal"/>
        <w:autoSpaceDE w:val="false"/>
        <w:jc w:val="both"/>
        <w:rPr>
          <w:rFonts w:ascii="Arial" w:hAnsi="Arial" w:cs="Arial"/>
          <w:sz w:val="20"/>
        </w:rPr>
      </w:pPr>
      <w:r>
        <w:rPr>
          <w:rFonts w:cs="Arial" w:ascii="Arial" w:hAnsi="Arial"/>
          <w:sz w:val="20"/>
        </w:rPr>
      </w:r>
    </w:p>
    <w:p>
      <w:pPr>
        <w:pStyle w:val="Heading2"/>
        <w:ind w:hanging="0" w:start="0"/>
        <w:jc w:val="both"/>
        <w:rPr>
          <w:rFonts w:cs="Arial"/>
          <w:b/>
        </w:rPr>
      </w:pPr>
      <w:r>
        <w:rPr>
          <w:rFonts w:cs="Arial"/>
          <w:b/>
        </w:rPr>
        <w:t>Council Bluffs - #1 - Iowa</w:t>
      </w:r>
    </w:p>
    <w:p>
      <w:pPr>
        <w:pStyle w:val="Normal"/>
        <w:autoSpaceDE w:val="false"/>
        <w:jc w:val="both"/>
        <w:rPr>
          <w:rFonts w:ascii="Arial" w:hAnsi="Arial" w:cs="Arial"/>
          <w:sz w:val="20"/>
        </w:rPr>
      </w:pPr>
      <w:r>
        <w:rPr>
          <w:rFonts w:cs="Arial" w:ascii="Arial" w:hAnsi="Arial"/>
          <w:sz w:val="20"/>
        </w:rPr>
        <w:t>UtiliCorp is examining the possibility of a third party building a plant near Council Bluffs #1.  "A" level estimates to meet the 10,000 mcf/d incremental load were provided to Marketing for $300,000 for a high pressure TBS and minor piping modifications.  Additional examination continues on potential mainline costs.</w:t>
      </w:r>
    </w:p>
    <w:p>
      <w:pPr>
        <w:pStyle w:val="Normal"/>
        <w:autoSpaceDE w:val="false"/>
        <w:jc w:val="both"/>
        <w:rPr>
          <w:rFonts w:ascii="Arial" w:hAnsi="Arial" w:cs="Arial"/>
          <w:sz w:val="20"/>
        </w:rPr>
      </w:pPr>
      <w:r>
        <w:rPr>
          <w:rFonts w:cs="Arial" w:ascii="Arial" w:hAnsi="Arial"/>
          <w:sz w:val="20"/>
        </w:rPr>
      </w:r>
    </w:p>
    <w:p>
      <w:pPr>
        <w:pStyle w:val="Heading2"/>
        <w:ind w:hanging="0" w:start="0"/>
        <w:jc w:val="both"/>
        <w:rPr>
          <w:rFonts w:cs="Arial"/>
          <w:b/>
        </w:rPr>
      </w:pPr>
      <w:r>
        <w:rPr>
          <w:rFonts w:cs="Arial"/>
          <w:b/>
        </w:rPr>
        <w:t>**Project Max</w:t>
      </w:r>
    </w:p>
    <w:p>
      <w:pPr>
        <w:pStyle w:val="Normal"/>
        <w:autoSpaceDE w:val="false"/>
        <w:jc w:val="both"/>
        <w:rPr>
          <w:rFonts w:ascii="Arial" w:hAnsi="Arial" w:cs="Arial"/>
          <w:sz w:val="20"/>
        </w:rPr>
      </w:pPr>
      <w:r>
        <w:rPr>
          <w:rFonts w:cs="Arial" w:ascii="Arial" w:hAnsi="Arial"/>
          <w:sz w:val="20"/>
        </w:rPr>
        <w:t>Refining of the requirements and maximum capacity for the Demarc and TBPL requested receipts continues.  It appears that to meet the requested volumes we will need to add a new, approximate 4,000 horsepower unit at Beatrice.  This addition will increase the TBPL receipt and Beatrice North throughput capacity to maximum of approximately 2,180 MMSCFD with Demarc at 2,050 MMSCFD.   We are analyzing the requirements and configuration to receive up to 470 MMSCFD at TBPL along with any impact on the increased Beatrice mainline capacity.</w:t>
      </w:r>
    </w:p>
    <w:p>
      <w:pPr>
        <w:pStyle w:val="Normal"/>
        <w:autoSpaceDE w:val="false"/>
        <w:jc w:val="both"/>
        <w:rPr>
          <w:rFonts w:ascii="Arial" w:hAnsi="Arial" w:cs="Arial"/>
          <w:sz w:val="20"/>
        </w:rPr>
      </w:pPr>
      <w:r>
        <w:rPr>
          <w:rFonts w:cs="Arial" w:ascii="Arial" w:hAnsi="Arial"/>
          <w:sz w:val="20"/>
        </w:rPr>
      </w:r>
    </w:p>
    <w:p>
      <w:pPr>
        <w:pStyle w:val="Heading2"/>
        <w:ind w:hanging="0" w:start="0"/>
        <w:jc w:val="both"/>
        <w:rPr>
          <w:rFonts w:cs="Arial"/>
          <w:b/>
        </w:rPr>
      </w:pPr>
      <w:r>
        <w:rPr>
          <w:rFonts w:cs="Arial"/>
          <w:b/>
        </w:rPr>
        <w:t>Pine Lake Ethanol Plant</w:t>
      </w:r>
    </w:p>
    <w:p>
      <w:pPr>
        <w:pStyle w:val="Normal"/>
        <w:autoSpaceDE w:val="false"/>
        <w:jc w:val="both"/>
        <w:rPr>
          <w:rFonts w:ascii="Arial" w:hAnsi="Arial" w:cs="Arial"/>
          <w:sz w:val="20"/>
        </w:rPr>
      </w:pPr>
      <w:r>
        <w:rPr>
          <w:rFonts w:cs="Arial" w:ascii="Arial" w:hAnsi="Arial"/>
          <w:sz w:val="20"/>
        </w:rPr>
        <w:t xml:space="preserve">Analysis to provide 1,700 MMBTUD at 50 psig for a new ethanol plant to be located between Ackley and Steamboat Rock IA has been completed. The new service included a delivery point and approximately 5.6 miles of new line at an estimated cost of $1,475,000.  </w:t>
      </w:r>
    </w:p>
    <w:p>
      <w:pPr>
        <w:pStyle w:val="Heading2"/>
        <w:ind w:hanging="0" w:start="0"/>
        <w:jc w:val="both"/>
        <w:rPr>
          <w:rFonts w:ascii="Arial" w:hAnsi="Arial" w:cs="Arial"/>
          <w:bCs/>
          <w:sz w:val="20"/>
        </w:rPr>
      </w:pPr>
      <w:r>
        <w:rPr>
          <w:rFonts w:cs="Arial"/>
          <w:bCs/>
          <w:sz w:val="20"/>
        </w:rPr>
      </w:r>
    </w:p>
    <w:p>
      <w:pPr>
        <w:pStyle w:val="Normal"/>
        <w:autoSpaceDE w:val="false"/>
        <w:rPr>
          <w:rFonts w:ascii="Arial" w:hAnsi="Arial" w:cs="Arial"/>
          <w:sz w:val="20"/>
        </w:rPr>
      </w:pPr>
      <w:r>
        <w:rPr>
          <w:rFonts w:cs="Arial" w:ascii="Arial" w:hAnsi="Arial"/>
          <w:b/>
          <w:bCs/>
          <w:sz w:val="20"/>
        </w:rPr>
        <w:t>Data Acquisition</w:t>
      </w:r>
    </w:p>
    <w:p>
      <w:pPr>
        <w:pStyle w:val="Normal"/>
        <w:autoSpaceDE w:val="false"/>
        <w:jc w:val="both"/>
        <w:rPr>
          <w:rFonts w:ascii="Arial" w:hAnsi="Arial" w:cs="Arial"/>
          <w:sz w:val="20"/>
        </w:rPr>
      </w:pPr>
      <w:r>
        <w:rPr>
          <w:rFonts w:cs="Arial" w:ascii="Arial" w:hAnsi="Arial"/>
          <w:sz w:val="20"/>
        </w:rPr>
        <w:t>Assisted the Reg Affairs personnel on the collection of data in regards to compressors in the supply zone of the NNG system.  Reg Affairs wanted confirmation on select points on what facilities actually were in place, and if the facility had been sold - who had purchased the asset.</w:t>
      </w:r>
    </w:p>
    <w:p>
      <w:pPr>
        <w:pStyle w:val="Normal"/>
        <w:autoSpaceDE w:val="false"/>
        <w:jc w:val="both"/>
        <w:rPr>
          <w:rFonts w:ascii="Arial" w:hAnsi="Arial" w:cs="Arial"/>
          <w:sz w:val="20"/>
        </w:rPr>
      </w:pPr>
      <w:r>
        <w:rPr>
          <w:rFonts w:cs="Arial" w:ascii="Arial" w:hAnsi="Arial"/>
          <w:sz w:val="20"/>
        </w:rPr>
      </w:r>
    </w:p>
    <w:p>
      <w:pPr>
        <w:pStyle w:val="Normal"/>
        <w:autoSpaceDE w:val="false"/>
        <w:jc w:val="both"/>
        <w:rPr>
          <w:rFonts w:ascii="Arial" w:hAnsi="Arial" w:cs="Arial"/>
          <w:b/>
          <w:bCs/>
          <w:sz w:val="20"/>
        </w:rPr>
      </w:pPr>
      <w:r>
        <w:rPr>
          <w:rFonts w:cs="Arial" w:ascii="Arial" w:hAnsi="Arial"/>
          <w:b/>
          <w:bCs/>
          <w:sz w:val="20"/>
        </w:rPr>
        <w:t>**Winter Operations Meeting</w:t>
      </w:r>
    </w:p>
    <w:p>
      <w:pPr>
        <w:pStyle w:val="Normal"/>
        <w:autoSpaceDE w:val="false"/>
        <w:jc w:val="both"/>
        <w:rPr>
          <w:rFonts w:ascii="Arial" w:hAnsi="Arial" w:cs="Arial"/>
          <w:sz w:val="20"/>
        </w:rPr>
      </w:pPr>
      <w:r>
        <w:rPr>
          <w:rFonts w:cs="Arial" w:ascii="Arial" w:hAnsi="Arial"/>
          <w:sz w:val="20"/>
        </w:rPr>
        <w:t>A slide presentation to Gas Control has prepared for a presentation on 11/15/01.  Items included in the slide presentation are:</w:t>
      </w:r>
    </w:p>
    <w:p>
      <w:pPr>
        <w:pStyle w:val="Normal"/>
        <w:autoSpaceDE w:val="false"/>
        <w:jc w:val="both"/>
        <w:rPr>
          <w:rFonts w:ascii="Arial" w:hAnsi="Arial" w:cs="Arial"/>
          <w:sz w:val="20"/>
        </w:rPr>
      </w:pPr>
      <w:r>
        <w:rPr>
          <w:rFonts w:cs="Arial" w:ascii="Arial" w:hAnsi="Arial"/>
          <w:sz w:val="20"/>
        </w:rPr>
        <w:t>1) KOCH Project</w:t>
      </w:r>
    </w:p>
    <w:p>
      <w:pPr>
        <w:pStyle w:val="Normal"/>
        <w:autoSpaceDE w:val="false"/>
        <w:jc w:val="both"/>
        <w:rPr>
          <w:rFonts w:ascii="Arial" w:hAnsi="Arial" w:cs="Arial"/>
          <w:sz w:val="20"/>
        </w:rPr>
      </w:pPr>
      <w:r>
        <w:rPr>
          <w:rFonts w:cs="Arial" w:ascii="Arial" w:hAnsi="Arial"/>
          <w:sz w:val="20"/>
        </w:rPr>
        <w:t>2) Heartland Corn TBS</w:t>
      </w:r>
    </w:p>
    <w:p>
      <w:pPr>
        <w:pStyle w:val="Normal"/>
        <w:autoSpaceDE w:val="false"/>
        <w:jc w:val="both"/>
        <w:rPr>
          <w:rFonts w:ascii="Arial" w:hAnsi="Arial" w:cs="Arial"/>
          <w:sz w:val="20"/>
        </w:rPr>
      </w:pPr>
      <w:r>
        <w:rPr>
          <w:rFonts w:cs="Arial" w:ascii="Arial" w:hAnsi="Arial"/>
          <w:sz w:val="20"/>
        </w:rPr>
        <w:t>3) Hastings Branch Line Sale</w:t>
      </w:r>
    </w:p>
    <w:p>
      <w:pPr>
        <w:pStyle w:val="Normal"/>
        <w:autoSpaceDE w:val="false"/>
        <w:jc w:val="both"/>
        <w:rPr>
          <w:rFonts w:ascii="Arial" w:hAnsi="Arial" w:cs="Arial"/>
          <w:sz w:val="20"/>
        </w:rPr>
      </w:pPr>
      <w:r>
        <w:rPr>
          <w:rFonts w:cs="Arial" w:ascii="Arial" w:hAnsi="Arial"/>
          <w:sz w:val="20"/>
        </w:rPr>
        <w:t>4) Pony Express - Tescott Interconnect</w:t>
      </w:r>
    </w:p>
    <w:p>
      <w:pPr>
        <w:pStyle w:val="Normal"/>
        <w:autoSpaceDE w:val="false"/>
        <w:jc w:val="both"/>
        <w:rPr>
          <w:rFonts w:ascii="Arial" w:hAnsi="Arial" w:cs="Arial"/>
          <w:sz w:val="20"/>
        </w:rPr>
      </w:pPr>
      <w:r>
        <w:rPr>
          <w:rFonts w:cs="Arial" w:ascii="Arial" w:hAnsi="Arial"/>
          <w:sz w:val="20"/>
        </w:rPr>
        <w:t>5) Beaver to Bushton Line Utilization</w:t>
      </w:r>
    </w:p>
    <w:p>
      <w:pPr>
        <w:pStyle w:val="Normal"/>
        <w:autoSpaceDE w:val="false"/>
        <w:jc w:val="both"/>
        <w:rPr>
          <w:rFonts w:ascii="Arial" w:hAnsi="Arial" w:cs="Arial"/>
          <w:sz w:val="20"/>
        </w:rPr>
      </w:pPr>
      <w:r>
        <w:rPr>
          <w:rFonts w:cs="Arial" w:ascii="Arial" w:hAnsi="Arial"/>
          <w:sz w:val="20"/>
        </w:rPr>
        <w:t>6) Trailblazer-Beatrice Interconnect</w:t>
      </w:r>
    </w:p>
    <w:p>
      <w:pPr>
        <w:pStyle w:val="Normal"/>
        <w:autoSpaceDE w:val="false"/>
        <w:jc w:val="both"/>
        <w:rPr>
          <w:rFonts w:ascii="Arial" w:hAnsi="Arial" w:cs="Arial"/>
          <w:sz w:val="20"/>
        </w:rPr>
      </w:pPr>
      <w:r>
        <w:rPr>
          <w:rFonts w:cs="Arial" w:ascii="Arial" w:hAnsi="Arial"/>
          <w:sz w:val="20"/>
        </w:rPr>
      </w:r>
    </w:p>
    <w:p>
      <w:pPr>
        <w:pStyle w:val="Heading3"/>
        <w:ind w:hanging="0" w:start="0"/>
        <w:rPr>
          <w:rFonts w:ascii="Arial" w:hAnsi="Arial" w:cs="Arial"/>
          <w:b/>
          <w:bCs/>
          <w:color w:val="0000FF"/>
          <w:sz w:val="20"/>
        </w:rPr>
      </w:pPr>
      <w:r>
        <w:rPr>
          <w:rFonts w:cs="Arial" w:ascii="Arial" w:hAnsi="Arial"/>
          <w:b/>
          <w:bCs/>
          <w:color w:val="0000FF"/>
          <w:sz w:val="20"/>
        </w:rPr>
      </w:r>
    </w:p>
    <w:p>
      <w:pPr>
        <w:pStyle w:val="Heading3"/>
        <w:ind w:hanging="0" w:start="0"/>
        <w:rPr>
          <w:rFonts w:ascii="Arial" w:hAnsi="Arial" w:cs="Arial"/>
          <w:b/>
          <w:bCs/>
          <w:color w:val="0000FF"/>
        </w:rPr>
      </w:pPr>
      <w:r>
        <w:rPr>
          <w:rFonts w:cs="Arial" w:ascii="Arial" w:hAnsi="Arial"/>
          <w:b/>
          <w:bCs/>
          <w:color w:val="0000FF"/>
        </w:rPr>
      </w:r>
    </w:p>
    <w:p>
      <w:pPr>
        <w:pStyle w:val="Heading3"/>
        <w:ind w:hanging="0" w:start="0"/>
        <w:rPr>
          <w:rFonts w:ascii="Arial" w:hAnsi="Arial" w:cs="Arial"/>
          <w:b/>
          <w:bCs/>
          <w:color w:val="0000FF"/>
        </w:rPr>
      </w:pPr>
      <w:r>
        <w:rPr>
          <w:rFonts w:cs="Arial" w:ascii="Arial" w:hAnsi="Arial"/>
          <w:b/>
          <w:bCs/>
          <w:color w:val="0000FF"/>
        </w:rPr>
        <w:t>HOUSTON PLANNING TEAM</w:t>
      </w:r>
    </w:p>
    <w:p>
      <w:pPr>
        <w:pStyle w:val="Heading2"/>
        <w:ind w:hanging="0" w:start="0"/>
        <w:rPr>
          <w:rFonts w:cs="Arial"/>
          <w:color w:val="0000FF"/>
          <w:szCs w:val="20"/>
          <w:u w:val="single"/>
        </w:rPr>
      </w:pPr>
      <w:r>
        <w:rPr>
          <w:rFonts w:cs="Arial"/>
          <w:b/>
          <w:bCs/>
          <w:color w:val="0000FF"/>
          <w:szCs w:val="28"/>
          <w:u w:val="single"/>
        </w:rPr>
        <w:t>Florida Gas Transmission, Transwestern Pipeline, NNG South</w:t>
      </w:r>
      <w:r>
        <w:rPr>
          <w:rFonts w:cs="Arial"/>
          <w:color w:val="0000FF"/>
          <w:szCs w:val="28"/>
          <w:u w:val="single"/>
        </w:rPr>
        <w:t xml:space="preserve"> </w:t>
      </w:r>
      <w:r>
        <w:rPr>
          <w:rFonts w:cs="Arial"/>
          <w:b/>
          <w:bCs/>
          <w:color w:val="0000FF"/>
          <w:szCs w:val="28"/>
          <w:u w:val="single"/>
        </w:rPr>
        <w:t>&amp; EOTT</w:t>
      </w:r>
    </w:p>
    <w:p>
      <w:pPr>
        <w:pStyle w:val="Normal"/>
        <w:autoSpaceDE w:val="false"/>
        <w:rPr>
          <w:rFonts w:ascii="Arial" w:hAnsi="Arial" w:cs="Arial"/>
          <w:b/>
          <w:bCs/>
          <w:color w:val="0000FF"/>
          <w:sz w:val="20"/>
          <w:szCs w:val="20"/>
          <w:u w:val="single"/>
        </w:rPr>
      </w:pPr>
      <w:r>
        <w:rPr>
          <w:rFonts w:cs="Arial" w:ascii="Arial" w:hAnsi="Arial"/>
          <w:b/>
          <w:bCs/>
          <w:color w:val="0000FF"/>
          <w:sz w:val="20"/>
          <w:szCs w:val="20"/>
          <w:u w:val="single"/>
        </w:rPr>
      </w:r>
    </w:p>
    <w:p>
      <w:pPr>
        <w:pStyle w:val="Normal"/>
        <w:autoSpaceDE w:val="false"/>
        <w:rPr>
          <w:rFonts w:ascii="Arial" w:hAnsi="Arial" w:cs="Arial"/>
          <w:b/>
          <w:bCs/>
          <w:sz w:val="20"/>
        </w:rPr>
      </w:pPr>
      <w:r>
        <w:rPr>
          <w:rFonts w:cs="Arial" w:ascii="Arial" w:hAnsi="Arial"/>
          <w:b/>
          <w:bCs/>
          <w:sz w:val="20"/>
        </w:rPr>
        <w:t>Red Rock Outage</w:t>
      </w:r>
    </w:p>
    <w:p>
      <w:pPr>
        <w:pStyle w:val="Normal"/>
        <w:autoSpaceDE w:val="false"/>
        <w:rPr>
          <w:rFonts w:ascii="Arial" w:hAnsi="Arial" w:cs="Arial"/>
          <w:sz w:val="20"/>
        </w:rPr>
      </w:pPr>
      <w:r>
        <w:rPr>
          <w:rFonts w:cs="Arial" w:ascii="Arial" w:hAnsi="Arial"/>
          <w:sz w:val="20"/>
        </w:rPr>
        <w:t xml:space="preserve">Planning provided scenarios to determine what units were required during the Station #2 tie-in outage.  Recommendation was given to Gas Control and Field Operations, and the final determination was to take 15 miles of mainline out of service and blow the line down versus using a stopple and by-pass. Planning continues to work with Gas Control to maintain as much throughput as possible.  Throughput was cut on Nov. 14 to 920 MMcf/d from 970 MMcf/d.  </w:t>
      </w:r>
    </w:p>
    <w:p>
      <w:pPr>
        <w:pStyle w:val="Normal"/>
        <w:autoSpaceDE w:val="false"/>
        <w:rPr>
          <w:rFonts w:ascii="Arial" w:hAnsi="Arial" w:cs="Arial"/>
          <w:sz w:val="20"/>
        </w:rPr>
      </w:pPr>
      <w:r>
        <w:rPr>
          <w:rFonts w:cs="Arial" w:ascii="Arial" w:hAnsi="Arial"/>
          <w:sz w:val="20"/>
        </w:rPr>
      </w:r>
    </w:p>
    <w:p>
      <w:pPr>
        <w:pStyle w:val="Heading5"/>
        <w:ind w:hanging="0" w:start="0"/>
        <w:rPr/>
      </w:pPr>
      <w:r>
        <w:rPr/>
        <w:t>Sun Devil Project Fuel Study</w:t>
      </w:r>
    </w:p>
    <w:p>
      <w:pPr>
        <w:pStyle w:val="Normal"/>
        <w:autoSpaceDE w:val="false"/>
        <w:rPr>
          <w:rFonts w:ascii="Arial" w:hAnsi="Arial" w:cs="Arial"/>
          <w:sz w:val="20"/>
        </w:rPr>
      </w:pPr>
      <w:r>
        <w:rPr>
          <w:rFonts w:cs="Arial" w:ascii="Arial" w:hAnsi="Arial"/>
          <w:sz w:val="20"/>
        </w:rPr>
        <w:t>A study was completed and discussed with both Gas Control and System Optimization; either foresaw no problems.  Study data was sent to the Asset Management group and the financial group for analysis.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Project Tiger</w:t>
      </w:r>
    </w:p>
    <w:p>
      <w:pPr>
        <w:pStyle w:val="Normal"/>
        <w:autoSpaceDE w:val="false"/>
        <w:rPr>
          <w:rFonts w:ascii="Arial" w:hAnsi="Arial" w:cs="Arial"/>
          <w:sz w:val="20"/>
        </w:rPr>
      </w:pPr>
      <w:r>
        <w:rPr>
          <w:rFonts w:cs="Arial" w:ascii="Arial" w:hAnsi="Arial"/>
          <w:sz w:val="20"/>
        </w:rPr>
        <w:t>Planning provided pipeline data for TW, which included miles of pipe by category and the number and location of all interconnects.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Southern Trails Interconnect - San Juan Lateral</w:t>
      </w:r>
    </w:p>
    <w:p>
      <w:pPr>
        <w:pStyle w:val="Normal"/>
        <w:autoSpaceDE w:val="false"/>
        <w:rPr>
          <w:rFonts w:ascii="Arial" w:hAnsi="Arial" w:cs="Arial"/>
          <w:sz w:val="20"/>
        </w:rPr>
      </w:pPr>
      <w:r>
        <w:rPr>
          <w:rFonts w:cs="Arial" w:ascii="Arial" w:hAnsi="Arial"/>
          <w:sz w:val="20"/>
        </w:rPr>
        <w:t xml:space="preserve">A meeting was held with Field Operations, Gas Control, Marketing, and Planning to determine where the new interconnect should be installed.  Planning's suggestion would be to tie the old NWPL line upstream of the Hub.  This would minimize flow impact in the Hub and deliveries to El Paso.  Second issue is the potential launcher/receiver project on the Ignacio-Blanco line.  Complicated piping mods could be required to accommodate the new pigging facilities.  Plans are to tie into the old NWPL line for the Southern Trails interconnect.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San Juan Expansions</w:t>
      </w:r>
    </w:p>
    <w:p>
      <w:pPr>
        <w:pStyle w:val="Normal"/>
        <w:autoSpaceDE w:val="false"/>
        <w:rPr>
          <w:rFonts w:ascii="Arial" w:hAnsi="Arial" w:cs="Arial"/>
          <w:b/>
          <w:bCs/>
          <w:sz w:val="20"/>
        </w:rPr>
      </w:pPr>
      <w:r>
        <w:rPr>
          <w:rFonts w:cs="Arial" w:ascii="Arial" w:hAnsi="Arial"/>
          <w:sz w:val="20"/>
        </w:rPr>
        <w:t>Planning has developed expansion options using minimum facility mods.  Expansions could range from 5 to 55 MMcf/d.  Proposals are still in the planning stages.</w:t>
      </w:r>
    </w:p>
    <w:p>
      <w:pPr>
        <w:pStyle w:val="Normal"/>
        <w:autoSpaceDE w:val="false"/>
        <w:rPr>
          <w:rFonts w:ascii="Arial" w:hAnsi="Arial" w:cs="Arial"/>
          <w:b/>
          <w:bCs/>
          <w:sz w:val="20"/>
        </w:rPr>
      </w:pPr>
      <w:r>
        <w:rPr>
          <w:rFonts w:cs="Arial" w:ascii="Arial" w:hAnsi="Arial"/>
          <w:b/>
          <w:bCs/>
          <w:sz w:val="20"/>
        </w:rPr>
      </w:r>
    </w:p>
    <w:p>
      <w:pPr>
        <w:pStyle w:val="Normal"/>
        <w:rPr>
          <w:rFonts w:cs="Arial"/>
        </w:rPr>
      </w:pPr>
      <w:r>
        <w:rPr>
          <w:rFonts w:cs="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szCs w:val="20"/>
      <w:u w:val="single"/>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keepNext w:val="true"/>
      <w:numPr>
        <w:ilvl w:val="3"/>
        <w:numId w:val="1"/>
      </w:numPr>
      <w:jc w:val="both"/>
      <w:outlineLvl w:val="3"/>
    </w:pPr>
    <w:rPr>
      <w:rFonts w:ascii="Arial" w:hAnsi="Arial" w:cs="Arial"/>
      <w:b/>
      <w:sz w:val="20"/>
      <w:szCs w:val="20"/>
      <w:u w:val="single"/>
    </w:rPr>
  </w:style>
  <w:style w:type="paragraph" w:styleId="Heading5">
    <w:name w:val="heading 5"/>
    <w:basedOn w:val="Normal"/>
    <w:next w:val="Normal"/>
    <w:qFormat/>
    <w:pPr>
      <w:keepNext w:val="true"/>
      <w:numPr>
        <w:ilvl w:val="4"/>
        <w:numId w:val="1"/>
      </w:numPr>
      <w:autoSpaceDE w:val="false"/>
      <w:outlineLvl w:val="4"/>
    </w:pPr>
    <w:rPr>
      <w:rFonts w:ascii="Arial" w:hAnsi="Arial" w:cs="Arial"/>
      <w:b/>
      <w:bCs/>
      <w:sz w:val="20"/>
    </w:rPr>
  </w:style>
  <w:style w:type="paragraph" w:styleId="Heading6">
    <w:name w:val="heading 6"/>
    <w:basedOn w:val="Normal"/>
    <w:next w:val="Normal"/>
    <w:qFormat/>
    <w:pPr>
      <w:keepNext w:val="true"/>
      <w:numPr>
        <w:ilvl w:val="5"/>
        <w:numId w:val="1"/>
      </w:numPr>
      <w:outlineLvl w:val="5"/>
    </w:pPr>
    <w:rPr>
      <w:b/>
      <w:bCs/>
      <w:color w:val="0000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2001-11-15T10:22:00Z</dcterms:created>
  <dc:creator>mgottsp</dc:creator>
  <dc:description/>
  <dc:language>en-CA</dc:language>
  <cp:lastModifiedBy>mgottsp</cp:lastModifiedBy>
  <cp:lastPrinted>2001-11-15T06:46:00Z</cp:lastPrinted>
  <dcterms:modified xsi:type="dcterms:W3CDTF">2001-11-15T10:22:00Z</dcterms:modified>
  <cp:revision>2</cp:revision>
  <dc:subject/>
  <dc:title>ETS Planning Weekly Report</dc:title>
</cp:coreProperties>
</file>