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rFonts w:ascii="Times New Roman" w:hAnsi="Times New Roman" w:cs="Times New Roman"/>
          <w:b/>
          <w:bCs/>
          <w:color w:val="0000FF"/>
          <w:sz w:val="32"/>
        </w:rPr>
      </w:pPr>
      <w:r>
        <w:rPr>
          <w:rFonts w:cs="Times New Roman" w:ascii="Times New Roman" w:hAnsi="Times New Roman"/>
          <w:b/>
          <w:bCs/>
          <w:color w:val="0000FF"/>
          <w:sz w:val="32"/>
        </w:rPr>
        <w:t>ETS Planning Weekly Report</w:t>
      </w:r>
    </w:p>
    <w:p>
      <w:pPr>
        <w:pStyle w:val="Heading6"/>
        <w:ind w:hanging="0" w:start="0"/>
        <w:rPr>
          <w:sz w:val="32"/>
        </w:rPr>
      </w:pPr>
      <w:r>
        <w:rPr>
          <w:sz w:val="32"/>
        </w:rPr>
        <w:t>Week Ending October 25, 2001</w:t>
      </w:r>
    </w:p>
    <w:p>
      <w:pPr>
        <w:pStyle w:val="Heading2"/>
        <w:spacing w:lineRule="atLeast" w:line="240"/>
        <w:ind w:hanging="0" w:start="0"/>
        <w:rPr>
          <w:rFonts w:ascii="Times New Roman" w:hAnsi="Times New Roman" w:cs="Times New Roman"/>
          <w:b/>
          <w:bCs/>
          <w:color w:val="FF0000"/>
          <w:szCs w:val="20"/>
        </w:rPr>
      </w:pPr>
      <w:r>
        <w:rPr>
          <w:rFonts w:cs="Times New Roman" w:ascii="Times New Roman" w:hAnsi="Times New Roman"/>
          <w:b/>
          <w:bCs/>
          <w:color w:val="FF0000"/>
          <w:szCs w:val="20"/>
        </w:rPr>
      </w:r>
    </w:p>
    <w:p>
      <w:pPr>
        <w:pStyle w:val="Normal"/>
        <w:autoSpaceDE w:val="false"/>
        <w:rPr>
          <w:b/>
          <w:bCs/>
          <w:color w:val="0000FF"/>
          <w:sz w:val="28"/>
        </w:rPr>
      </w:pPr>
      <w:r>
        <w:rPr>
          <w:b/>
          <w:bCs/>
          <w:color w:val="0000FF"/>
          <w:sz w:val="28"/>
        </w:rPr>
        <w:t>Omaha Planning Team</w:t>
      </w:r>
    </w:p>
    <w:p>
      <w:pPr>
        <w:pStyle w:val="BodyText"/>
        <w:rPr>
          <w:b/>
          <w:bCs/>
          <w:color w:val="0000FF"/>
          <w:sz w:val="28"/>
          <w:u w:val="single"/>
        </w:rPr>
      </w:pPr>
      <w:r>
        <w:rPr>
          <w:b/>
          <w:bCs/>
          <w:color w:val="0000FF"/>
          <w:sz w:val="28"/>
          <w:u w:val="single"/>
        </w:rPr>
        <w:t>Northern Natural Gas, Northern Border Pipe Line &amp; Midwestern Gas Transmission</w:t>
      </w:r>
    </w:p>
    <w:p>
      <w:pPr>
        <w:pStyle w:val="Normal"/>
        <w:rPr>
          <w:b/>
          <w:bCs/>
          <w:color w:val="0000FF"/>
          <w:sz w:val="28"/>
          <w:u w:val="single"/>
        </w:rPr>
      </w:pPr>
      <w:r>
        <w:rPr>
          <w:b/>
          <w:bCs/>
          <w:color w:val="0000FF"/>
          <w:sz w:val="28"/>
          <w:u w:val="single"/>
        </w:rPr>
      </w:r>
    </w:p>
    <w:p>
      <w:pPr>
        <w:pStyle w:val="Normal"/>
        <w:rPr>
          <w:b/>
          <w:bCs/>
          <w:szCs w:val="20"/>
        </w:rPr>
      </w:pPr>
      <w:r>
        <w:rPr>
          <w:b/>
          <w:bCs/>
          <w:szCs w:val="20"/>
        </w:rPr>
        <w:t>**ANNGTC (Alaska Project)</w:t>
      </w:r>
    </w:p>
    <w:p>
      <w:pPr>
        <w:pStyle w:val="Normal"/>
        <w:rPr>
          <w:szCs w:val="20"/>
        </w:rPr>
      </w:pPr>
      <w:r>
        <w:rPr>
          <w:szCs w:val="20"/>
        </w:rPr>
        <w:t>Traveled to Calgary for sessions in the data room for this project.  Generated cost estimates for the portion of the project in which we are interested.</w:t>
      </w:r>
    </w:p>
    <w:p>
      <w:pPr>
        <w:pStyle w:val="Normal"/>
        <w:rPr>
          <w:szCs w:val="20"/>
        </w:rPr>
      </w:pPr>
      <w:r>
        <w:rPr>
          <w:szCs w:val="20"/>
        </w:rPr>
      </w:r>
    </w:p>
    <w:p>
      <w:pPr>
        <w:pStyle w:val="Heading2"/>
        <w:keepNext w:val="true"/>
        <w:ind w:hanging="0" w:start="0"/>
        <w:rPr>
          <w:rFonts w:ascii="Times New Roman" w:hAnsi="Times New Roman" w:cs="Times New Roman"/>
          <w:b/>
          <w:bCs/>
          <w:sz w:val="24"/>
          <w:szCs w:val="20"/>
        </w:rPr>
      </w:pPr>
      <w:r>
        <w:rPr>
          <w:rFonts w:cs="Times New Roman" w:ascii="Times New Roman" w:hAnsi="Times New Roman"/>
          <w:b/>
          <w:bCs/>
          <w:sz w:val="24"/>
          <w:szCs w:val="20"/>
        </w:rPr>
        <w:t>CAS</w:t>
      </w:r>
    </w:p>
    <w:p>
      <w:pPr>
        <w:pStyle w:val="Normal"/>
        <w:rPr>
          <w:szCs w:val="20"/>
        </w:rPr>
      </w:pPr>
      <w:r>
        <w:rPr>
          <w:szCs w:val="20"/>
        </w:rPr>
        <w:t>Mainline Group Capacity Revisions- Completed the analysis of all remaining market area mainline delivery groups (other than the East Leg which was completed earlier this summer in conjunction with the East Leg Open Season).  Approval for the revisions will be routed shortly.</w:t>
      </w:r>
    </w:p>
    <w:p>
      <w:pPr>
        <w:pStyle w:val="Normal"/>
        <w:rPr>
          <w:szCs w:val="20"/>
        </w:rPr>
      </w:pPr>
      <w:r>
        <w:rPr>
          <w:szCs w:val="20"/>
        </w:rPr>
      </w:r>
    </w:p>
    <w:p>
      <w:pPr>
        <w:pStyle w:val="Normal"/>
        <w:rPr>
          <w:szCs w:val="20"/>
        </w:rPr>
      </w:pPr>
      <w:r>
        <w:rPr>
          <w:szCs w:val="20"/>
        </w:rPr>
        <w:t xml:space="preserve">**Posting of "Daily Unsubscribed Capacity" report was initiated this week.  A rolling 30-day spreadsheet will be maintained by Facility Planning and posted daily. The intent of this new posting is to update the bulletin board of the availability of capacity determined to be available on a very short-term basis.  Determination of availability will be made at the morning Marketing/Gas Control meeting and the posting will be updated immediately afterward.  </w:t>
      </w:r>
    </w:p>
    <w:p>
      <w:pPr>
        <w:pStyle w:val="Normal"/>
        <w:rPr>
          <w:szCs w:val="20"/>
        </w:rPr>
      </w:pPr>
      <w:r>
        <w:rPr>
          <w:szCs w:val="20"/>
        </w:rPr>
      </w:r>
    </w:p>
    <w:p>
      <w:pPr>
        <w:pStyle w:val="Heading2"/>
        <w:keepNext w:val="true"/>
        <w:ind w:hanging="0" w:start="0"/>
        <w:rPr>
          <w:rFonts w:ascii="Times New Roman" w:hAnsi="Times New Roman" w:cs="Times New Roman"/>
          <w:b/>
          <w:bCs/>
          <w:sz w:val="24"/>
          <w:szCs w:val="20"/>
        </w:rPr>
      </w:pPr>
      <w:r>
        <w:rPr>
          <w:rFonts w:cs="Times New Roman" w:ascii="Times New Roman" w:hAnsi="Times New Roman"/>
          <w:b/>
          <w:bCs/>
          <w:sz w:val="24"/>
          <w:szCs w:val="20"/>
        </w:rPr>
        <w:t>**KDHE Meetings</w:t>
      </w:r>
    </w:p>
    <w:p>
      <w:pPr>
        <w:pStyle w:val="Normal"/>
        <w:rPr>
          <w:szCs w:val="20"/>
        </w:rPr>
      </w:pPr>
      <w:r>
        <w:rPr>
          <w:szCs w:val="20"/>
        </w:rPr>
        <w:t>Prepared materials to be presented to the KDHE on 10/25 in support Northern's positions on development of bedded salt storage in Kansas.  The hope is we can convince the KDHE to reconsider their current positions in several key areas including siting and casing requirements.</w:t>
      </w:r>
    </w:p>
    <w:p>
      <w:pPr>
        <w:pStyle w:val="Normal"/>
        <w:rPr>
          <w:szCs w:val="20"/>
        </w:rPr>
      </w:pPr>
      <w:r>
        <w:rPr>
          <w:szCs w:val="20"/>
        </w:rPr>
      </w:r>
    </w:p>
    <w:p>
      <w:pPr>
        <w:pStyle w:val="Normal"/>
        <w:rPr>
          <w:b/>
          <w:bCs/>
          <w:szCs w:val="20"/>
        </w:rPr>
      </w:pPr>
      <w:r>
        <w:rPr>
          <w:b/>
          <w:bCs/>
          <w:szCs w:val="20"/>
        </w:rPr>
        <w:t>Watertown Power Plant and Ethanol Plant</w:t>
      </w:r>
    </w:p>
    <w:p>
      <w:pPr>
        <w:pStyle w:val="Normal"/>
        <w:rPr>
          <w:szCs w:val="20"/>
        </w:rPr>
      </w:pPr>
      <w:r>
        <w:rPr>
          <w:szCs w:val="20"/>
        </w:rPr>
        <w:t>Completed a review of a delivery to a power plant and to an ethanol plant near Watertown, South Dakota and forwarded to Marketing.  The analysis layered the deliveries to the facilities to examine the requirements if both projects were to become a reality.  Watertown, South Dakota is located in eastern South Dakota approximately 80 miles southeast of Aberdeen, South Dakota.</w:t>
      </w:r>
    </w:p>
    <w:p>
      <w:pPr>
        <w:pStyle w:val="Normal"/>
        <w:rPr>
          <w:szCs w:val="20"/>
        </w:rPr>
      </w:pPr>
      <w:r>
        <w:rPr>
          <w:szCs w:val="20"/>
        </w:rPr>
      </w:r>
    </w:p>
    <w:p>
      <w:pPr>
        <w:pStyle w:val="Normal"/>
        <w:rPr>
          <w:b/>
          <w:bCs/>
          <w:szCs w:val="20"/>
        </w:rPr>
      </w:pPr>
      <w:r>
        <w:rPr>
          <w:b/>
          <w:bCs/>
          <w:szCs w:val="20"/>
        </w:rPr>
        <w:t>Woodbine Ethanol Plant</w:t>
      </w:r>
    </w:p>
    <w:p>
      <w:pPr>
        <w:pStyle w:val="Normal"/>
        <w:rPr>
          <w:szCs w:val="20"/>
        </w:rPr>
      </w:pPr>
      <w:r>
        <w:rPr>
          <w:szCs w:val="20"/>
        </w:rPr>
        <w:t xml:space="preserve">Completed an analysis of a delivery to a proposed ethanol plant near Woodbine, Iowa and forwarded to Marketing.  Woodbine, Iowa is located in western Iowa approximately 50 miles northeast of Omaha, NE.  </w:t>
      </w:r>
    </w:p>
    <w:p>
      <w:pPr>
        <w:pStyle w:val="Normal"/>
        <w:rPr>
          <w:szCs w:val="20"/>
        </w:rPr>
      </w:pPr>
      <w:r>
        <w:rPr>
          <w:szCs w:val="20"/>
        </w:rPr>
      </w:r>
    </w:p>
    <w:p>
      <w:pPr>
        <w:pStyle w:val="Normal"/>
        <w:rPr>
          <w:b/>
          <w:bCs/>
          <w:color w:val="FF0000"/>
          <w:szCs w:val="20"/>
        </w:rPr>
      </w:pPr>
      <w:r>
        <w:rPr>
          <w:b/>
          <w:bCs/>
          <w:color w:val="FF0000"/>
          <w:szCs w:val="20"/>
        </w:rPr>
      </w:r>
    </w:p>
    <w:p>
      <w:pPr>
        <w:pStyle w:val="Normal"/>
        <w:rPr>
          <w:b/>
          <w:bCs/>
          <w:color w:val="FF0000"/>
          <w:szCs w:val="20"/>
        </w:rPr>
      </w:pPr>
      <w:r>
        <w:rPr>
          <w:b/>
          <w:bCs/>
          <w:color w:val="FF0000"/>
          <w:szCs w:val="20"/>
        </w:rPr>
      </w:r>
    </w:p>
    <w:p>
      <w:pPr>
        <w:pStyle w:val="Normal"/>
        <w:rPr>
          <w:b/>
          <w:bCs/>
          <w:color w:val="FF0000"/>
          <w:szCs w:val="20"/>
        </w:rPr>
      </w:pPr>
      <w:r>
        <w:rPr>
          <w:b/>
          <w:bCs/>
          <w:color w:val="FF0000"/>
          <w:szCs w:val="20"/>
        </w:rPr>
      </w:r>
    </w:p>
    <w:p>
      <w:pPr>
        <w:pStyle w:val="Normal"/>
        <w:rPr>
          <w:b/>
          <w:bCs/>
          <w:szCs w:val="20"/>
        </w:rPr>
      </w:pPr>
      <w:r>
        <w:rPr>
          <w:b/>
          <w:bCs/>
          <w:szCs w:val="20"/>
        </w:rPr>
        <w:t>**Bushton to Beaver Flows</w:t>
      </w:r>
    </w:p>
    <w:p>
      <w:pPr>
        <w:pStyle w:val="Normal"/>
        <w:rPr>
          <w:szCs w:val="20"/>
        </w:rPr>
      </w:pPr>
      <w:r>
        <w:rPr>
          <w:szCs w:val="20"/>
        </w:rPr>
        <w:t xml:space="preserve">A meeting was held to discuss the flow scenarios on the lean stream, and the by-pass stream from Beaver to Bushton.  The maximum flows on the two gas streams, and the required fuel for compression will vary depending upon the valve configuration between the stations.  It could take up to 12 hours to reconfigure the valving to ensure that all firm commitments are met on this section of pipeline.  This assumes that the pressure sweep between Beaver and Mullinville occurs in early November.  </w:t>
      </w:r>
    </w:p>
    <w:p>
      <w:pPr>
        <w:pStyle w:val="Normal"/>
        <w:rPr>
          <w:szCs w:val="20"/>
        </w:rPr>
      </w:pPr>
      <w:r>
        <w:rPr>
          <w:szCs w:val="20"/>
        </w:rPr>
      </w:r>
    </w:p>
    <w:p>
      <w:pPr>
        <w:pStyle w:val="Normal"/>
        <w:rPr>
          <w:b/>
          <w:bCs/>
          <w:szCs w:val="20"/>
        </w:rPr>
      </w:pPr>
      <w:r>
        <w:rPr>
          <w:b/>
          <w:bCs/>
          <w:szCs w:val="20"/>
        </w:rPr>
        <w:t>TBS/Industrial Abandonment</w:t>
      </w:r>
    </w:p>
    <w:p>
      <w:pPr>
        <w:pStyle w:val="Normal"/>
        <w:rPr>
          <w:szCs w:val="20"/>
        </w:rPr>
      </w:pPr>
      <w:r>
        <w:rPr>
          <w:szCs w:val="20"/>
        </w:rPr>
        <w:t xml:space="preserve">Working with Operations Administration, Marketing, and the Negaunee Team to strategize a plan for the removal of five meters that have no markets available on the downstream side of the meter runs.    </w:t>
      </w:r>
    </w:p>
    <w:p>
      <w:pPr>
        <w:pStyle w:val="Normal"/>
        <w:rPr>
          <w:b/>
          <w:bCs/>
          <w:szCs w:val="20"/>
        </w:rPr>
      </w:pPr>
      <w:r>
        <w:rPr>
          <w:b/>
          <w:bCs/>
          <w:szCs w:val="20"/>
        </w:rPr>
      </w:r>
    </w:p>
    <w:p>
      <w:pPr>
        <w:pStyle w:val="Normal"/>
        <w:rPr>
          <w:b/>
          <w:bCs/>
          <w:szCs w:val="20"/>
        </w:rPr>
      </w:pPr>
      <w:r>
        <w:rPr>
          <w:b/>
          <w:bCs/>
          <w:szCs w:val="20"/>
        </w:rPr>
      </w:r>
    </w:p>
    <w:p>
      <w:pPr>
        <w:pStyle w:val="Heading3"/>
        <w:ind w:hanging="0" w:start="0"/>
        <w:rPr>
          <w:rFonts w:ascii="Times New Roman" w:hAnsi="Times New Roman" w:cs="Times New Roman"/>
          <w:b/>
          <w:bCs/>
          <w:color w:val="0000FF"/>
          <w:sz w:val="28"/>
        </w:rPr>
      </w:pPr>
      <w:r>
        <w:rPr>
          <w:rFonts w:cs="Times New Roman" w:ascii="Times New Roman" w:hAnsi="Times New Roman"/>
          <w:b/>
          <w:bCs/>
          <w:color w:val="0000FF"/>
          <w:sz w:val="28"/>
        </w:rPr>
        <w:t>HOUSTON PLANNING TEAM</w:t>
      </w:r>
    </w:p>
    <w:p>
      <w:pPr>
        <w:pStyle w:val="Heading2"/>
        <w:ind w:hanging="0" w:start="0"/>
        <w:rPr>
          <w:rFonts w:ascii="Times New Roman" w:hAnsi="Times New Roman" w:cs="Times New Roman"/>
          <w:color w:val="0000FF"/>
          <w:szCs w:val="20"/>
          <w:u w:val="single"/>
        </w:rPr>
      </w:pPr>
      <w:r>
        <w:rPr>
          <w:rFonts w:cs="Times New Roman" w:ascii="Times New Roman" w:hAnsi="Times New Roman"/>
          <w:b/>
          <w:bCs/>
          <w:color w:val="0000FF"/>
          <w:sz w:val="28"/>
          <w:szCs w:val="28"/>
          <w:u w:val="single"/>
        </w:rPr>
        <w:t>Florida Gas Transmission, Transwestern Pipeline, NNG South</w:t>
      </w:r>
      <w:r>
        <w:rPr>
          <w:rFonts w:cs="Times New Roman" w:ascii="Times New Roman" w:hAnsi="Times New Roman"/>
          <w:color w:val="0000FF"/>
          <w:sz w:val="28"/>
          <w:szCs w:val="28"/>
          <w:u w:val="single"/>
        </w:rPr>
        <w:t xml:space="preserve"> </w:t>
      </w:r>
      <w:r>
        <w:rPr>
          <w:rFonts w:cs="Times New Roman" w:ascii="Times New Roman" w:hAnsi="Times New Roman"/>
          <w:b/>
          <w:bCs/>
          <w:color w:val="0000FF"/>
          <w:sz w:val="28"/>
          <w:szCs w:val="28"/>
          <w:u w:val="single"/>
        </w:rPr>
        <w:t>&amp; EOTT</w:t>
      </w:r>
    </w:p>
    <w:p>
      <w:pPr>
        <w:pStyle w:val="Normal"/>
        <w:rPr>
          <w:rFonts w:ascii="Times New Roman" w:hAnsi="Times New Roman" w:cs="Times New Roman"/>
          <w:color w:val="0000FF"/>
          <w:szCs w:val="20"/>
          <w:u w:val="single"/>
        </w:rPr>
      </w:pPr>
      <w:r>
        <w:rPr>
          <w:rFonts w:cs="Times New Roman"/>
          <w:color w:val="0000FF"/>
          <w:szCs w:val="20"/>
          <w:u w:val="single"/>
        </w:rPr>
      </w:r>
    </w:p>
    <w:p>
      <w:pPr>
        <w:pStyle w:val="Normal"/>
        <w:autoSpaceDE w:val="false"/>
        <w:rPr>
          <w:b/>
          <w:bCs/>
        </w:rPr>
      </w:pPr>
      <w:r>
        <w:rPr>
          <w:b/>
          <w:bCs/>
        </w:rPr>
        <w:t>OUC - Stanton (Phase VI)</w:t>
      </w:r>
    </w:p>
    <w:p>
      <w:pPr>
        <w:pStyle w:val="Normal"/>
        <w:autoSpaceDE w:val="false"/>
        <w:rPr/>
      </w:pPr>
      <w:r>
        <w:rPr/>
        <w:t>Provided engineering with a data design sheet for the M&amp;R facilities and lateral needed to connect FGT to the Stanton Energy Plant.</w:t>
      </w:r>
    </w:p>
    <w:p>
      <w:pPr>
        <w:pStyle w:val="Normal"/>
        <w:autoSpaceDE w:val="false"/>
        <w:rPr/>
      </w:pPr>
      <w:r>
        <w:rPr/>
      </w:r>
    </w:p>
    <w:p>
      <w:pPr>
        <w:pStyle w:val="Normal"/>
        <w:autoSpaceDE w:val="false"/>
        <w:rPr>
          <w:b/>
          <w:bCs/>
        </w:rPr>
      </w:pPr>
      <w:r>
        <w:rPr>
          <w:b/>
          <w:bCs/>
        </w:rPr>
        <w:t>City of Zachary</w:t>
      </w:r>
    </w:p>
    <w:p>
      <w:pPr>
        <w:pStyle w:val="Normal"/>
        <w:autoSpaceDE w:val="false"/>
        <w:rPr/>
      </w:pPr>
      <w:r>
        <w:rPr/>
        <w:t>Worked out an agreement with the City of Zachary to pay the total invoiced balance over a 12-month period with interest.  FGT’s tax department has approved this agreement.</w:t>
      </w:r>
    </w:p>
    <w:p>
      <w:pPr>
        <w:pStyle w:val="Normal"/>
        <w:autoSpaceDE w:val="false"/>
        <w:rPr/>
      </w:pPr>
      <w:r>
        <w:rPr/>
      </w:r>
    </w:p>
    <w:p>
      <w:pPr>
        <w:pStyle w:val="Normal"/>
        <w:autoSpaceDE w:val="false"/>
        <w:rPr>
          <w:b/>
          <w:bCs/>
        </w:rPr>
      </w:pPr>
      <w:r>
        <w:rPr>
          <w:b/>
          <w:bCs/>
        </w:rPr>
        <w:t>**Calpine - Lake Wales</w:t>
      </w:r>
    </w:p>
    <w:p>
      <w:pPr>
        <w:pStyle w:val="Normal"/>
        <w:autoSpaceDE w:val="false"/>
        <w:rPr/>
      </w:pPr>
      <w:r>
        <w:rPr/>
        <w:t>Submitted a Level A cost estimate to Marketing for the installation of a 32 mile 16" lateral to connect the Lake Wales power plant to FGT's system.  This estimate did not include the cost for mainline expansion that this interconnect will need.  We are in the process of running hydraulic models to determine the exact facilities needed for this interconnect.</w:t>
      </w:r>
    </w:p>
    <w:p>
      <w:pPr>
        <w:pStyle w:val="Normal"/>
        <w:autoSpaceDE w:val="false"/>
        <w:rPr/>
      </w:pPr>
      <w:r>
        <w:rPr/>
      </w:r>
    </w:p>
    <w:p>
      <w:pPr>
        <w:pStyle w:val="Normal"/>
        <w:rPr>
          <w:rFonts w:eastAsia="Arial Unicode MS"/>
          <w:b/>
          <w:bCs/>
          <w:szCs w:val="20"/>
        </w:rPr>
      </w:pPr>
      <w:r>
        <w:rPr>
          <w:rFonts w:eastAsia="Arial Unicode MS"/>
          <w:b/>
          <w:bCs/>
          <w:szCs w:val="20"/>
        </w:rPr>
        <w:t>**Phase VI</w:t>
      </w:r>
    </w:p>
    <w:p>
      <w:pPr>
        <w:pStyle w:val="Normal"/>
        <w:rPr>
          <w:rFonts w:eastAsia="Arial Unicode MS"/>
          <w:szCs w:val="20"/>
        </w:rPr>
      </w:pPr>
      <w:r>
        <w:rPr>
          <w:rFonts w:eastAsia="Arial Unicode MS"/>
          <w:szCs w:val="20"/>
        </w:rPr>
        <w:t>Received and reviewed the E&amp;C Phase VI cost estimates. We will meet with E&amp;C on Monday 10/29 to scrutinize individual items for possible reduction in costs.</w:t>
      </w:r>
    </w:p>
    <w:p>
      <w:pPr>
        <w:pStyle w:val="Normal"/>
        <w:rPr>
          <w:rFonts w:eastAsia="Arial Unicode MS"/>
          <w:szCs w:val="20"/>
        </w:rPr>
      </w:pPr>
      <w:r>
        <w:rPr>
          <w:rFonts w:eastAsia="Arial Unicode MS"/>
          <w:szCs w:val="20"/>
        </w:rPr>
      </w:r>
    </w:p>
    <w:p>
      <w:pPr>
        <w:pStyle w:val="Normal"/>
        <w:rPr>
          <w:rFonts w:eastAsia="Arial Unicode MS"/>
          <w:b/>
          <w:bCs/>
          <w:color w:val="000000"/>
          <w:szCs w:val="20"/>
        </w:rPr>
      </w:pPr>
      <w:r>
        <w:rPr>
          <w:rFonts w:eastAsia="Arial Unicode MS"/>
          <w:b/>
          <w:bCs/>
          <w:color w:val="000000"/>
          <w:szCs w:val="20"/>
        </w:rPr>
        <w:t xml:space="preserve">FGT CAS </w:t>
      </w:r>
    </w:p>
    <w:p>
      <w:pPr>
        <w:pStyle w:val="Normal"/>
        <w:rPr>
          <w:rFonts w:eastAsia="Arial Unicode MS"/>
          <w:color w:val="000000"/>
          <w:szCs w:val="20"/>
        </w:rPr>
      </w:pPr>
      <w:r>
        <w:rPr>
          <w:rFonts w:eastAsia="Arial Unicode MS"/>
          <w:color w:val="000000"/>
          <w:szCs w:val="20"/>
        </w:rPr>
        <w:t>Met with related parties to discuss the timing for group and point relationships to build the CAS structure for FGT.  Plans are to have this logic completed by the end of Nov. 2001.</w:t>
      </w:r>
    </w:p>
    <w:p>
      <w:pPr>
        <w:pStyle w:val="Normal"/>
        <w:rPr>
          <w:rFonts w:eastAsia="Arial Unicode MS"/>
          <w:color w:val="000000"/>
          <w:szCs w:val="20"/>
        </w:rPr>
      </w:pPr>
      <w:r>
        <w:rPr>
          <w:rFonts w:eastAsia="Arial Unicode MS"/>
          <w:color w:val="000000"/>
          <w:szCs w:val="20"/>
        </w:rPr>
      </w:r>
    </w:p>
    <w:p>
      <w:pPr>
        <w:pStyle w:val="Normal"/>
        <w:rPr>
          <w:rFonts w:eastAsia="Arial Unicode MS"/>
          <w:b/>
          <w:bCs/>
          <w:color w:val="000000"/>
          <w:szCs w:val="20"/>
        </w:rPr>
      </w:pPr>
      <w:r>
        <w:rPr>
          <w:rFonts w:eastAsia="Arial Unicode MS"/>
          <w:b/>
          <w:bCs/>
          <w:color w:val="000000"/>
          <w:szCs w:val="20"/>
        </w:rPr>
        <w:t>TW/ Station 4 Capacity in 3-unit Red Rock Project</w:t>
      </w:r>
    </w:p>
    <w:p>
      <w:pPr>
        <w:pStyle w:val="Normal"/>
        <w:rPr>
          <w:rFonts w:eastAsia="Arial Unicode MS"/>
          <w:color w:val="000000"/>
          <w:szCs w:val="20"/>
        </w:rPr>
      </w:pPr>
      <w:r>
        <w:rPr>
          <w:rFonts w:eastAsia="Arial Unicode MS"/>
          <w:color w:val="000000"/>
          <w:szCs w:val="20"/>
        </w:rPr>
        <w:t xml:space="preserve">Provided capacity information regarding Station 4 to Gas Control and Operations assuring that Station 4 can provide the 1230 MMcfd throughput required for Red Rock Expansion.  Additionally, seven corrective measures were provided in the event of unforeseen capacity shortfalls, some of which are currently planned, such as overhauls, inlet scrubber modifications, and evaporative cooling skirts on inlet air. </w:t>
      </w:r>
    </w:p>
    <w:p>
      <w:pPr>
        <w:pStyle w:val="Normal"/>
        <w:rPr>
          <w:rFonts w:eastAsia="Arial Unicode MS"/>
          <w:color w:val="000080"/>
          <w:szCs w:val="20"/>
        </w:rPr>
      </w:pPr>
      <w:r>
        <w:rPr>
          <w:rFonts w:eastAsia="Arial Unicode MS"/>
          <w:color w:val="000080"/>
          <w:szCs w:val="20"/>
        </w:rPr>
      </w:r>
    </w:p>
    <w:p>
      <w:pPr>
        <w:pStyle w:val="Normal"/>
        <w:rPr>
          <w:rFonts w:eastAsia="Arial Unicode MS"/>
          <w:b/>
          <w:bCs/>
          <w:szCs w:val="20"/>
        </w:rPr>
      </w:pPr>
      <w:r>
        <w:rPr>
          <w:rFonts w:eastAsia="Arial Unicode MS"/>
          <w:b/>
          <w:bCs/>
          <w:szCs w:val="20"/>
        </w:rPr>
        <w:t>TW Mainline Expansion Projects</w:t>
      </w:r>
    </w:p>
    <w:p>
      <w:pPr>
        <w:pStyle w:val="Normal"/>
        <w:rPr>
          <w:rFonts w:eastAsia="Arial Unicode MS"/>
          <w:szCs w:val="20"/>
        </w:rPr>
      </w:pPr>
      <w:r>
        <w:rPr>
          <w:rFonts w:eastAsia="Arial Unicode MS"/>
          <w:szCs w:val="20"/>
        </w:rPr>
        <w:t xml:space="preserve">Provided Marketing with facility and costs scenarios for 250 and 300 MMcf/d cases.  The 250 MMcf/d case is intermediate compression only.  All cases included the Topock Lateral expansion of 300 MMcf/d. </w:t>
      </w:r>
    </w:p>
    <w:p>
      <w:pPr>
        <w:pStyle w:val="Normal"/>
        <w:rPr>
          <w:rFonts w:eastAsia="Arial Unicode MS"/>
          <w:szCs w:val="20"/>
        </w:rPr>
      </w:pPr>
      <w:r>
        <w:rPr>
          <w:rFonts w:eastAsia="Arial Unicode MS"/>
          <w:szCs w:val="20"/>
        </w:rPr>
      </w:r>
    </w:p>
    <w:p>
      <w:pPr>
        <w:pStyle w:val="Normal"/>
        <w:rPr>
          <w:rFonts w:eastAsia="Arial Unicode MS"/>
          <w:b/>
          <w:bCs/>
          <w:color w:val="000000"/>
          <w:szCs w:val="20"/>
        </w:rPr>
      </w:pPr>
      <w:r>
        <w:rPr>
          <w:rFonts w:eastAsia="Arial Unicode MS"/>
          <w:b/>
          <w:bCs/>
          <w:color w:val="000000"/>
          <w:szCs w:val="20"/>
        </w:rPr>
        <w:t>**NGPL TW Eddy County I/C</w:t>
      </w:r>
    </w:p>
    <w:p>
      <w:pPr>
        <w:pStyle w:val="Normal"/>
        <w:rPr>
          <w:rFonts w:eastAsia="Arial Unicode MS"/>
          <w:color w:val="000000"/>
          <w:szCs w:val="20"/>
        </w:rPr>
      </w:pPr>
      <w:r>
        <w:rPr>
          <w:rFonts w:eastAsia="Arial Unicode MS"/>
          <w:color w:val="000000"/>
          <w:szCs w:val="20"/>
        </w:rPr>
        <w:t>The work order has been approved and long lead materials are on order.  On-track for a Dec. 15, 2001 estimated completion date.</w:t>
      </w:r>
    </w:p>
    <w:p>
      <w:pPr>
        <w:pStyle w:val="Normal"/>
        <w:rPr>
          <w:rFonts w:eastAsia="Arial Unicode MS"/>
          <w:b/>
          <w:bCs/>
          <w:color w:val="000000"/>
          <w:szCs w:val="20"/>
        </w:rPr>
      </w:pPr>
      <w:r>
        <w:rPr>
          <w:rFonts w:eastAsia="Arial Unicode MS"/>
          <w:b/>
          <w:bCs/>
          <w:color w:val="000000"/>
          <w:szCs w:val="20"/>
        </w:rPr>
      </w:r>
    </w:p>
    <w:p>
      <w:pPr>
        <w:pStyle w:val="Normal"/>
        <w:rPr>
          <w:rFonts w:eastAsia="Arial Unicode MS"/>
          <w:b/>
          <w:bCs/>
          <w:color w:val="000000"/>
          <w:szCs w:val="20"/>
        </w:rPr>
      </w:pPr>
      <w:r>
        <w:rPr>
          <w:rFonts w:eastAsia="Arial Unicode MS"/>
          <w:b/>
          <w:bCs/>
          <w:color w:val="000000"/>
          <w:szCs w:val="20"/>
        </w:rPr>
        <w:t>ETS Process Procedures</w:t>
      </w:r>
    </w:p>
    <w:p>
      <w:pPr>
        <w:pStyle w:val="Normal"/>
        <w:rPr>
          <w:rFonts w:eastAsia="Arial Unicode MS"/>
          <w:color w:val="000000"/>
          <w:szCs w:val="20"/>
        </w:rPr>
      </w:pPr>
      <w:r>
        <w:rPr>
          <w:rFonts w:eastAsia="Arial Unicode MS"/>
          <w:color w:val="000000"/>
          <w:szCs w:val="20"/>
        </w:rPr>
        <w:t xml:space="preserve">Planning, Marketing and E&amp;C met to review the draft of the ETS Process Procedure. </w:t>
      </w:r>
    </w:p>
    <w:p>
      <w:pPr>
        <w:pStyle w:val="Normal"/>
        <w:rPr>
          <w:rFonts w:eastAsia="Arial Unicode MS"/>
          <w:color w:val="000000"/>
          <w:szCs w:val="20"/>
        </w:rPr>
      </w:pPr>
      <w:r>
        <w:rPr>
          <w:rFonts w:eastAsia="Arial Unicode MS"/>
          <w:color w:val="000000"/>
          <w:szCs w:val="20"/>
        </w:rPr>
      </w:r>
    </w:p>
    <w:p>
      <w:pPr>
        <w:pStyle w:val="Normal"/>
        <w:rPr>
          <w:rFonts w:eastAsia="Arial Unicode MS"/>
          <w:b/>
          <w:bCs/>
          <w:color w:val="000000"/>
          <w:szCs w:val="20"/>
        </w:rPr>
      </w:pPr>
      <w:r>
        <w:rPr>
          <w:rFonts w:eastAsia="Arial Unicode MS"/>
          <w:b/>
          <w:bCs/>
          <w:color w:val="000000"/>
          <w:szCs w:val="20"/>
        </w:rPr>
      </w:r>
    </w:p>
    <w:p>
      <w:pPr>
        <w:pStyle w:val="Normal"/>
        <w:rPr>
          <w:rFonts w:eastAsia="Arial Unicode MS"/>
          <w:b/>
          <w:bCs/>
          <w:color w:val="000000"/>
          <w:szCs w:val="20"/>
        </w:rPr>
      </w:pPr>
      <w:r>
        <w:rPr>
          <w:rFonts w:eastAsia="Arial Unicode MS"/>
          <w:b/>
          <w:bCs/>
          <w:color w:val="00000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autoSpaceDE w:val="false"/>
      <w:outlineLvl w:val="0"/>
    </w:pPr>
    <w:rPr>
      <w:rFonts w:ascii="Arial" w:hAnsi="Arial" w:cs="Arial"/>
      <w:sz w:val="20"/>
    </w:rPr>
  </w:style>
  <w:style w:type="paragraph" w:styleId="Heading2">
    <w:name w:val="heading 2"/>
    <w:basedOn w:val="Normal"/>
    <w:next w:val="Normal"/>
    <w:qFormat/>
    <w:pPr>
      <w:numPr>
        <w:ilvl w:val="1"/>
        <w:numId w:val="1"/>
      </w:numPr>
      <w:autoSpaceDE w:val="false"/>
      <w:outlineLvl w:val="1"/>
    </w:pPr>
    <w:rPr>
      <w:rFonts w:ascii="Arial" w:hAnsi="Arial" w:cs="Arial"/>
      <w:sz w:val="20"/>
    </w:rPr>
  </w:style>
  <w:style w:type="paragraph" w:styleId="Heading3">
    <w:name w:val="heading 3"/>
    <w:basedOn w:val="Normal"/>
    <w:next w:val="Normal"/>
    <w:qFormat/>
    <w:pPr>
      <w:numPr>
        <w:ilvl w:val="2"/>
        <w:numId w:val="1"/>
      </w:numPr>
      <w:autoSpaceDE w:val="false"/>
      <w:outlineLvl w:val="2"/>
    </w:pPr>
    <w:rPr>
      <w:rFonts w:ascii="Helv;Arial" w:hAnsi="Helv;Arial" w:cs="Helv;Arial"/>
      <w:sz w:val="20"/>
    </w:rPr>
  </w:style>
  <w:style w:type="paragraph" w:styleId="Heading4">
    <w:name w:val="heading 4"/>
    <w:basedOn w:val="Normal"/>
    <w:next w:val="Normal"/>
    <w:qFormat/>
    <w:pPr>
      <w:numPr>
        <w:ilvl w:val="3"/>
        <w:numId w:val="1"/>
      </w:numPr>
      <w:autoSpaceDE w:val="false"/>
      <w:outlineLvl w:val="3"/>
    </w:pPr>
    <w:rPr>
      <w:rFonts w:ascii="Arial" w:hAnsi="Arial" w:cs="Arial"/>
      <w:sz w:val="20"/>
    </w:rPr>
  </w:style>
  <w:style w:type="paragraph" w:styleId="Heading6">
    <w:name w:val="heading 6"/>
    <w:basedOn w:val="Normal"/>
    <w:next w:val="Normal"/>
    <w:qFormat/>
    <w:pPr>
      <w:keepNext w:val="true"/>
      <w:numPr>
        <w:ilvl w:val="5"/>
        <w:numId w:val="1"/>
      </w:numPr>
      <w:outlineLvl w:val="5"/>
    </w:pPr>
    <w:rPr>
      <w:b/>
      <w:bCs/>
      <w:color w:val="0000FF"/>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2001-10-25T09:40:00Z</dcterms:created>
  <dc:creator>mgottsp</dc:creator>
  <dc:description/>
  <dc:language>en-CA</dc:language>
  <cp:lastModifiedBy>mgottsp</cp:lastModifiedBy>
  <dcterms:modified xsi:type="dcterms:W3CDTF">2001-10-25T09:40:00Z</dcterms:modified>
  <cp:revision>2</cp:revision>
  <dc:subject/>
  <dc:title>ETS Planning Weekly Report</dc:title>
</cp:coreProperties>
</file>