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Arial"/>
          <w:b/>
          <w:bCs/>
          <w:color w:val="FF0000"/>
          <w:szCs w:val="20"/>
        </w:rPr>
      </w:pPr>
      <w:r>
        <w:rPr>
          <w:rFonts w:cs="Arial"/>
          <w:b/>
          <w:bCs/>
          <w:color w:val="FF0000"/>
          <w:szCs w:val="20"/>
        </w:rPr>
      </w:r>
    </w:p>
    <w:p>
      <w:pPr>
        <w:pStyle w:val="Heading3"/>
        <w:ind w:hanging="0" w:start="0"/>
        <w:rPr>
          <w:rFonts w:ascii="Times New Roman" w:hAnsi="Times New Roman" w:cs="Times New Roman"/>
          <w:b/>
          <w:bCs/>
          <w:color w:val="0000FF"/>
          <w:sz w:val="32"/>
        </w:rPr>
      </w:pPr>
      <w:r>
        <w:rPr>
          <w:rFonts w:cs="Times New Roman" w:ascii="Times New Roman" w:hAnsi="Times New Roman"/>
          <w:b/>
          <w:bCs/>
          <w:color w:val="0000FF"/>
          <w:sz w:val="32"/>
        </w:rPr>
        <w:t>ETS Planning Weekly Report</w:t>
      </w:r>
    </w:p>
    <w:p>
      <w:pPr>
        <w:pStyle w:val="Heading6"/>
        <w:ind w:hanging="0" w:start="0"/>
        <w:rPr>
          <w:sz w:val="32"/>
        </w:rPr>
      </w:pPr>
      <w:r>
        <w:rPr>
          <w:sz w:val="32"/>
        </w:rPr>
        <w:t>Week Ending October 12, 2001</w:t>
      </w:r>
    </w:p>
    <w:p>
      <w:pPr>
        <w:pStyle w:val="Heading2"/>
        <w:spacing w:lineRule="atLeast" w:line="240"/>
        <w:ind w:hanging="0" w:start="0"/>
        <w:rPr>
          <w:rFonts w:ascii="Times New Roman" w:hAnsi="Times New Roman" w:cs="Times New Roman"/>
          <w:b/>
          <w:bCs/>
          <w:color w:val="FF0000"/>
          <w:szCs w:val="20"/>
        </w:rPr>
      </w:pPr>
      <w:r>
        <w:rPr>
          <w:rFonts w:cs="Times New Roman" w:ascii="Times New Roman" w:hAnsi="Times New Roman"/>
          <w:b/>
          <w:bCs/>
          <w:color w:val="FF0000"/>
          <w:szCs w:val="20"/>
        </w:rPr>
      </w:r>
    </w:p>
    <w:p>
      <w:pPr>
        <w:pStyle w:val="Normal"/>
        <w:autoSpaceDE w:val="false"/>
        <w:rPr>
          <w:b/>
          <w:bCs/>
          <w:color w:val="0000FF"/>
          <w:sz w:val="28"/>
        </w:rPr>
      </w:pPr>
      <w:r>
        <w:rPr>
          <w:b/>
          <w:bCs/>
          <w:color w:val="0000FF"/>
          <w:sz w:val="28"/>
        </w:rPr>
        <w:t>Omaha Planning Team</w:t>
      </w:r>
    </w:p>
    <w:p>
      <w:pPr>
        <w:pStyle w:val="BodyText"/>
        <w:rPr>
          <w:b/>
          <w:bCs/>
          <w:color w:val="0000FF"/>
          <w:sz w:val="28"/>
          <w:u w:val="single"/>
        </w:rPr>
      </w:pPr>
      <w:r>
        <w:rPr>
          <w:b/>
          <w:bCs/>
          <w:color w:val="0000FF"/>
          <w:sz w:val="28"/>
          <w:u w:val="single"/>
        </w:rPr>
        <w:t>Northern Natural Gas, Northern Border Pipe Line &amp; Midwestern Gas Transmission</w:t>
      </w:r>
    </w:p>
    <w:p>
      <w:pPr>
        <w:pStyle w:val="Normal"/>
        <w:rPr>
          <w:b/>
          <w:bCs/>
          <w:color w:val="0000FF"/>
          <w:sz w:val="28"/>
          <w:u w:val="single"/>
        </w:rPr>
      </w:pPr>
      <w:r>
        <w:rPr>
          <w:b/>
          <w:bCs/>
          <w:color w:val="0000FF"/>
          <w:sz w:val="28"/>
          <w:u w:val="single"/>
        </w:rPr>
      </w:r>
    </w:p>
    <w:p>
      <w:pPr>
        <w:pStyle w:val="Normal"/>
        <w:rPr>
          <w:b/>
          <w:bCs/>
          <w:color w:val="FF0000"/>
          <w:szCs w:val="20"/>
        </w:rPr>
      </w:pPr>
      <w:r>
        <w:rPr>
          <w:b/>
          <w:bCs/>
          <w:color w:val="FF0000"/>
          <w:szCs w:val="20"/>
        </w:rPr>
      </w:r>
    </w:p>
    <w:p>
      <w:pPr>
        <w:pStyle w:val="Normal"/>
        <w:rPr>
          <w:b/>
          <w:bCs/>
          <w:szCs w:val="20"/>
        </w:rPr>
      </w:pPr>
      <w:r>
        <w:rPr>
          <w:b/>
          <w:bCs/>
          <w:szCs w:val="20"/>
        </w:rPr>
        <w:t>**ANNGTC (Alaska Project)</w:t>
      </w:r>
    </w:p>
    <w:p>
      <w:pPr>
        <w:pStyle w:val="Normal"/>
        <w:rPr>
          <w:szCs w:val="20"/>
        </w:rPr>
      </w:pPr>
      <w:r>
        <w:rPr>
          <w:szCs w:val="20"/>
        </w:rPr>
        <w:t>Participated in briefings in Calgary for this project.   Attended several meetings to discuss the ramifications of technical design.  It appears that another trip to Calgary is in order to work through the data room for this project.</w:t>
      </w:r>
    </w:p>
    <w:p>
      <w:pPr>
        <w:pStyle w:val="Normal"/>
        <w:rPr>
          <w:szCs w:val="20"/>
        </w:rPr>
      </w:pPr>
      <w:r>
        <w:rPr>
          <w:szCs w:val="20"/>
        </w:rPr>
      </w:r>
    </w:p>
    <w:p>
      <w:pPr>
        <w:pStyle w:val="Heading2"/>
        <w:keepNext w:val="true"/>
        <w:ind w:hanging="0" w:start="0"/>
        <w:rPr>
          <w:rFonts w:ascii="Times New Roman" w:hAnsi="Times New Roman" w:cs="Times New Roman"/>
          <w:b/>
          <w:bCs/>
          <w:sz w:val="24"/>
          <w:szCs w:val="20"/>
        </w:rPr>
      </w:pPr>
      <w:r>
        <w:rPr>
          <w:rFonts w:cs="Times New Roman" w:ascii="Times New Roman" w:hAnsi="Times New Roman"/>
          <w:b/>
          <w:bCs/>
          <w:sz w:val="24"/>
          <w:szCs w:val="20"/>
        </w:rPr>
        <w:t>**MidAmerican - Pleasant Hill</w:t>
      </w:r>
    </w:p>
    <w:p>
      <w:pPr>
        <w:pStyle w:val="Normal"/>
        <w:rPr>
          <w:szCs w:val="20"/>
        </w:rPr>
      </w:pPr>
      <w:r>
        <w:rPr>
          <w:szCs w:val="20"/>
        </w:rPr>
        <w:t xml:space="preserve">An eleventh hour request from MidAmerican to address a shortfall in their supply pressure needs and an option to insure that their IT loads serving peakers at Sycamore and River Hill was successful.  Thanks to efforts from Des Moines Region field we have an option to off load peaker loads from the Des Moines B Line to the Des Moines A Line and that option has met with approval from field management and MidAmerican.  </w:t>
      </w:r>
    </w:p>
    <w:p>
      <w:pPr>
        <w:pStyle w:val="Normal"/>
        <w:rPr>
          <w:szCs w:val="20"/>
        </w:rPr>
      </w:pPr>
      <w:r>
        <w:rPr>
          <w:szCs w:val="20"/>
        </w:rPr>
      </w:r>
    </w:p>
    <w:p>
      <w:pPr>
        <w:pStyle w:val="Heading2"/>
        <w:keepNext w:val="true"/>
        <w:ind w:hanging="0" w:start="0"/>
        <w:rPr>
          <w:rFonts w:ascii="Times New Roman" w:hAnsi="Times New Roman" w:cs="Times New Roman"/>
          <w:b/>
          <w:bCs/>
          <w:sz w:val="24"/>
          <w:szCs w:val="20"/>
        </w:rPr>
      </w:pPr>
      <w:r>
        <w:rPr>
          <w:rFonts w:cs="Times New Roman" w:ascii="Times New Roman" w:hAnsi="Times New Roman"/>
          <w:b/>
          <w:bCs/>
          <w:sz w:val="24"/>
          <w:szCs w:val="20"/>
        </w:rPr>
        <w:t>**GRE- Dexter, Minnesota</w:t>
      </w:r>
    </w:p>
    <w:p>
      <w:pPr>
        <w:pStyle w:val="Normal"/>
        <w:rPr>
          <w:szCs w:val="20"/>
        </w:rPr>
      </w:pPr>
      <w:r>
        <w:rPr>
          <w:szCs w:val="20"/>
        </w:rPr>
        <w:t>Supporting Marketing efforts to evaluate another large peaker site near Cambridge, Minnesota.  Presented EAMR Power Services to the customer to examine additional business opportunities with GRE (Great River Energy).</w:t>
      </w:r>
    </w:p>
    <w:p>
      <w:pPr>
        <w:pStyle w:val="Normal"/>
        <w:rPr>
          <w:b/>
          <w:bCs/>
          <w:szCs w:val="20"/>
        </w:rPr>
      </w:pPr>
      <w:r>
        <w:rPr>
          <w:b/>
          <w:bCs/>
          <w:szCs w:val="20"/>
        </w:rPr>
      </w:r>
    </w:p>
    <w:p>
      <w:pPr>
        <w:pStyle w:val="Normal"/>
        <w:rPr>
          <w:szCs w:val="20"/>
        </w:rPr>
      </w:pPr>
      <w:r>
        <w:rPr>
          <w:b/>
          <w:bCs/>
          <w:szCs w:val="20"/>
        </w:rPr>
        <w:t>**Bushton ESD</w:t>
      </w:r>
    </w:p>
    <w:p>
      <w:pPr>
        <w:pStyle w:val="Normal"/>
        <w:rPr>
          <w:szCs w:val="20"/>
        </w:rPr>
      </w:pPr>
      <w:r>
        <w:rPr>
          <w:szCs w:val="20"/>
        </w:rPr>
        <w:t xml:space="preserve">Participated in the Bushton ESD scheduled for 10/11/01.  The ESD required NNG to common the B and C lines from Bushton to Beatrice with compression at Clifton.  This would allow the processing plant to stay on line and also to have negligible impact on the gas flows from the supply zone into Bushton.  </w:t>
      </w:r>
    </w:p>
    <w:p>
      <w:pPr>
        <w:pStyle w:val="Normal"/>
        <w:rPr>
          <w:b/>
          <w:bCs/>
          <w:color w:val="FF0000"/>
          <w:szCs w:val="20"/>
        </w:rPr>
      </w:pPr>
      <w:r>
        <w:rPr>
          <w:b/>
          <w:bCs/>
          <w:color w:val="FF0000"/>
          <w:szCs w:val="20"/>
        </w:rPr>
      </w:r>
    </w:p>
    <w:p>
      <w:pPr>
        <w:pStyle w:val="Normal"/>
        <w:rPr>
          <w:szCs w:val="20"/>
        </w:rPr>
      </w:pPr>
      <w:r>
        <w:rPr>
          <w:b/>
          <w:bCs/>
          <w:szCs w:val="20"/>
        </w:rPr>
        <w:t>Denison Power Plant</w:t>
      </w:r>
    </w:p>
    <w:p>
      <w:pPr>
        <w:pStyle w:val="Normal"/>
        <w:rPr>
          <w:szCs w:val="20"/>
        </w:rPr>
      </w:pPr>
      <w:r>
        <w:rPr>
          <w:szCs w:val="20"/>
        </w:rPr>
        <w:t>A review of the requirements to provide firm summer service to a power plant near Denison, Iowa was completed and forwarded to marketing.  The flow assumed that "Project Max" volumes and facilities would be in place for the delivery to the power plant.</w:t>
      </w:r>
    </w:p>
    <w:p>
      <w:pPr>
        <w:pStyle w:val="Normal"/>
        <w:rPr>
          <w:szCs w:val="20"/>
        </w:rPr>
      </w:pPr>
      <w:r>
        <w:rPr>
          <w:szCs w:val="20"/>
        </w:rPr>
      </w:r>
    </w:p>
    <w:p>
      <w:pPr>
        <w:pStyle w:val="Normal"/>
        <w:rPr>
          <w:b/>
          <w:bCs/>
          <w:szCs w:val="20"/>
        </w:rPr>
      </w:pPr>
      <w:r>
        <w:rPr>
          <w:b/>
          <w:bCs/>
          <w:szCs w:val="20"/>
        </w:rPr>
        <w:t>Mapping Team - GIS Conversion</w:t>
      </w:r>
    </w:p>
    <w:p>
      <w:pPr>
        <w:pStyle w:val="Normal"/>
        <w:rPr>
          <w:szCs w:val="20"/>
        </w:rPr>
      </w:pPr>
      <w:r>
        <w:rPr>
          <w:szCs w:val="20"/>
        </w:rPr>
        <w:t xml:space="preserve">Met with the Mapping Team to discuss the various databases the Team is using to generate maps.  If the Mapping Team wants to apply names to all Town Border Stations, the naming convention in one data base might not agree with another since one uses the contract name that a shipper wants to use.  That same database has a location of the TBS, but the location might not be correct.  This is an ongoing discussion, but eventually a master database should be established that contains information we know is correct. </w:t>
      </w:r>
    </w:p>
    <w:p>
      <w:pPr>
        <w:pStyle w:val="Normal"/>
        <w:rPr>
          <w:szCs w:val="20"/>
        </w:rPr>
      </w:pPr>
      <w:r>
        <w:rPr>
          <w:szCs w:val="20"/>
        </w:rPr>
      </w:r>
    </w:p>
    <w:p>
      <w:pPr>
        <w:pStyle w:val="Normal"/>
        <w:rPr>
          <w:szCs w:val="20"/>
        </w:rPr>
      </w:pPr>
      <w:r>
        <w:rPr>
          <w:b/>
          <w:bCs/>
          <w:szCs w:val="20"/>
        </w:rPr>
        <w:t>**Indianapolis Pipeline</w:t>
      </w:r>
    </w:p>
    <w:p>
      <w:pPr>
        <w:pStyle w:val="Normal"/>
        <w:rPr>
          <w:szCs w:val="20"/>
        </w:rPr>
      </w:pPr>
      <w:r>
        <w:rPr>
          <w:szCs w:val="20"/>
        </w:rPr>
        <w:t>Evaluated the scope and cost for several new options for a pipeline from MGT Terre Haute to Indianapolis to be in-service fall, 2003. A meeting is scheduled to review the options.</w:t>
      </w:r>
    </w:p>
    <w:p>
      <w:pPr>
        <w:pStyle w:val="Normal"/>
        <w:rPr>
          <w:szCs w:val="20"/>
        </w:rPr>
      </w:pPr>
      <w:r>
        <w:rPr>
          <w:szCs w:val="20"/>
        </w:rPr>
      </w:r>
    </w:p>
    <w:p>
      <w:pPr>
        <w:pStyle w:val="Normal"/>
        <w:rPr>
          <w:szCs w:val="20"/>
        </w:rPr>
      </w:pPr>
      <w:r>
        <w:rPr>
          <w:b/>
          <w:bCs/>
          <w:szCs w:val="20"/>
        </w:rPr>
        <w:t>**Midwestern Forward Hauls</w:t>
      </w:r>
    </w:p>
    <w:p>
      <w:pPr>
        <w:pStyle w:val="Normal"/>
        <w:rPr>
          <w:szCs w:val="20"/>
        </w:rPr>
      </w:pPr>
      <w:r>
        <w:rPr>
          <w:szCs w:val="20"/>
        </w:rPr>
        <w:t xml:space="preserve">Provided NPNG Marketing with the availability and timing of leased compressor units to fit the two cases to deliver 300 MMcfd from the MGT Alliance Interconnect to the MGT NBPL Channahon Interconnect.  Refurbished units would be available in Feb/March 2002, provided a purchase order is issued by early November of this year. </w:t>
      </w:r>
    </w:p>
    <w:p>
      <w:pPr>
        <w:pStyle w:val="Normal"/>
        <w:rPr>
          <w:szCs w:val="20"/>
        </w:rPr>
      </w:pPr>
      <w:r>
        <w:rPr>
          <w:szCs w:val="20"/>
        </w:rPr>
      </w:r>
    </w:p>
    <w:p>
      <w:pPr>
        <w:pStyle w:val="Normal"/>
        <w:rPr>
          <w:szCs w:val="20"/>
        </w:rPr>
      </w:pPr>
      <w:r>
        <w:rPr>
          <w:b/>
          <w:bCs/>
          <w:szCs w:val="20"/>
        </w:rPr>
        <w:t>Duluth By-pass</w:t>
      </w:r>
    </w:p>
    <w:p>
      <w:pPr>
        <w:pStyle w:val="Normal"/>
        <w:rPr>
          <w:szCs w:val="20"/>
        </w:rPr>
      </w:pPr>
      <w:r>
        <w:rPr>
          <w:szCs w:val="20"/>
        </w:rPr>
        <w:t xml:space="preserve">Provided Marketing with a cost to build 4.5 miles of 10" pipe, 2 meter stations, and a regulator station to connect the City of Duluth to Great Lakes.  </w:t>
      </w:r>
    </w:p>
    <w:p>
      <w:pPr>
        <w:pStyle w:val="Normal"/>
        <w:rPr>
          <w:szCs w:val="20"/>
        </w:rPr>
      </w:pPr>
      <w:r>
        <w:rPr>
          <w:szCs w:val="20"/>
        </w:rPr>
      </w:r>
    </w:p>
    <w:p>
      <w:pPr>
        <w:pStyle w:val="Normal"/>
        <w:rPr>
          <w:szCs w:val="20"/>
        </w:rPr>
      </w:pPr>
      <w:r>
        <w:rPr>
          <w:szCs w:val="20"/>
        </w:rPr>
      </w:r>
    </w:p>
    <w:p>
      <w:pPr>
        <w:pStyle w:val="Heading3"/>
        <w:ind w:hanging="0" w:start="0"/>
        <w:rPr>
          <w:rFonts w:ascii="Times New Roman" w:hAnsi="Times New Roman" w:cs="Times New Roman"/>
          <w:b/>
          <w:bCs/>
          <w:color w:val="0000FF"/>
          <w:sz w:val="28"/>
        </w:rPr>
      </w:pPr>
      <w:r>
        <w:rPr>
          <w:rFonts w:cs="Times New Roman" w:ascii="Times New Roman" w:hAnsi="Times New Roman"/>
          <w:b/>
          <w:bCs/>
          <w:color w:val="0000FF"/>
          <w:sz w:val="28"/>
        </w:rPr>
        <w:t>HOUSTON PLANNING TEAM</w:t>
      </w:r>
    </w:p>
    <w:p>
      <w:pPr>
        <w:pStyle w:val="Heading2"/>
        <w:ind w:hanging="0" w:start="0"/>
        <w:rPr>
          <w:rFonts w:ascii="Times New Roman" w:hAnsi="Times New Roman" w:cs="Times New Roman"/>
          <w:color w:val="0000FF"/>
          <w:szCs w:val="20"/>
          <w:u w:val="single"/>
        </w:rPr>
      </w:pPr>
      <w:r>
        <w:rPr>
          <w:rFonts w:cs="Times New Roman" w:ascii="Times New Roman" w:hAnsi="Times New Roman"/>
          <w:b/>
          <w:bCs/>
          <w:color w:val="0000FF"/>
          <w:sz w:val="28"/>
          <w:szCs w:val="28"/>
          <w:u w:val="single"/>
        </w:rPr>
        <w:t>Florida Gas Transmission, Transwestern Pipeline, NNG South</w:t>
      </w:r>
      <w:r>
        <w:rPr>
          <w:rFonts w:cs="Times New Roman" w:ascii="Times New Roman" w:hAnsi="Times New Roman"/>
          <w:color w:val="0000FF"/>
          <w:sz w:val="28"/>
          <w:szCs w:val="28"/>
          <w:u w:val="single"/>
        </w:rPr>
        <w:t xml:space="preserve"> </w:t>
      </w:r>
      <w:r>
        <w:rPr>
          <w:rFonts w:cs="Times New Roman" w:ascii="Times New Roman" w:hAnsi="Times New Roman"/>
          <w:b/>
          <w:bCs/>
          <w:color w:val="0000FF"/>
          <w:sz w:val="28"/>
          <w:szCs w:val="28"/>
          <w:u w:val="single"/>
        </w:rPr>
        <w:t>&amp; EOTT</w:t>
      </w:r>
    </w:p>
    <w:p>
      <w:pPr>
        <w:pStyle w:val="Normal"/>
        <w:rPr>
          <w:rFonts w:ascii="Times New Roman" w:hAnsi="Times New Roman" w:cs="Times New Roman"/>
          <w:color w:val="0000FF"/>
          <w:szCs w:val="20"/>
          <w:u w:val="single"/>
        </w:rPr>
      </w:pPr>
      <w:r>
        <w:rPr>
          <w:rFonts w:cs="Times New Roman"/>
          <w:color w:val="0000FF"/>
          <w:szCs w:val="20"/>
          <w:u w:val="single"/>
        </w:rPr>
      </w:r>
    </w:p>
    <w:p>
      <w:pPr>
        <w:pStyle w:val="Normal"/>
        <w:autoSpaceDE w:val="false"/>
        <w:rPr>
          <w:b/>
          <w:bCs/>
        </w:rPr>
      </w:pPr>
      <w:r>
        <w:rPr>
          <w:b/>
          <w:bCs/>
        </w:rPr>
        <w:t>FGT/ANR Krotz Springs</w:t>
      </w:r>
    </w:p>
    <w:p>
      <w:pPr>
        <w:pStyle w:val="Normal"/>
        <w:autoSpaceDE w:val="false"/>
        <w:rPr/>
      </w:pPr>
      <w:r>
        <w:rPr/>
        <w:t xml:space="preserve">Planning reviewed the proposed interconnect agreement and made comments.  Also reviewed a proposed Exhibit B by Marketing which included more details on installed equipment.  It is proposed that FGT install the flow control valve along with the other FGT equipment.  This is an attempt to balance the installation costs since ANR would prefer not get into the tax gross up issue.  Planning made the appropriate additions to the Exhibit B and rearranged order per Marketing's request.  </w:t>
      </w:r>
    </w:p>
    <w:p>
      <w:pPr>
        <w:pStyle w:val="Normal"/>
        <w:autoSpaceDE w:val="false"/>
        <w:rPr>
          <w:color w:val="000000"/>
        </w:rPr>
      </w:pPr>
      <w:r>
        <w:rPr>
          <w:color w:val="000000"/>
        </w:rPr>
      </w:r>
    </w:p>
    <w:p>
      <w:pPr>
        <w:pStyle w:val="Normal"/>
        <w:autoSpaceDE w:val="false"/>
        <w:rPr>
          <w:b/>
          <w:bCs/>
          <w:color w:val="000000"/>
        </w:rPr>
      </w:pPr>
      <w:r>
        <w:rPr>
          <w:b/>
          <w:bCs/>
          <w:color w:val="000000"/>
        </w:rPr>
        <w:t>Compressor Station # 8</w:t>
      </w:r>
    </w:p>
    <w:p>
      <w:pPr>
        <w:pStyle w:val="Normal"/>
        <w:autoSpaceDE w:val="false"/>
        <w:rPr>
          <w:color w:val="000000"/>
        </w:rPr>
      </w:pPr>
      <w:r>
        <w:rPr>
          <w:color w:val="000000"/>
        </w:rPr>
        <w:t>Planning made a site visit with Rolls to the FGT CS #8 to meet with the field team and discuss issues related to unit 805.</w:t>
      </w:r>
    </w:p>
    <w:p>
      <w:pPr>
        <w:pStyle w:val="Normal"/>
        <w:autoSpaceDE w:val="false"/>
        <w:rPr>
          <w:color w:val="000000"/>
        </w:rPr>
      </w:pPr>
      <w:r>
        <w:rPr>
          <w:color w:val="000000"/>
        </w:rPr>
      </w:r>
    </w:p>
    <w:p>
      <w:pPr>
        <w:pStyle w:val="Normal"/>
        <w:autoSpaceDE w:val="false"/>
        <w:rPr>
          <w:b/>
          <w:bCs/>
        </w:rPr>
      </w:pPr>
      <w:r>
        <w:rPr>
          <w:b/>
          <w:bCs/>
        </w:rPr>
        <w:t>Phase V</w:t>
      </w:r>
    </w:p>
    <w:p>
      <w:pPr>
        <w:pStyle w:val="Normal"/>
        <w:autoSpaceDE w:val="false"/>
        <w:rPr/>
      </w:pPr>
      <w:r>
        <w:rPr/>
        <w:t>A compressor envelope was prepared for proposed compressor station 31, assuming it is moved west on the St. Petersburg Lateral.</w:t>
      </w:r>
    </w:p>
    <w:p>
      <w:pPr>
        <w:pStyle w:val="Normal"/>
        <w:autoSpaceDE w:val="false"/>
        <w:rPr/>
      </w:pPr>
      <w:r>
        <w:rPr/>
        <w:t>Flow studies were run to determine if an increase of 35,000 MMBtu/D could be delivered to the Winter Haven delivery point.  All assumptions of local supply required additional facilities.</w:t>
      </w:r>
    </w:p>
    <w:p>
      <w:pPr>
        <w:pStyle w:val="Normal"/>
        <w:autoSpaceDE w:val="false"/>
        <w:rPr/>
      </w:pPr>
      <w:r>
        <w:rPr/>
      </w:r>
    </w:p>
    <w:p>
      <w:pPr>
        <w:pStyle w:val="Normal"/>
        <w:autoSpaceDE w:val="false"/>
        <w:rPr>
          <w:b/>
          <w:bCs/>
        </w:rPr>
      </w:pPr>
      <w:r>
        <w:rPr>
          <w:b/>
          <w:bCs/>
        </w:rPr>
        <w:t>**Phase VI</w:t>
      </w:r>
    </w:p>
    <w:p>
      <w:pPr>
        <w:pStyle w:val="Normal"/>
        <w:autoSpaceDE w:val="false"/>
        <w:rPr/>
      </w:pPr>
      <w:r>
        <w:rPr/>
        <w:t>New compressor envelopes were prepared for proposed compressor station 16.5.  Rearranging compression in the local area will enable this station to remain online 24 hours a day.</w:t>
      </w:r>
    </w:p>
    <w:p>
      <w:pPr>
        <w:pStyle w:val="Normal"/>
        <w:autoSpaceDE w:val="false"/>
        <w:rPr/>
      </w:pPr>
      <w:r>
        <w:rPr/>
        <w:t>Attended a meeting to ascertain the complete scope of Phase VI, and determine immediate directions for FERC filing preparation.  Planning's portion is in progress.</w:t>
      </w:r>
    </w:p>
    <w:p>
      <w:pPr>
        <w:pStyle w:val="Normal"/>
        <w:autoSpaceDE w:val="false"/>
        <w:rPr/>
      </w:pPr>
      <w:r>
        <w:rPr/>
      </w:r>
    </w:p>
    <w:p>
      <w:pPr>
        <w:pStyle w:val="Normal"/>
        <w:autoSpaceDE w:val="false"/>
        <w:rPr>
          <w:b/>
          <w:bCs/>
        </w:rPr>
      </w:pPr>
      <w:r>
        <w:rPr>
          <w:b/>
          <w:bCs/>
        </w:rPr>
        <w:t>Phase VII</w:t>
      </w:r>
    </w:p>
    <w:p>
      <w:pPr>
        <w:pStyle w:val="Normal"/>
        <w:autoSpaceDE w:val="false"/>
        <w:rPr/>
      </w:pPr>
      <w:r>
        <w:rPr/>
        <w:t>Level A facilities and costs were prepared for a delivery of 200,000 MMBtu/D to three possible sites in South Georgia.  Supply would be from Destin P/L.  Laterals into Georgia would begin just east of Sta. 14, Quincy.</w:t>
      </w:r>
    </w:p>
    <w:p>
      <w:pPr>
        <w:pStyle w:val="Normal"/>
        <w:autoSpaceDE w:val="false"/>
        <w:rPr>
          <w:color w:val="000000"/>
        </w:rPr>
      </w:pPr>
      <w:r>
        <w:rPr>
          <w:color w:val="000000"/>
        </w:rPr>
      </w:r>
    </w:p>
    <w:p>
      <w:pPr>
        <w:pStyle w:val="Normal"/>
        <w:autoSpaceDE w:val="false"/>
        <w:rPr>
          <w:b/>
          <w:bCs/>
        </w:rPr>
      </w:pPr>
      <w:r>
        <w:rPr>
          <w:b/>
          <w:bCs/>
        </w:rPr>
        <w:t>TW/Sun Devil Expansion Project</w:t>
      </w:r>
    </w:p>
    <w:p>
      <w:pPr>
        <w:pStyle w:val="Normal"/>
        <w:autoSpaceDE w:val="false"/>
        <w:rPr/>
      </w:pPr>
      <w:r>
        <w:rPr/>
        <w:t>Completed another study for 500 MMcf/d to Phoenix only with no additional capacity west to California.  The study was summarized and transmitted to Engineering for a Level A+ cost estimate.  Cost estimate should be complete by Friday, October 12.  A meeting is scheduled with System Optimization to review study parameters and recommended facilities.</w:t>
      </w:r>
    </w:p>
    <w:p>
      <w:pPr>
        <w:pStyle w:val="Normal"/>
        <w:autoSpaceDE w:val="false"/>
        <w:rPr/>
      </w:pPr>
      <w:r>
        <w:rPr/>
      </w:r>
    </w:p>
    <w:p>
      <w:pPr>
        <w:pStyle w:val="Normal"/>
        <w:autoSpaceDE w:val="false"/>
        <w:rPr>
          <w:b/>
          <w:bCs/>
        </w:rPr>
      </w:pPr>
      <w:r>
        <w:rPr>
          <w:b/>
          <w:bCs/>
        </w:rPr>
        <w:t>TW/Topock Lateral Expansion</w:t>
      </w:r>
    </w:p>
    <w:p>
      <w:pPr>
        <w:pStyle w:val="Normal"/>
        <w:autoSpaceDE w:val="false"/>
        <w:rPr/>
      </w:pPr>
      <w:r>
        <w:rPr/>
        <w:t>At Marketing's request, Planning discussed the possibility of a prospective expansion with ETS Legal, as it would relate to the PG&amp;E agreement.  It was stated that no modifications to the Selexol plant should be made without prior approval by PG&amp;E.  This request would also hold true with any mods to the current measurement facility.</w:t>
      </w:r>
    </w:p>
    <w:p>
      <w:pPr>
        <w:pStyle w:val="Normal"/>
        <w:autoSpaceDE w:val="false"/>
        <w:rPr>
          <w:b/>
          <w:bCs/>
        </w:rPr>
      </w:pPr>
      <w:r>
        <w:rPr>
          <w:b/>
          <w:bCs/>
        </w:rPr>
      </w:r>
    </w:p>
    <w:p>
      <w:pPr>
        <w:pStyle w:val="Normal"/>
        <w:autoSpaceDE w:val="false"/>
        <w:rPr>
          <w:b/>
          <w:bCs/>
          <w:color w:val="000000"/>
        </w:rPr>
      </w:pPr>
      <w:r>
        <w:rPr>
          <w:b/>
          <w:bCs/>
          <w:color w:val="000000"/>
        </w:rPr>
        <w:t>TW/ Pemex - TransPecos Pipeline Proposal</w:t>
      </w:r>
    </w:p>
    <w:p>
      <w:pPr>
        <w:pStyle w:val="Normal"/>
        <w:autoSpaceDE w:val="false"/>
        <w:rPr>
          <w:color w:val="000000"/>
        </w:rPr>
      </w:pPr>
      <w:r>
        <w:rPr>
          <w:color w:val="000000"/>
        </w:rPr>
        <w:t xml:space="preserve">Planning met with TW and NNG Marketing to discuss possibilities of scrubbing the proposed project costs to help meet more competitive economics.  The existing estimate available is a Level A+ (+/-20%), and a Level B (+/-15%) requiring substantial costs and time to prepare would not be warranted for the small increment cost level.  Marketing will evaluate different cost/payout plans to improve upfront economics based on a phased project.      </w:t>
      </w:r>
    </w:p>
    <w:p>
      <w:pPr>
        <w:pStyle w:val="Normal"/>
        <w:autoSpaceDE w:val="false"/>
        <w:rPr>
          <w:b/>
          <w:bCs/>
          <w:color w:val="000000"/>
        </w:rPr>
      </w:pPr>
      <w:r>
        <w:rPr>
          <w:b/>
          <w:bCs/>
          <w:color w:val="000000"/>
        </w:rPr>
      </w:r>
    </w:p>
    <w:p>
      <w:pPr>
        <w:pStyle w:val="Normal"/>
        <w:autoSpaceDE w:val="false"/>
        <w:rPr>
          <w:b/>
          <w:bCs/>
          <w:color w:val="000000"/>
        </w:rPr>
      </w:pPr>
      <w:r>
        <w:rPr>
          <w:b/>
          <w:bCs/>
          <w:color w:val="000000"/>
        </w:rPr>
        <w:t>NNG/ SPS potential project</w:t>
      </w:r>
    </w:p>
    <w:p>
      <w:pPr>
        <w:pStyle w:val="Normal"/>
        <w:autoSpaceDE w:val="false"/>
        <w:rPr>
          <w:color w:val="000000"/>
        </w:rPr>
      </w:pPr>
      <w:r>
        <w:rPr>
          <w:color w:val="000000"/>
        </w:rPr>
        <w:t>Met with NNG marketing and SPS Business Development group and discussed the possibility of replacing some of the gas driven engines to electrical drivers in order to reduce O&amp; M costs. The plan is to have a site visit/meeting the week of October-22, with Operations at the Plaine Compressor Station and take a look at the technical and economical feasibilities.</w:t>
      </w:r>
    </w:p>
    <w:p>
      <w:pPr>
        <w:pStyle w:val="Normal"/>
        <w:autoSpaceDE w:val="false"/>
        <w:rPr>
          <w:color w:val="000000"/>
        </w:rPr>
      </w:pPr>
      <w:r>
        <w:rPr>
          <w:color w:val="000000"/>
        </w:rPr>
      </w:r>
    </w:p>
    <w:p>
      <w:pPr>
        <w:pStyle w:val="Normal"/>
        <w:autoSpaceDE w:val="false"/>
        <w:rPr>
          <w:b/>
          <w:bCs/>
          <w:color w:val="000000"/>
        </w:rPr>
      </w:pPr>
      <w:r>
        <w:rPr>
          <w:b/>
          <w:bCs/>
          <w:color w:val="000000"/>
        </w:rPr>
        <w:t>**NNG/ Bushton Universe</w:t>
      </w:r>
    </w:p>
    <w:p>
      <w:pPr>
        <w:pStyle w:val="Normal"/>
        <w:autoSpaceDE w:val="false"/>
        <w:rPr>
          <w:color w:val="000000"/>
        </w:rPr>
      </w:pPr>
      <w:r>
        <w:rPr>
          <w:color w:val="000000"/>
        </w:rPr>
        <w:t>Optimization and Planning met with Liberal Operations Teams to map out possible scenarios in the event Oneok’s Bushton Processing Plant shuts down indefinitely.  Planning and Optimization will partner in developing all possible solutions including those presented by Operations.</w:t>
      </w:r>
    </w:p>
    <w:p>
      <w:pPr>
        <w:pStyle w:val="Normal"/>
        <w:autoSpaceDE w:val="false"/>
        <w:rPr>
          <w:color w:val="000000"/>
        </w:rPr>
      </w:pPr>
      <w:r>
        <w:rPr>
          <w:color w:val="000000"/>
        </w:rPr>
      </w:r>
    </w:p>
    <w:p>
      <w:pPr>
        <w:pStyle w:val="Normal"/>
        <w:autoSpaceDE w:val="false"/>
        <w:rPr>
          <w:b/>
          <w:bCs/>
          <w:color w:val="000000"/>
        </w:rPr>
      </w:pPr>
      <w:r>
        <w:rPr>
          <w:b/>
          <w:bCs/>
          <w:color w:val="000000"/>
        </w:rPr>
        <w:t>Liberty Gas Storage Project (LS)</w:t>
      </w:r>
    </w:p>
    <w:p>
      <w:pPr>
        <w:pStyle w:val="Normal"/>
        <w:autoSpaceDE w:val="false"/>
        <w:rPr>
          <w:color w:val="000000"/>
        </w:rPr>
      </w:pPr>
      <w:r>
        <w:rPr>
          <w:color w:val="000000"/>
        </w:rPr>
        <w:t>Planning met with the LS Development Team and the plan is to get management approval in order to continue to work on the evaluation process. Offers will be due on Oct-25-2001</w:t>
      </w:r>
    </w:p>
    <w:p>
      <w:pPr>
        <w:pStyle w:val="Normal"/>
        <w:autoSpaceDE w:val="false"/>
        <w:rPr>
          <w:color w:val="000000"/>
        </w:rPr>
      </w:pPr>
      <w:r>
        <w:rPr>
          <w:color w:val="000000"/>
        </w:rPr>
        <w:t xml:space="preserve"> </w:t>
      </w:r>
    </w:p>
    <w:p>
      <w:pPr>
        <w:pStyle w:val="Normal"/>
        <w:rPr>
          <w:color w:val="000000"/>
          <w:szCs w:val="20"/>
        </w:rPr>
      </w:pPr>
      <w:r>
        <w:rPr>
          <w:color w:val="000000"/>
          <w:szCs w:val="20"/>
        </w:rPr>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Arial" w:hAnsi="Arial" w:cs="Arial"/>
      <w:sz w:val="20"/>
    </w:rPr>
  </w:style>
  <w:style w:type="paragraph" w:styleId="Heading2">
    <w:name w:val="heading 2"/>
    <w:basedOn w:val="Normal"/>
    <w:next w:val="Normal"/>
    <w:qFormat/>
    <w:pPr>
      <w:numPr>
        <w:ilvl w:val="1"/>
        <w:numId w:val="1"/>
      </w:numPr>
      <w:autoSpaceDE w:val="false"/>
      <w:outlineLvl w:val="1"/>
    </w:pPr>
    <w:rPr>
      <w:rFonts w:ascii="Arial" w:hAnsi="Arial" w:cs="Arial"/>
      <w:sz w:val="20"/>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6">
    <w:name w:val="heading 6"/>
    <w:basedOn w:val="Normal"/>
    <w:next w:val="Normal"/>
    <w:qFormat/>
    <w:pPr>
      <w:keepNext w:val="true"/>
      <w:numPr>
        <w:ilvl w:val="5"/>
        <w:numId w:val="1"/>
      </w:numPr>
      <w:outlineLvl w:val="5"/>
    </w:pPr>
    <w:rPr>
      <w:b/>
      <w:bCs/>
      <w:color w:val="0000FF"/>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2001-10-12T09:43:00Z</dcterms:created>
  <dc:creator>mgottsp</dc:creator>
  <dc:description/>
  <dc:language>en-CA</dc:language>
  <cp:lastModifiedBy>mgottsp</cp:lastModifiedBy>
  <dcterms:modified xsi:type="dcterms:W3CDTF">2001-10-12T09:43:00Z</dcterms:modified>
  <cp:revision>2</cp:revision>
  <dc:subject/>
  <dc:title>ETS Planning Weekly Report</dc:title>
</cp:coreProperties>
</file>